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pBdr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tjfi0s9ezdr7"/>
      <w:bookmarkStart w:id="1" w:name="_tjfi0s9ezdr7"/>
      <w:bookmarkEnd w:id="1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7"/>
        <w:gridCol w:w="2219"/>
        <w:gridCol w:w="1420"/>
        <w:gridCol w:w="1188"/>
        <w:gridCol w:w="1101"/>
        <w:gridCol w:w="1659"/>
      </w:tblGrid>
      <w:tr>
        <w:trPr>
          <w:trHeight w:val="890" w:hRule="atLeast"/>
        </w:trPr>
        <w:tc>
          <w:tcPr>
            <w:tcW w:w="1497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15 000,00 ₽ 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15 000,00 ₽ 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15 000,00 ₽ 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1000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₽ 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440 000,00 ₽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 xml:space="preserve">On-prem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размещение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300 000,00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300 000,00 ₽</w:t>
            </w:r>
          </w:p>
        </w:tc>
      </w:tr>
      <w:tr>
        <w:trPr>
          <w:trHeight w:val="290" w:hRule="atLeast"/>
        </w:trPr>
        <w:tc>
          <w:tcPr>
            <w:tcW w:w="7425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785</w:t>
            </w:r>
            <w:bookmarkStart w:id="2" w:name="_GoBack"/>
            <w:bookmarkEnd w:id="2"/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000,00 ₽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3" w:name="_heading=h.oybj691vmgb9"/>
      <w:bookmarkStart w:id="4" w:name="_heading=h.x6hl4729xze"/>
      <w:bookmarkStart w:id="5" w:name="_heading=h.oybj691vmgb9"/>
      <w:bookmarkStart w:id="6" w:name="_heading=h.x6hl4729xze"/>
      <w:bookmarkEnd w:id="5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7" w:name="_heading=h.1t3h5sf"/>
      <w:bookmarkStart w:id="8" w:name="_heading=h.dyj0ja6sj6zy"/>
      <w:bookmarkEnd w:id="7"/>
      <w:bookmarkEnd w:id="8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pBdr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 xml:space="preserve">Коммерческое предложение действительно до </w:t>
    </w:r>
    <w:r>
      <w:rPr>
        <w:rFonts w:eastAsia="Montserrat Medium" w:cs="Montserrat Medium" w:ascii="Montserrat Medium" w:hAnsi="Montserrat Medium"/>
        <w:color w:val="0050C6"/>
      </w:rPr>
      <w:t>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 xml:space="preserve">Коммерческое предложение действительно до </w:t>
    </w:r>
    <w:r>
      <w:rPr>
        <w:rFonts w:eastAsia="Montserrat Medium" w:cs="Montserrat Medium" w:ascii="Montserrat Medium" w:hAnsi="Montserrat Medium"/>
        <w:color w:val="0050C6"/>
      </w:rPr>
      <w:t>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drawing>
        <wp:anchor behindDoc="1" distT="114300" distB="114300" distL="114300" distR="114300" simplePos="0" locked="0" layoutInCell="0" allowOverlap="1" relativeHeight="6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drawing>
        <wp:anchor behindDoc="1" distT="114300" distB="114300" distL="114300" distR="114300" simplePos="0" locked="0" layoutInCell="0" allowOverlap="1" relativeHeight="6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basedOn w:val="DefaultParagraphFont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/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sz w:val="20"/>
      <w:szCs w:val="20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LibreOffice/24.2.7.2$Linux_X86_64 LibreOffice_project/420$Build-2</Application>
  <AppVersion>15.0000</AppVersion>
  <Pages>3</Pages>
  <Words>228</Words>
  <Characters>1372</Characters>
  <CharactersWithSpaces>1844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2025-01-23T09:15:00Z</cp:lastPrinted>
  <dcterms:modified xsi:type="dcterms:W3CDTF">2025-04-22T09:56:36Z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