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 стандартного тарифа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682 600,00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 xml:space="preserve">Ценообразование проекта тариф </w:t>
      </w:r>
      <w:r>
        <w:rPr>
          <w:rFonts w:eastAsia="Montserrat" w:cs="Montserrat" w:ascii="Montserrat" w:hAnsi="Montserrat"/>
          <w:color w:val="0F578D"/>
          <w:sz w:val="24"/>
          <w:szCs w:val="24"/>
          <w:lang w:val="en-US"/>
          <w14:textFill>
            <w14:solidFill>
              <w14:srgbClr w14:val="0F578D">
                <w14:lumMod w14:val="75000"/>
              </w14:srgbClr>
            </w14:solidFill>
          </w14:textFill>
        </w:rPr>
        <w:t>PRO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Лицензия сотрудника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PRO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140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84 000,00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766 600,00 ₽</w:t>
            </w:r>
            <w:bookmarkStart w:id="2" w:name="_GoBack"/>
            <w:bookmarkEnd w:id="2"/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x6hl4729xze"/>
      <w:bookmarkStart w:id="4" w:name="_heading=h.oybj691vmgb9"/>
      <w:bookmarkStart w:id="5" w:name="_heading=h.x6hl4729xze"/>
      <w:bookmarkStart w:id="6" w:name="_heading=h.oybj691vmgb9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dyj0ja6sj6zy"/>
      <w:bookmarkStart w:id="8" w:name="_heading=h.1t3h5sf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e8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81716"/>
    <w:rPr>
      <w:rFonts w:ascii="Segoe UI" w:hAnsi="Segoe UI" w:cs="Segoe UI"/>
      <w:sz w:val="18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81716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FFB6-5E4F-4A8A-BE33-AEB33729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LibreOffice/24.2.7.2$Linux_X86_64 LibreOffice_project/420$Build-2</Application>
  <AppVersion>15.0000</AppVersion>
  <Pages>3</Pages>
  <Words>351</Words>
  <Characters>2049</Characters>
  <CharactersWithSpaces>2889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2025-06-27T08:27:00Z</cp:lastPrinted>
  <dcterms:modified xsi:type="dcterms:W3CDTF">2025-06-27T13:13:02Z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