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F3" w:rsidRPr="00A479F3" w:rsidRDefault="00A479F3" w:rsidP="00A479F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ahoma"/>
          <w:b/>
          <w:bCs/>
          <w:color w:val="666666"/>
          <w:sz w:val="20"/>
          <w:szCs w:val="20"/>
          <w:lang w:eastAsia="ru-RU"/>
        </w:rPr>
      </w:pPr>
      <w:r w:rsidRPr="00A479F3">
        <w:rPr>
          <w:rFonts w:ascii="Verdana" w:eastAsia="Times New Roman" w:hAnsi="Verdana" w:cs="Tahoma"/>
          <w:b/>
          <w:bCs/>
          <w:color w:val="666666"/>
          <w:sz w:val="20"/>
          <w:szCs w:val="20"/>
          <w:lang w:eastAsia="ru-RU"/>
        </w:rPr>
        <w:t>Последовательности</w:t>
      </w:r>
    </w:p>
    <w:p w:rsidR="00A479F3" w:rsidRPr="00A479F3" w:rsidRDefault="00A479F3" w:rsidP="00A479F3">
      <w:pPr>
        <w:spacing w:after="0" w:line="240" w:lineRule="auto"/>
        <w:jc w:val="right"/>
        <w:rPr>
          <w:rFonts w:ascii="Verdana" w:eastAsia="Times New Roman" w:hAnsi="Verdana" w:cs="Tahoma"/>
          <w:color w:val="666666"/>
          <w:sz w:val="17"/>
          <w:szCs w:val="17"/>
          <w:lang w:eastAsia="ru-RU"/>
        </w:rPr>
      </w:pPr>
      <w:r w:rsidRPr="00A479F3">
        <w:rPr>
          <w:rFonts w:ascii="Verdana" w:eastAsia="Times New Roman" w:hAnsi="Verdana" w:cs="Tahoma"/>
          <w:color w:val="666666"/>
          <w:sz w:val="17"/>
          <w:szCs w:val="17"/>
          <w:lang w:eastAsia="ru-RU"/>
        </w:rPr>
        <w:t xml:space="preserve">Просмотров: 8971 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7"/>
        <w:gridCol w:w="68"/>
      </w:tblGrid>
      <w:tr w:rsidR="00A479F3" w:rsidRPr="00A479F3" w:rsidTr="00A47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9F3" w:rsidRPr="00A479F3" w:rsidRDefault="00A479F3" w:rsidP="00A479F3">
            <w:pPr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Рекомендовано для: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8i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9i R1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9i R2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10g R1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10g R2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11g R1 </w:t>
            </w:r>
          </w:p>
          <w:p w:rsidR="00A479F3" w:rsidRPr="00A479F3" w:rsidRDefault="00A479F3" w:rsidP="00A479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Database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11g R2 </w:t>
            </w:r>
          </w:p>
        </w:tc>
        <w:tc>
          <w:tcPr>
            <w:tcW w:w="0" w:type="auto"/>
            <w:vAlign w:val="center"/>
            <w:hideMark/>
          </w:tcPr>
          <w:p w:rsidR="00A479F3" w:rsidRPr="00A479F3" w:rsidRDefault="00A479F3" w:rsidP="00A479F3">
            <w:pPr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</w:p>
        </w:tc>
      </w:tr>
      <w:tr w:rsidR="00A479F3" w:rsidRPr="00A479F3" w:rsidTr="00A479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Последовательности (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Sequences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) – объекты базы данных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Oracle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, которые используются для генерации целочисленных значений. Наиболее часто используются для генерации значений первичного ключа.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Это бывает очень удобно, и снимает с разработчика необходимость реализовывать алгоритм для создания значений первичного ключа. Каждое новое значение в последовательности создается на основании правил, указанных при создании. Общий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  <w:t xml:space="preserve"> 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синтаксис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  <w:t xml:space="preserve"> 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создания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  <w:t>: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spacing w:before="75" w:after="75" w:line="240" w:lineRule="auto"/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t>CREATE SEQUENCE [schema].sequence_name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[INCREMENT BY number]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[START WITH number]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[MAXVALUE number | NOMAXVALUE]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[MINVALUE number | NOMINVALUE]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[CYCLE | NOCYCLE]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[CACHE number | NOCACHE]</w:t>
            </w: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br/>
              <w:t>[ORDER | NOORDER] ;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Например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  <w:t>: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</w:pPr>
            <w:r>
              <w:rPr>
                <w:rFonts w:ascii="Verdana" w:eastAsia="Times New Roman" w:hAnsi="Verdana" w:cs="Tahoma"/>
                <w:noProof/>
                <w:color w:val="666666"/>
                <w:sz w:val="17"/>
                <w:szCs w:val="17"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5" name="Рисунок 5" descr="http://www.all-oracle.ru/images/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ll-oracle.ru/images/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Копировать</w:t>
              </w:r>
            </w:hyperlink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CREATE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SEQUENCE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all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-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oracle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.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INCREMENT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BY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START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WITH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MAXVALUE 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99999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MINVALUE 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NOCYCLE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где,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sequence_name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имя последовательности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start_num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- целочисленное </w:t>
            </w:r>
            <w:proofErr w:type="gram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значение</w:t>
            </w:r>
            <w:proofErr w:type="gram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с которого начинается отсчет. По умолчанию это 1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increment_num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шаг последовательности. По умолчанию, это 1. </w:t>
            </w:r>
            <w:proofErr w:type="gram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Абсолютное значение этого параметра должно быть меньше, чем разница между конечным и начальным значениями </w:t>
            </w:r>
            <w:proofErr w:type="gramEnd"/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maximum_num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максимальное значение последовательности; значение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maximum_num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должно быть больше или равно значению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start_num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, и значение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maximum_num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должно быть больше, чем значение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minimum_num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NOMAXVALUE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- устанавливает максимальное значение </w:t>
            </w:r>
            <w:proofErr w:type="gram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равным</w:t>
            </w:r>
            <w:proofErr w:type="gram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1027 для возрастающей последовательности, или –1 для убывающей. NOMAXVALUE используется по умолчанию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minimum_num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- минимальное значение последовательности;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minimum_num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должно быть меньше либо равно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start_num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, и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minimum_num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должно быть меньше, чем </w:t>
            </w:r>
            <w:proofErr w:type="spellStart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maximum_num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.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NOMINVALUE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определяет минимальное значение равное 1 для возрастающей последовательности и -1026 для убывающей. NOMINVALUE используется по умолчанию.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CYCLE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подразумевает, что последовательность начинает генерировать значения по кругу, при достижении максимального или минимального значения. При обращении к последовательности, когда она достигла максимального значения, следующее сгенерированное значение будет минимальным значением последовательности. В ситуации с убывающей последовательностью, при достижении минимального значения, следующее сгенерированное будет максимальным.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NOCYCLE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указывает прекратить генерацию значений при достижении максимума или минимума последовательности. NOCYCLE используется по умолчанию. </w:t>
            </w:r>
          </w:p>
          <w:p w:rsidR="00A479F3" w:rsidRPr="00A479F3" w:rsidRDefault="00A479F3" w:rsidP="00A479F3">
            <w:pPr>
              <w:numPr>
                <w:ilvl w:val="0"/>
                <w:numId w:val="2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proofErr w:type="spellStart"/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cache_num</w:t>
            </w:r>
            <w:proofErr w:type="spellEnd"/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количество значений сохраняемых в памяти. По умолчанию это 20. Минимальное 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lastRenderedPageBreak/>
              <w:t xml:space="preserve">количество кэшированных значений – 2, максимальное значение высчитывается по формуле: 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spacing w:before="75" w:after="75" w:line="240" w:lineRule="auto"/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" w:eastAsia="Times New Roman" w:hAnsi="Courier" w:cs="Tahoma"/>
                <w:color w:val="000000"/>
                <w:sz w:val="20"/>
                <w:szCs w:val="20"/>
                <w:lang w:val="en-US" w:eastAsia="ru-RU"/>
              </w:rPr>
              <w:t>CEIL(maximum_num -minimum_num)/ABS(increment_num)</w:t>
            </w:r>
          </w:p>
          <w:p w:rsidR="00A479F3" w:rsidRPr="00A479F3" w:rsidRDefault="00A479F3" w:rsidP="00A479F3">
            <w:pPr>
              <w:numPr>
                <w:ilvl w:val="0"/>
                <w:numId w:val="3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NOCACHE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отключает кэширование. Это не позволит базе данных выделить некоторое количество значений заблаговременно, что позволит избежать пробелов в последовательности, но увеличит затраты системных ресурсов. Пробелы могут возникнуть при остановке базы данных, когда кэшированные значения теряются. Если опции CACHE и NOCACHE не указываются, то по умолчанию кэшируется 20 значений. </w:t>
            </w:r>
          </w:p>
          <w:p w:rsidR="00A479F3" w:rsidRPr="00A479F3" w:rsidRDefault="00A479F3" w:rsidP="00A479F3">
            <w:pPr>
              <w:numPr>
                <w:ilvl w:val="0"/>
                <w:numId w:val="3"/>
              </w:numPr>
              <w:shd w:val="clear" w:color="auto" w:fill="F9F9F9"/>
              <w:spacing w:before="100" w:beforeAutospacing="1" w:after="100" w:afterAutospacing="1" w:line="240" w:lineRule="auto"/>
              <w:ind w:left="870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17"/>
                <w:szCs w:val="17"/>
                <w:lang w:eastAsia="ru-RU"/>
              </w:rPr>
              <w:t>ORDER</w:t>
            </w: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 – обеспечивает генерацию значений в порядке запросов. Как правило, ORDER используется в среде </w:t>
            </w:r>
            <w:hyperlink r:id="rId8" w:tgtFrame="_blank" w:history="1">
              <w:proofErr w:type="spellStart"/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Real</w:t>
              </w:r>
              <w:proofErr w:type="spellEnd"/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 xml:space="preserve"> </w:t>
              </w:r>
              <w:proofErr w:type="spellStart"/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Application</w:t>
              </w:r>
              <w:proofErr w:type="spellEnd"/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 xml:space="preserve"> </w:t>
              </w:r>
              <w:proofErr w:type="spellStart"/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Clusters</w:t>
              </w:r>
              <w:proofErr w:type="spellEnd"/>
            </w:hyperlink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 xml:space="preserve">. NOORDER – не дает таких гарантий. По умолчанию используется NOORDER. </w:t>
            </w:r>
          </w:p>
          <w:p w:rsidR="00A479F3" w:rsidRPr="00A479F3" w:rsidRDefault="00A479F3" w:rsidP="00A40709">
            <w:pPr>
              <w:shd w:val="clear" w:color="auto" w:fill="F9F9F9"/>
              <w:spacing w:before="100" w:beforeAutospacing="1" w:after="100" w:afterAutospacing="1" w:line="240" w:lineRule="auto"/>
              <w:outlineLvl w:val="4"/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  <w:t>Получение значения последовательности</w:t>
            </w:r>
            <w:bookmarkStart w:id="0" w:name="_GoBack"/>
            <w:bookmarkEnd w:id="0"/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Теперь, когда мы разобрались, как создать последовательность, необходимо научиться получать ее значения. Самым простым примером может быть выполнение такого запроса: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ahoma"/>
                <w:noProof/>
                <w:color w:val="666666"/>
                <w:sz w:val="17"/>
                <w:szCs w:val="17"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4" name="Рисунок 4" descr="http://www.all-oracle.ru/images/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l-oracle.ru/images/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Копировать</w:t>
              </w:r>
            </w:hyperlink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SELECT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SEQ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.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NEXTVAL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FROM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DUAL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;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попробуем использовать ее для генерации значений первичного ключа, при вставке данных в таблицу: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val="en-US" w:eastAsia="ru-RU"/>
              </w:rPr>
            </w:pPr>
            <w:r>
              <w:rPr>
                <w:rFonts w:ascii="Verdana" w:eastAsia="Times New Roman" w:hAnsi="Verdana" w:cs="Tahoma"/>
                <w:noProof/>
                <w:color w:val="666666"/>
                <w:sz w:val="17"/>
                <w:szCs w:val="17"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3" name="Рисунок 3" descr="http://www.all-oracle.ru/images/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l-oracle.ru/images/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Копировать</w:t>
              </w:r>
            </w:hyperlink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INSERT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INTO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ALL_ORACLE_USERS 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(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ID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NICK_NAME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REG_DATE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</w:t>
            </w:r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val="en-US" w:eastAsia="ru-RU"/>
              </w:rPr>
              <w:t>VALUES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(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SEQ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.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NEXTVAL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‘USER_TEST’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,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‘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01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/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01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/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2010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’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);</w:t>
            </w:r>
          </w:p>
          <w:p w:rsidR="00A479F3" w:rsidRPr="00A479F3" w:rsidRDefault="00A479F3" w:rsidP="00A479F3">
            <w:pPr>
              <w:shd w:val="clear" w:color="auto" w:fill="F9F9F9"/>
              <w:spacing w:before="100" w:beforeAutospacing="1" w:after="100" w:afterAutospacing="1" w:line="240" w:lineRule="auto"/>
              <w:outlineLvl w:val="4"/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  <w:t>Изменение параметров последовательности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Для изменения атрибутов последовательности используется конструкция ALTER SEQUENCE. Разрешено изменить атрибуты INCREMENT BY, MAXVALUE, MINVALUE, CYCLE и CACHE, но никак не START WITH. Например: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ahoma"/>
                <w:noProof/>
                <w:color w:val="666666"/>
                <w:sz w:val="17"/>
                <w:szCs w:val="17"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2" name="Рисунок 2" descr="http://www.all-oracle.ru/images/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ll-oracle.ru/images/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Копировать</w:t>
              </w:r>
            </w:hyperlink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ALTER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SEQUENCE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SEQ INCREMENT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BY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;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Если надо изменить атрибут START WITH или сбросить текущее значение последовательности, то необходимо ее удалить, пересоздать с новыми атрибутами, и назначить на нее все необходимые привилегии.</w:t>
            </w:r>
          </w:p>
          <w:p w:rsidR="00A479F3" w:rsidRPr="00A479F3" w:rsidRDefault="00A479F3" w:rsidP="00A479F3">
            <w:pPr>
              <w:shd w:val="clear" w:color="auto" w:fill="F9F9F9"/>
              <w:spacing w:before="100" w:beforeAutospacing="1" w:after="100" w:afterAutospacing="1" w:line="240" w:lineRule="auto"/>
              <w:outlineLvl w:val="4"/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b/>
                <w:bCs/>
                <w:color w:val="666666"/>
                <w:sz w:val="20"/>
                <w:szCs w:val="20"/>
                <w:lang w:eastAsia="ru-RU"/>
              </w:rPr>
              <w:t>Удаление последовательности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 w:rsidRPr="00A479F3"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  <w:t>Для удаления используется конструкция DROP SEQUENCE. Например:</w:t>
            </w:r>
          </w:p>
          <w:p w:rsidR="00A479F3" w:rsidRPr="00A479F3" w:rsidRDefault="00A479F3" w:rsidP="00A479F3">
            <w:pPr>
              <w:shd w:val="clear" w:color="auto" w:fill="F9F9F9"/>
              <w:spacing w:after="0" w:line="240" w:lineRule="auto"/>
              <w:jc w:val="right"/>
              <w:rPr>
                <w:rFonts w:ascii="Verdana" w:eastAsia="Times New Roman" w:hAnsi="Verdana" w:cs="Tahoma"/>
                <w:color w:val="666666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ahoma"/>
                <w:noProof/>
                <w:color w:val="666666"/>
                <w:sz w:val="17"/>
                <w:szCs w:val="17"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1" name="Рисунок 1" descr="http://www.all-oracle.ru/images/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ll-oracle.ru/images/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A479F3">
                <w:rPr>
                  <w:rFonts w:ascii="Verdana" w:eastAsia="Times New Roman" w:hAnsi="Verdana" w:cs="Tahoma"/>
                  <w:color w:val="666666"/>
                  <w:sz w:val="17"/>
                  <w:szCs w:val="17"/>
                  <w:lang w:eastAsia="ru-RU"/>
                </w:rPr>
                <w:t>Копировать</w:t>
              </w:r>
            </w:hyperlink>
          </w:p>
          <w:p w:rsidR="00A479F3" w:rsidRPr="00A479F3" w:rsidRDefault="00A479F3" w:rsidP="00A479F3">
            <w:pPr>
              <w:p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DROP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479F3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  <w:lang w:eastAsia="ru-RU"/>
              </w:rPr>
              <w:t>SEQUENCE</w:t>
            </w:r>
            <w:r w:rsidRPr="00A479F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SEQ</w:t>
            </w:r>
            <w:r w:rsidRPr="00A479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;</w:t>
            </w:r>
          </w:p>
        </w:tc>
      </w:tr>
    </w:tbl>
    <w:p w:rsidR="00685654" w:rsidRDefault="00685654"/>
    <w:sectPr w:rsidR="00685654" w:rsidSect="00A4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4F9E"/>
    <w:multiLevelType w:val="multilevel"/>
    <w:tmpl w:val="7348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0053D"/>
    <w:multiLevelType w:val="multilevel"/>
    <w:tmpl w:val="403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A5143"/>
    <w:multiLevelType w:val="multilevel"/>
    <w:tmpl w:val="9F9A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F3"/>
    <w:rsid w:val="00685654"/>
    <w:rsid w:val="00A40709"/>
    <w:rsid w:val="00A4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479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479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479F3"/>
    <w:rPr>
      <w:strike w:val="0"/>
      <w:dstrike w:val="0"/>
      <w:color w:val="666666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A479F3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79F3"/>
    <w:rPr>
      <w:rFonts w:ascii="Courier New" w:eastAsia="Times New Roman" w:hAnsi="Courier New" w:cs="Courier New"/>
      <w:color w:val="333333"/>
      <w:sz w:val="20"/>
      <w:szCs w:val="20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A47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">
    <w:name w:val="block"/>
    <w:basedOn w:val="a"/>
    <w:rsid w:val="00A47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s">
    <w:name w:val="dos"/>
    <w:basedOn w:val="a"/>
    <w:rsid w:val="00A479F3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FFFFF"/>
      <w:spacing w:before="75" w:after="75" w:line="240" w:lineRule="auto"/>
    </w:pPr>
    <w:rPr>
      <w:rFonts w:ascii="Courier" w:eastAsia="Times New Roman" w:hAnsi="Courier" w:cs="Times New Roman"/>
      <w:color w:val="000000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479F3"/>
    <w:rPr>
      <w:b/>
      <w:bCs/>
    </w:rPr>
  </w:style>
  <w:style w:type="character" w:customStyle="1" w:styleId="tsql-reservkeyword1">
    <w:name w:val="tsql-reservkeyword1"/>
    <w:basedOn w:val="a0"/>
    <w:rsid w:val="00A479F3"/>
    <w:rPr>
      <w:rFonts w:ascii="Courier New" w:hAnsi="Courier New" w:cs="Courier New" w:hint="default"/>
      <w:b/>
      <w:bCs/>
      <w:color w:val="000099"/>
      <w:sz w:val="20"/>
      <w:szCs w:val="20"/>
    </w:rPr>
  </w:style>
  <w:style w:type="character" w:customStyle="1" w:styleId="tsql-keyword1">
    <w:name w:val="tsql-keyword1"/>
    <w:basedOn w:val="a0"/>
    <w:rsid w:val="00A479F3"/>
    <w:rPr>
      <w:rFonts w:ascii="Courier New" w:hAnsi="Courier New" w:cs="Courier New" w:hint="default"/>
      <w:b/>
      <w:bCs/>
      <w:color w:val="000099"/>
      <w:sz w:val="20"/>
      <w:szCs w:val="20"/>
    </w:rPr>
  </w:style>
  <w:style w:type="character" w:customStyle="1" w:styleId="tsql-symbol1">
    <w:name w:val="tsql-symbol1"/>
    <w:basedOn w:val="a0"/>
    <w:rsid w:val="00A479F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tsql-numeric1">
    <w:name w:val="tsql-numeric1"/>
    <w:basedOn w:val="a0"/>
    <w:rsid w:val="00A479F3"/>
    <w:rPr>
      <w:rFonts w:ascii="Courier New" w:hAnsi="Courier New" w:cs="Courier New" w:hint="default"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4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479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479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479F3"/>
    <w:rPr>
      <w:strike w:val="0"/>
      <w:dstrike w:val="0"/>
      <w:color w:val="666666"/>
      <w:u w:val="none"/>
      <w:effect w:val="none"/>
    </w:rPr>
  </w:style>
  <w:style w:type="paragraph" w:styleId="HTML">
    <w:name w:val="HTML Preformatted"/>
    <w:basedOn w:val="a"/>
    <w:link w:val="HTML0"/>
    <w:uiPriority w:val="99"/>
    <w:unhideWhenUsed/>
    <w:rsid w:val="00A479F3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79F3"/>
    <w:rPr>
      <w:rFonts w:ascii="Courier New" w:eastAsia="Times New Roman" w:hAnsi="Courier New" w:cs="Courier New"/>
      <w:color w:val="333333"/>
      <w:sz w:val="20"/>
      <w:szCs w:val="20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A47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">
    <w:name w:val="block"/>
    <w:basedOn w:val="a"/>
    <w:rsid w:val="00A47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s">
    <w:name w:val="dos"/>
    <w:basedOn w:val="a"/>
    <w:rsid w:val="00A479F3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FFFFF"/>
      <w:spacing w:before="75" w:after="75" w:line="240" w:lineRule="auto"/>
    </w:pPr>
    <w:rPr>
      <w:rFonts w:ascii="Courier" w:eastAsia="Times New Roman" w:hAnsi="Courier" w:cs="Times New Roman"/>
      <w:color w:val="000000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479F3"/>
    <w:rPr>
      <w:b/>
      <w:bCs/>
    </w:rPr>
  </w:style>
  <w:style w:type="character" w:customStyle="1" w:styleId="tsql-reservkeyword1">
    <w:name w:val="tsql-reservkeyword1"/>
    <w:basedOn w:val="a0"/>
    <w:rsid w:val="00A479F3"/>
    <w:rPr>
      <w:rFonts w:ascii="Courier New" w:hAnsi="Courier New" w:cs="Courier New" w:hint="default"/>
      <w:b/>
      <w:bCs/>
      <w:color w:val="000099"/>
      <w:sz w:val="20"/>
      <w:szCs w:val="20"/>
    </w:rPr>
  </w:style>
  <w:style w:type="character" w:customStyle="1" w:styleId="tsql-keyword1">
    <w:name w:val="tsql-keyword1"/>
    <w:basedOn w:val="a0"/>
    <w:rsid w:val="00A479F3"/>
    <w:rPr>
      <w:rFonts w:ascii="Courier New" w:hAnsi="Courier New" w:cs="Courier New" w:hint="default"/>
      <w:b/>
      <w:bCs/>
      <w:color w:val="000099"/>
      <w:sz w:val="20"/>
      <w:szCs w:val="20"/>
    </w:rPr>
  </w:style>
  <w:style w:type="character" w:customStyle="1" w:styleId="tsql-symbol1">
    <w:name w:val="tsql-symbol1"/>
    <w:basedOn w:val="a0"/>
    <w:rsid w:val="00A479F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tsql-numeric1">
    <w:name w:val="tsql-numeric1"/>
    <w:basedOn w:val="a0"/>
    <w:rsid w:val="00A479F3"/>
    <w:rPr>
      <w:rFonts w:ascii="Courier New" w:hAnsi="Courier New" w:cs="Courier New" w:hint="default"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4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7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91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FF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" w:color="C0C0C0"/>
                            <w:bottom w:val="none" w:sz="0" w:space="0" w:color="auto"/>
                            <w:right w:val="single" w:sz="6" w:space="2" w:color="C0C0C0"/>
                          </w:divBdr>
                        </w:div>
                        <w:div w:id="19757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" w:color="C0C0C0"/>
                            <w:bottom w:val="none" w:sz="0" w:space="0" w:color="auto"/>
                            <w:right w:val="single" w:sz="6" w:space="2" w:color="C0C0C0"/>
                          </w:divBdr>
                        </w:div>
                        <w:div w:id="2925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" w:color="C0C0C0"/>
                            <w:bottom w:val="none" w:sz="0" w:space="0" w:color="auto"/>
                            <w:right w:val="single" w:sz="6" w:space="2" w:color="C0C0C0"/>
                          </w:divBdr>
                        </w:div>
                        <w:div w:id="707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" w:color="C0C0C0"/>
                            <w:bottom w:val="none" w:sz="0" w:space="0" w:color="auto"/>
                            <w:right w:val="single" w:sz="6" w:space="2" w:color="C0C0C0"/>
                          </w:divBdr>
                        </w:div>
                        <w:div w:id="12757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" w:color="C0C0C0"/>
                            <w:bottom w:val="none" w:sz="0" w:space="0" w:color="auto"/>
                            <w:right w:val="single" w:sz="6" w:space="2" w:color="C0C0C0"/>
                          </w:divBdr>
                        </w:div>
                        <w:div w:id="19449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-oracle.ru/content/glossary/default.aspx?id=6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ll-oracle.ru/content/view/?part=1&amp;id=111" TargetMode="External"/><Relationship Id="rId12" Type="http://schemas.openxmlformats.org/officeDocument/2006/relationships/hyperlink" Target="http://www.all-oracle.ru/content/view/?part=1&amp;id=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all-oracle.ru/content/view/?part=1&amp;id=1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ll-oracle.ru/content/view/?part=1&amp;id=1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l-oracle.ru/content/view/?part=1&amp;id=1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2013-02-28T10:23:00Z</dcterms:created>
  <dcterms:modified xsi:type="dcterms:W3CDTF">2013-02-28T10:40:00Z</dcterms:modified>
</cp:coreProperties>
</file>