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20"/>
          <w:tab w:val="left" w:pos="10530" w:leader="none"/>
        </w:tabs>
        <w:suppressAutoHyphens w:val="true"/>
        <w:bidi w:val="0"/>
        <w:spacing w:lineRule="auto" w:line="240" w:before="0" w:after="0"/>
        <w:ind w:hanging="0" w:start="-1169" w:end="-629"/>
        <w:jc w:val="center"/>
        <w:rPr>
          <w:color w:val="000000"/>
        </w:rPr>
      </w:pPr>
      <w:r>
        <w:rPr>
          <w:rFonts w:eastAsia="Times New Roman" w:cs="Times New Roman" w:ascii="times new roman" w:hAnsi="times new roman"/>
          <w:b/>
          <w:bCs/>
          <w:color w:val="000000"/>
          <w:sz w:val="26"/>
          <w:szCs w:val="26"/>
        </w:rPr>
        <w:t xml:space="preserve">МІНІСТЕРСТВО ОСВІТИ І НАУКИ УКРАЇНИ </w:t>
      </w:r>
    </w:p>
    <w:p>
      <w:pPr>
        <w:pStyle w:val="normal1"/>
        <w:widowControl w:val="false"/>
        <w:tabs>
          <w:tab w:val="clear" w:pos="720"/>
          <w:tab w:val="left" w:pos="10530" w:leader="none"/>
        </w:tabs>
        <w:suppressAutoHyphens w:val="true"/>
        <w:bidi w:val="0"/>
        <w:spacing w:lineRule="auto" w:line="264" w:before="242" w:after="0"/>
        <w:ind w:hanging="0" w:start="-1169" w:end="-629"/>
        <w:jc w:val="center"/>
        <w:rPr>
          <w:color w:val="000000"/>
        </w:rPr>
      </w:pPr>
      <w:r>
        <w:rPr>
          <w:rFonts w:eastAsia="Times New Roman" w:cs="Times New Roman" w:ascii="times new roman" w:hAnsi="times new roman"/>
          <w:b/>
          <w:bCs/>
          <w:color w:val="000000"/>
          <w:sz w:val="26"/>
          <w:szCs w:val="26"/>
        </w:rPr>
        <w:t xml:space="preserve">ЛЬВІВСЬКИЙ НАЦІОНАЛЬНИЙ УНІВЕРСИТЕТ ІМЕНІ ІВАНА  ФРАНКА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color w:val="000000"/>
        </w:rPr>
      </w:pPr>
      <w:r>
        <w:rPr>
          <w:rFonts w:eastAsia="Times New Roman" w:cs="Times New Roman" w:ascii="times new roman" w:hAnsi="times new roman"/>
          <w:color w:val="000000"/>
          <w:sz w:val="26"/>
          <w:szCs w:val="26"/>
        </w:rPr>
        <w:t xml:space="preserve">Факультет електроніки та комп’ютерних технологій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color w:val="000000"/>
        </w:rPr>
      </w:pPr>
      <w:r>
        <w:rPr>
          <w:rFonts w:eastAsia="Times New Roman" w:cs="Times New Roman" w:ascii="times new roman" w:hAnsi="times new roman"/>
          <w:b/>
          <w:bCs/>
          <w:color w:val="000000"/>
          <w:sz w:val="26"/>
          <w:szCs w:val="26"/>
        </w:rPr>
        <w:t xml:space="preserve">ЗВІТ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color w:val="000000"/>
        </w:rPr>
      </w:pPr>
      <w:r>
        <w:rPr>
          <w:rFonts w:eastAsia="Times New Roman" w:cs="Times New Roman" w:ascii="times new roman" w:hAnsi="times new roman"/>
          <w:color w:val="000000"/>
          <w:sz w:val="26"/>
          <w:szCs w:val="26"/>
        </w:rPr>
        <w:t>про виконання лабораторної роботи №5</w:t>
      </w:r>
      <w:r>
        <w:rPr>
          <w:rFonts w:eastAsia="Times New Roman" w:cs="Times New Roman" w:ascii="times new roman" w:hAnsi="times new roman"/>
          <w:b/>
          <w:bCs/>
          <w:color w:val="000000"/>
          <w:sz w:val="26"/>
          <w:szCs w:val="26"/>
        </w:rPr>
        <w:t xml:space="preserve"> </w:t>
      </w:r>
    </w:p>
    <w:p>
      <w:pPr>
        <w:pStyle w:val="normal1"/>
        <w:widowControl w:val="false"/>
        <w:tabs>
          <w:tab w:val="clear" w:pos="720"/>
          <w:tab w:val="left" w:pos="10530" w:leader="none"/>
        </w:tabs>
        <w:suppressAutoHyphens w:val="true"/>
        <w:bidi w:val="0"/>
        <w:spacing w:lineRule="auto" w:line="240" w:before="241" w:after="0"/>
        <w:ind w:hanging="0" w:start="-1169" w:end="-629"/>
        <w:jc w:val="center"/>
        <w:rPr>
          <w:color w:val="000000"/>
        </w:rPr>
      </w:pPr>
      <w:r>
        <w:rPr>
          <w:rFonts w:eastAsia="Times New Roman" w:cs="Times New Roman" w:ascii="times new roman" w:hAnsi="times new roman"/>
          <w:color w:val="000000"/>
          <w:sz w:val="26"/>
          <w:szCs w:val="26"/>
        </w:rPr>
        <w:t xml:space="preserve">з дисципліни </w:t>
      </w:r>
      <w:r>
        <w:rPr>
          <w:rFonts w:eastAsia="Times New Roman" w:cs="Times New Roman" w:ascii="times new roman" w:hAnsi="times new roman"/>
          <w:b/>
          <w:bCs/>
          <w:color w:val="000000"/>
          <w:sz w:val="26"/>
          <w:szCs w:val="26"/>
        </w:rPr>
        <w:t xml:space="preserve">“Цифрова обробка інформації”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color w:val="000000"/>
        </w:rPr>
      </w:pPr>
      <w:r>
        <w:rPr>
          <w:rFonts w:eastAsia="Times New Roman" w:cs="Times New Roman" w:ascii="times new roman" w:hAnsi="times new roman"/>
          <w:color w:val="000000"/>
          <w:sz w:val="26"/>
          <w:szCs w:val="26"/>
        </w:rPr>
        <w:t xml:space="preserve">на тему </w:t>
      </w:r>
      <w:r>
        <w:rPr>
          <w:rFonts w:eastAsia="Times New Roman" w:cs="Times New Roman" w:ascii="times new roman" w:hAnsi="times new roman"/>
          <w:b/>
          <w:bCs/>
          <w:color w:val="000000"/>
          <w:sz w:val="26"/>
          <w:szCs w:val="26"/>
        </w:rPr>
        <w:t xml:space="preserve">“Маркування інформації”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widowControl w:val="false"/>
        <w:tabs>
          <w:tab w:val="clear" w:pos="720"/>
          <w:tab w:val="left" w:pos="10530" w:leader="none"/>
        </w:tabs>
        <w:suppressAutoHyphens w:val="true"/>
        <w:bidi w:val="0"/>
        <w:spacing w:lineRule="auto" w:line="240" w:before="244" w:after="0"/>
        <w:ind w:hanging="0" w:start="0" w:end="-629"/>
        <w:jc w:val="end"/>
        <w:rPr>
          <w:color w:val="000000"/>
        </w:rPr>
      </w:pPr>
      <w:r>
        <w:rPr>
          <w:rFonts w:eastAsia="Times New Roman" w:cs="Times New Roman" w:ascii="times new roman" w:hAnsi="times new roman"/>
          <w:color w:val="000000"/>
          <w:sz w:val="26"/>
          <w:szCs w:val="26"/>
        </w:rPr>
        <w:t xml:space="preserve">Виконав: </w:t>
      </w:r>
    </w:p>
    <w:p>
      <w:pPr>
        <w:pStyle w:val="normal1"/>
        <w:widowControl w:val="false"/>
        <w:tabs>
          <w:tab w:val="clear" w:pos="720"/>
          <w:tab w:val="left" w:pos="10530" w:leader="none"/>
        </w:tabs>
        <w:suppressAutoHyphens w:val="true"/>
        <w:bidi w:val="0"/>
        <w:spacing w:lineRule="auto" w:line="240" w:before="244" w:after="0"/>
        <w:ind w:hanging="0" w:start="-1169" w:end="-629"/>
        <w:jc w:val="end"/>
        <w:rPr>
          <w:color w:val="000000"/>
        </w:rPr>
      </w:pPr>
      <w:r>
        <w:rPr>
          <w:rFonts w:eastAsia="Times New Roman" w:cs="Times New Roman" w:ascii="times new roman" w:hAnsi="times new roman"/>
          <w:color w:val="000000"/>
          <w:sz w:val="26"/>
          <w:szCs w:val="26"/>
        </w:rPr>
        <w:t xml:space="preserve">Студент 3 курсу </w:t>
      </w:r>
    </w:p>
    <w:p>
      <w:pPr>
        <w:pStyle w:val="normal1"/>
        <w:widowControl w:val="false"/>
        <w:tabs>
          <w:tab w:val="clear" w:pos="720"/>
          <w:tab w:val="left" w:pos="10530" w:leader="none"/>
        </w:tabs>
        <w:suppressAutoHyphens w:val="true"/>
        <w:bidi w:val="0"/>
        <w:spacing w:lineRule="auto" w:line="240" w:before="244" w:after="0"/>
        <w:ind w:hanging="0" w:start="-1169" w:end="-629"/>
        <w:jc w:val="end"/>
        <w:rPr>
          <w:color w:val="000000"/>
        </w:rPr>
      </w:pPr>
      <w:r>
        <w:rPr>
          <w:rFonts w:eastAsia="Times New Roman" w:cs="Times New Roman" w:ascii="times new roman" w:hAnsi="times new roman"/>
          <w:color w:val="000000"/>
          <w:sz w:val="26"/>
          <w:szCs w:val="26"/>
        </w:rPr>
        <w:t xml:space="preserve">групи ФеП-32 </w:t>
      </w:r>
    </w:p>
    <w:p>
      <w:pPr>
        <w:pStyle w:val="normal1"/>
        <w:widowControl w:val="false"/>
        <w:tabs>
          <w:tab w:val="clear" w:pos="720"/>
          <w:tab w:val="left" w:pos="10530" w:leader="none"/>
        </w:tabs>
        <w:suppressAutoHyphens w:val="true"/>
        <w:bidi w:val="0"/>
        <w:spacing w:lineRule="auto" w:line="240" w:before="241" w:after="0"/>
        <w:ind w:hanging="0" w:start="-1169" w:end="-629"/>
        <w:jc w:val="end"/>
        <w:rPr>
          <w:color w:val="000000"/>
        </w:rPr>
      </w:pPr>
      <w:r>
        <w:rPr>
          <w:rFonts w:eastAsia="Times New Roman" w:cs="Times New Roman" w:ascii="times new roman" w:hAnsi="times new roman"/>
          <w:color w:val="000000"/>
          <w:sz w:val="26"/>
          <w:szCs w:val="26"/>
        </w:rPr>
        <w:t>Чепара Станіслав</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color w:val="000000"/>
        </w:rPr>
      </w:pPr>
      <w:r>
        <w:rPr>
          <w:rFonts w:eastAsia="Times New Roman" w:cs="Times New Roman" w:ascii="times new roman" w:hAnsi="times new roman"/>
          <w:color w:val="000000"/>
          <w:sz w:val="26"/>
          <w:szCs w:val="26"/>
        </w:rPr>
        <w:t xml:space="preserve">Перевірив: </w:t>
      </w:r>
    </w:p>
    <w:p>
      <w:pPr>
        <w:pStyle w:val="normal1"/>
        <w:widowControl w:val="false"/>
        <w:tabs>
          <w:tab w:val="clear" w:pos="720"/>
          <w:tab w:val="left" w:pos="10530" w:leader="none"/>
        </w:tabs>
        <w:suppressAutoHyphens w:val="true"/>
        <w:bidi w:val="0"/>
        <w:spacing w:lineRule="auto" w:line="240" w:before="241" w:after="0"/>
        <w:ind w:hanging="0" w:start="-1169" w:end="-629"/>
        <w:jc w:val="end"/>
        <w:rPr>
          <w:color w:val="000000"/>
        </w:rPr>
      </w:pPr>
      <w:r>
        <w:rPr>
          <w:rFonts w:eastAsia="Times New Roman" w:cs="Times New Roman" w:ascii="times new roman" w:hAnsi="times new roman"/>
          <w:color w:val="000000"/>
          <w:sz w:val="26"/>
          <w:szCs w:val="26"/>
        </w:rPr>
        <w:t xml:space="preserve">професор кафедри </w:t>
      </w:r>
    </w:p>
    <w:p>
      <w:pPr>
        <w:pStyle w:val="normal1"/>
        <w:widowControl w:val="false"/>
        <w:tabs>
          <w:tab w:val="clear" w:pos="720"/>
          <w:tab w:val="left" w:pos="10530" w:leader="none"/>
        </w:tabs>
        <w:suppressAutoHyphens w:val="true"/>
        <w:bidi w:val="0"/>
        <w:spacing w:lineRule="auto" w:line="240" w:before="241" w:after="0"/>
        <w:ind w:hanging="0" w:start="-1169" w:end="-629"/>
        <w:jc w:val="end"/>
        <w:rPr>
          <w:color w:val="000000"/>
        </w:rPr>
      </w:pPr>
      <w:r>
        <w:rPr>
          <w:rFonts w:eastAsia="Times New Roman" w:cs="Times New Roman" w:ascii="times new roman" w:hAnsi="times new roman"/>
          <w:color w:val="000000"/>
          <w:sz w:val="26"/>
          <w:szCs w:val="26"/>
        </w:rPr>
        <w:t xml:space="preserve">оптоелектроніки та </w:t>
      </w:r>
    </w:p>
    <w:p>
      <w:pPr>
        <w:pStyle w:val="normal1"/>
        <w:widowControl w:val="false"/>
        <w:tabs>
          <w:tab w:val="clear" w:pos="720"/>
          <w:tab w:val="left" w:pos="10530" w:leader="none"/>
        </w:tabs>
        <w:suppressAutoHyphens w:val="true"/>
        <w:bidi w:val="0"/>
        <w:spacing w:lineRule="auto" w:line="240" w:before="241" w:after="0"/>
        <w:ind w:hanging="0" w:start="-1169" w:end="-629"/>
        <w:jc w:val="end"/>
        <w:rPr>
          <w:color w:val="000000"/>
        </w:rPr>
      </w:pPr>
      <w:r>
        <w:rPr>
          <w:rFonts w:eastAsia="Times New Roman" w:cs="Times New Roman" w:ascii="times new roman" w:hAnsi="times new roman"/>
          <w:color w:val="000000"/>
          <w:sz w:val="26"/>
          <w:szCs w:val="26"/>
        </w:rPr>
        <w:t>інформаційних технологій</w:t>
      </w:r>
    </w:p>
    <w:p>
      <w:pPr>
        <w:pStyle w:val="normal1"/>
        <w:widowControl w:val="false"/>
        <w:tabs>
          <w:tab w:val="clear" w:pos="720"/>
          <w:tab w:val="left" w:pos="10530" w:leader="none"/>
        </w:tabs>
        <w:suppressAutoHyphens w:val="true"/>
        <w:bidi w:val="0"/>
        <w:spacing w:lineRule="auto" w:line="240" w:before="241" w:after="0"/>
        <w:ind w:hanging="0" w:start="-1169" w:end="-629"/>
        <w:jc w:val="end"/>
        <w:rPr>
          <w:color w:val="000000"/>
        </w:rPr>
      </w:pPr>
      <w:r>
        <w:rPr>
          <w:rFonts w:eastAsia="Times New Roman" w:cs="Times New Roman" w:ascii="times new roman" w:hAnsi="times new roman"/>
          <w:color w:val="000000"/>
          <w:sz w:val="26"/>
          <w:szCs w:val="26"/>
        </w:rPr>
        <w:t>Половинко Ігор Іванович</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spacing w:before="120" w:after="80"/>
        <w:jc w:val="center"/>
        <w:rPr>
          <w:color w:val="000000"/>
        </w:rPr>
      </w:pPr>
      <w:r>
        <w:rPr>
          <w:rFonts w:eastAsia="Times New Roman" w:cs="Times New Roman" w:ascii="times new roman" w:hAnsi="times new roman"/>
          <w:b/>
          <w:i/>
          <w:color w:val="000000"/>
          <w:sz w:val="26"/>
          <w:szCs w:val="26"/>
        </w:rPr>
        <w:t>Львів-2026</w:t>
      </w:r>
    </w:p>
    <w:p>
      <w:pPr>
        <w:pStyle w:val="Heading1"/>
        <w:spacing w:before="200" w:after="80"/>
        <w:rPr>
          <w:color w:val="000000"/>
        </w:rPr>
      </w:pPr>
      <w:r>
        <w:rPr>
          <w:rFonts w:ascii="Times New Roman" w:hAnsi="Times New Roman"/>
          <w:b/>
          <w:color w:val="000000"/>
          <w:sz w:val="30"/>
        </w:rPr>
        <w:t>1. Мета роботи</w:t>
      </w:r>
    </w:p>
    <w:p>
      <w:pPr>
        <w:pStyle w:val="Normal"/>
        <w:rPr>
          <w:color w:val="000000"/>
        </w:rPr>
      </w:pPr>
      <w:r>
        <w:rPr>
          <w:color w:val="000000"/>
        </w:rPr>
        <w:t>Ознайомитися з теоретичними засадами та практичними методами нанесення оптичних маркерів (цифрових водяних знаків) на цифрові зображення. Дослідити алгоритм накладання видимого оптичного маркеру за допомогою лінійного зваженого змішування кольорів (Alpha Blending) засобами бібліотеки OpenCV строго на тестових зразках із методичних вказівок (32.png та wt1.jpg). Реалізувати та дослідити просторовий стеганографічний алгоритм вбудовування і вилучення прихованого цифрового водяного знака за методом модифікації найменш значущих бітів (LSB — Least Significant Bit) на тестовому контейнері original.png та маркері marker.png. Провести кількісний аналіз внесених спотворень та оцінку непомітності маркування за допомогою метрик середньоквадратичної похибки (MSE) та пікового відношення сигналу до шуму (PSNR).</w:t>
      </w:r>
    </w:p>
    <w:p>
      <w:pPr>
        <w:pStyle w:val="Heading1"/>
        <w:spacing w:before="200" w:after="80"/>
        <w:rPr>
          <w:color w:val="000000"/>
        </w:rPr>
      </w:pPr>
      <w:r>
        <w:rPr>
          <w:rFonts w:ascii="Times New Roman" w:hAnsi="Times New Roman"/>
          <w:b/>
          <w:color w:val="000000"/>
          <w:sz w:val="30"/>
        </w:rPr>
        <w:t>2. Теоретичні відомості та математичні моделі</w:t>
      </w:r>
    </w:p>
    <w:p>
      <w:pPr>
        <w:pStyle w:val="Normal"/>
        <w:rPr>
          <w:color w:val="000000"/>
        </w:rPr>
      </w:pPr>
      <w:r>
        <w:rPr>
          <w:color w:val="000000"/>
        </w:rPr>
        <w:t>Маркування мультимедійної інформації є фундаментальним інструментом захисту авторського права, контролю автентичності та відстеження розповсюдження цифрових копій. Оптичні маркери (ОМ) за способом сприйняття поділяють на дві ключові категорії:</w:t>
        <w:br/>
        <w:t>1. Видимі оптичні маркери — графічні логотипи або ідентифікатори, що наносяться безпосередньо поверх вмісту файлу-носія у напівпрозорому вигляді з метою відкритої демонстрації власності та запобігання несанкціонованому використанню.</w:t>
        <w:br/>
        <w:t>2. Приховані (стеганографічні) маркери — інформаційні мітки, що вбудовуються у внутрішню цифрову структуру носія і залишаються візуально непомітними для спостерігача, забезпечуючи таємну автентифікацію контенту.</w:t>
      </w:r>
    </w:p>
    <w:p>
      <w:pPr>
        <w:pStyle w:val="Normal"/>
        <w:rPr>
          <w:color w:val="000000"/>
        </w:rPr>
      </w:pPr>
      <w:r>
        <w:rPr>
          <w:color w:val="000000"/>
        </w:rPr>
        <w:t>За областю вбудовування розрізняють просторові (spatial domain) та частотні (frequency domain) методи. Частотні методи (на основі дискретного косинусного перетворення ДКП, вейвлет-перетворення ДВП або перетворення Фур'є) модифікують спектральні коефіцієнти зображення. Перевагою просторових алгоритмів є простота реалізації та відсутність потреби у ресурсомістких спектральних обчисленнях, що робить їх ефективними для потокової обробки даних.</w:t>
      </w:r>
    </w:p>
    <w:tbl>
      <w:tblPr>
        <w:tblW w:w="997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324"/>
        <w:gridCol w:w="3324"/>
        <w:gridCol w:w="3324"/>
      </w:tblGrid>
      <w:tr>
        <w:trPr/>
        <w:tc>
          <w:tcPr>
            <w:tcW w:w="3324" w:type="dxa"/>
            <w:tcBorders/>
            <w:shd w:fill="EAECEF" w:val="clear"/>
          </w:tcPr>
          <w:p>
            <w:pPr>
              <w:pStyle w:val="Normal"/>
              <w:spacing w:before="0" w:after="80"/>
              <w:jc w:val="center"/>
              <w:rPr>
                <w:color w:val="000000"/>
              </w:rPr>
            </w:pPr>
            <w:r>
              <w:rPr>
                <w:b/>
                <w:color w:val="000000"/>
                <w:sz w:val="21"/>
              </w:rPr>
              <w:t>Критерій порівняння</w:t>
            </w:r>
          </w:p>
        </w:tc>
        <w:tc>
          <w:tcPr>
            <w:tcW w:w="3324" w:type="dxa"/>
            <w:tcBorders/>
            <w:shd w:fill="EAECEF" w:val="clear"/>
          </w:tcPr>
          <w:p>
            <w:pPr>
              <w:pStyle w:val="Normal"/>
              <w:spacing w:before="0" w:after="80"/>
              <w:jc w:val="center"/>
              <w:rPr>
                <w:color w:val="000000"/>
              </w:rPr>
            </w:pPr>
            <w:r>
              <w:rPr>
                <w:b/>
                <w:color w:val="000000"/>
                <w:sz w:val="21"/>
              </w:rPr>
              <w:t>Просторові методи (LSB, Blending)</w:t>
            </w:r>
          </w:p>
        </w:tc>
        <w:tc>
          <w:tcPr>
            <w:tcW w:w="3324" w:type="dxa"/>
            <w:tcBorders/>
            <w:shd w:fill="EAECEF" w:val="clear"/>
          </w:tcPr>
          <w:p>
            <w:pPr>
              <w:pStyle w:val="Normal"/>
              <w:spacing w:before="0" w:after="80"/>
              <w:jc w:val="center"/>
              <w:rPr>
                <w:color w:val="000000"/>
              </w:rPr>
            </w:pPr>
            <w:r>
              <w:rPr>
                <w:b/>
                <w:color w:val="000000"/>
                <w:sz w:val="21"/>
              </w:rPr>
              <w:t>Частотні методи (DCT, DWT)</w:t>
            </w:r>
          </w:p>
        </w:tc>
      </w:tr>
      <w:tr>
        <w:trPr/>
        <w:tc>
          <w:tcPr>
            <w:tcW w:w="3324" w:type="dxa"/>
            <w:tcBorders/>
            <w:shd w:fill="FFFFFF" w:val="clear"/>
          </w:tcPr>
          <w:p>
            <w:pPr>
              <w:pStyle w:val="Normal"/>
              <w:spacing w:before="0" w:after="80"/>
              <w:jc w:val="center"/>
              <w:rPr>
                <w:color w:val="000000"/>
              </w:rPr>
            </w:pPr>
            <w:r>
              <w:rPr>
                <w:color w:val="000000"/>
                <w:sz w:val="20"/>
              </w:rPr>
              <w:t>Обчислювальна складність</w:t>
            </w:r>
          </w:p>
        </w:tc>
        <w:tc>
          <w:tcPr>
            <w:tcW w:w="3324" w:type="dxa"/>
            <w:tcBorders/>
            <w:shd w:fill="FFFFFF" w:val="clear"/>
          </w:tcPr>
          <w:p>
            <w:pPr>
              <w:pStyle w:val="Normal"/>
              <w:spacing w:before="0" w:after="80"/>
              <w:jc w:val="center"/>
              <w:rPr>
                <w:color w:val="000000"/>
              </w:rPr>
            </w:pPr>
            <w:r>
              <w:rPr>
                <w:color w:val="000000"/>
                <w:sz w:val="20"/>
              </w:rPr>
              <w:t>Мінімальна (побітові операції)</w:t>
            </w:r>
          </w:p>
        </w:tc>
        <w:tc>
          <w:tcPr>
            <w:tcW w:w="3324" w:type="dxa"/>
            <w:tcBorders/>
            <w:shd w:fill="FFFFFF" w:val="clear"/>
          </w:tcPr>
          <w:p>
            <w:pPr>
              <w:pStyle w:val="Normal"/>
              <w:spacing w:before="0" w:after="80"/>
              <w:jc w:val="center"/>
              <w:rPr>
                <w:color w:val="000000"/>
              </w:rPr>
            </w:pPr>
            <w:r>
              <w:rPr>
                <w:color w:val="000000"/>
                <w:sz w:val="20"/>
              </w:rPr>
              <w:t>Висока (матричні інтегральні перетворення)</w:t>
            </w:r>
          </w:p>
        </w:tc>
      </w:tr>
      <w:tr>
        <w:trPr/>
        <w:tc>
          <w:tcPr>
            <w:tcW w:w="3324" w:type="dxa"/>
            <w:tcBorders/>
            <w:shd w:fill="F9FBFD" w:val="clear"/>
          </w:tcPr>
          <w:p>
            <w:pPr>
              <w:pStyle w:val="Normal"/>
              <w:spacing w:before="0" w:after="80"/>
              <w:jc w:val="center"/>
              <w:rPr>
                <w:color w:val="000000"/>
              </w:rPr>
            </w:pPr>
            <w:r>
              <w:rPr>
                <w:color w:val="000000"/>
                <w:sz w:val="20"/>
              </w:rPr>
              <w:t>Інформаційна ємність</w:t>
            </w:r>
          </w:p>
        </w:tc>
        <w:tc>
          <w:tcPr>
            <w:tcW w:w="3324" w:type="dxa"/>
            <w:tcBorders/>
            <w:shd w:fill="F9FBFD" w:val="clear"/>
          </w:tcPr>
          <w:p>
            <w:pPr>
              <w:pStyle w:val="Normal"/>
              <w:spacing w:before="0" w:after="80"/>
              <w:jc w:val="center"/>
              <w:rPr>
                <w:color w:val="000000"/>
              </w:rPr>
            </w:pPr>
            <w:r>
              <w:rPr>
                <w:color w:val="000000"/>
                <w:sz w:val="20"/>
              </w:rPr>
              <w:t>Висока (до 2-4 біт на канал)</w:t>
            </w:r>
          </w:p>
        </w:tc>
        <w:tc>
          <w:tcPr>
            <w:tcW w:w="3324" w:type="dxa"/>
            <w:tcBorders/>
            <w:shd w:fill="F9FBFD" w:val="clear"/>
          </w:tcPr>
          <w:p>
            <w:pPr>
              <w:pStyle w:val="Normal"/>
              <w:spacing w:before="0" w:after="80"/>
              <w:jc w:val="center"/>
              <w:rPr>
                <w:color w:val="000000"/>
              </w:rPr>
            </w:pPr>
            <w:r>
              <w:rPr>
                <w:color w:val="000000"/>
                <w:sz w:val="20"/>
              </w:rPr>
              <w:t>Низька (обмежена кількістю коефіцієнтів)</w:t>
            </w:r>
          </w:p>
        </w:tc>
      </w:tr>
      <w:tr>
        <w:trPr/>
        <w:tc>
          <w:tcPr>
            <w:tcW w:w="3324" w:type="dxa"/>
            <w:tcBorders/>
            <w:shd w:fill="FFFFFF" w:val="clear"/>
          </w:tcPr>
          <w:p>
            <w:pPr>
              <w:pStyle w:val="Normal"/>
              <w:spacing w:before="0" w:after="80"/>
              <w:jc w:val="center"/>
              <w:rPr>
                <w:color w:val="000000"/>
              </w:rPr>
            </w:pPr>
            <w:r>
              <w:rPr>
                <w:color w:val="000000"/>
                <w:sz w:val="20"/>
              </w:rPr>
              <w:t>Візуальна непомітність</w:t>
            </w:r>
          </w:p>
        </w:tc>
        <w:tc>
          <w:tcPr>
            <w:tcW w:w="3324" w:type="dxa"/>
            <w:tcBorders/>
            <w:shd w:fill="FFFFFF" w:val="clear"/>
          </w:tcPr>
          <w:p>
            <w:pPr>
              <w:pStyle w:val="Normal"/>
              <w:spacing w:before="0" w:after="80"/>
              <w:jc w:val="center"/>
              <w:rPr>
                <w:color w:val="000000"/>
              </w:rPr>
            </w:pPr>
            <w:r>
              <w:rPr>
                <w:color w:val="000000"/>
                <w:sz w:val="20"/>
              </w:rPr>
              <w:t>Висока при малому числі LSB бітів</w:t>
            </w:r>
          </w:p>
        </w:tc>
        <w:tc>
          <w:tcPr>
            <w:tcW w:w="3324" w:type="dxa"/>
            <w:tcBorders/>
            <w:shd w:fill="FFFFFF" w:val="clear"/>
          </w:tcPr>
          <w:p>
            <w:pPr>
              <w:pStyle w:val="Normal"/>
              <w:spacing w:before="0" w:after="80"/>
              <w:jc w:val="center"/>
              <w:rPr>
                <w:color w:val="000000"/>
              </w:rPr>
            </w:pPr>
            <w:r>
              <w:rPr>
                <w:color w:val="000000"/>
                <w:sz w:val="20"/>
              </w:rPr>
              <w:t>Висока (розмиття по всьому зображенню)</w:t>
            </w:r>
          </w:p>
        </w:tc>
      </w:tr>
      <w:tr>
        <w:trPr/>
        <w:tc>
          <w:tcPr>
            <w:tcW w:w="3324" w:type="dxa"/>
            <w:tcBorders/>
            <w:shd w:fill="F9FBFD" w:val="clear"/>
          </w:tcPr>
          <w:p>
            <w:pPr>
              <w:pStyle w:val="Normal"/>
              <w:spacing w:before="0" w:after="80"/>
              <w:jc w:val="center"/>
              <w:rPr>
                <w:color w:val="000000"/>
              </w:rPr>
            </w:pPr>
            <w:r>
              <w:rPr>
                <w:color w:val="000000"/>
                <w:sz w:val="20"/>
              </w:rPr>
              <w:t>Стійкість до компресії</w:t>
            </w:r>
          </w:p>
        </w:tc>
        <w:tc>
          <w:tcPr>
            <w:tcW w:w="3324" w:type="dxa"/>
            <w:tcBorders/>
            <w:shd w:fill="F9FBFD" w:val="clear"/>
          </w:tcPr>
          <w:p>
            <w:pPr>
              <w:pStyle w:val="Normal"/>
              <w:spacing w:before="0" w:after="80"/>
              <w:jc w:val="center"/>
              <w:rPr>
                <w:color w:val="000000"/>
              </w:rPr>
            </w:pPr>
            <w:r>
              <w:rPr>
                <w:color w:val="000000"/>
                <w:sz w:val="20"/>
              </w:rPr>
              <w:t>Чутливі до сильного JPEG-стиснення</w:t>
            </w:r>
          </w:p>
        </w:tc>
        <w:tc>
          <w:tcPr>
            <w:tcW w:w="3324" w:type="dxa"/>
            <w:tcBorders/>
            <w:shd w:fill="F9FBFD" w:val="clear"/>
          </w:tcPr>
          <w:p>
            <w:pPr>
              <w:pStyle w:val="Normal"/>
              <w:spacing w:before="0" w:after="80"/>
              <w:jc w:val="center"/>
              <w:rPr>
                <w:color w:val="000000"/>
              </w:rPr>
            </w:pPr>
            <w:r>
              <w:rPr>
                <w:color w:val="000000"/>
                <w:sz w:val="20"/>
              </w:rPr>
              <w:t>Висока стійкість до фільтрації та компресії</w:t>
            </w:r>
          </w:p>
        </w:tc>
      </w:tr>
    </w:tbl>
    <w:p>
      <w:pPr>
        <w:pStyle w:val="Normal"/>
        <w:rPr>
          <w:color w:val="000000"/>
        </w:rPr>
      </w:pPr>
      <w:r>
        <w:rPr>
          <w:color w:val="000000"/>
        </w:rPr>
      </w:r>
    </w:p>
    <w:p>
      <w:pPr>
        <w:pStyle w:val="Normal"/>
        <w:rPr>
          <w:color w:val="000000"/>
        </w:rPr>
      </w:pPr>
      <w:r>
        <w:rPr>
          <w:color w:val="000000"/>
        </w:rPr>
        <w:t>1. Лінійне зважене змішування (Alpha Blending) для накладання видимого маркеру:</w:t>
        <w:br/>
        <w:t>Алгоритм формує пікселі результуючої області інтересу (ROI) шляхом лінійної комбінації значень вихідного зображення і логотипа за формулою:</w:t>
      </w:r>
    </w:p>
    <w:p>
      <w:pPr>
        <w:pStyle w:val="Normal"/>
        <w:spacing w:before="80" w:after="80"/>
        <w:jc w:val="center"/>
        <w:rPr>
          <w:color w:val="000000"/>
        </w:rPr>
      </w:pPr>
      <w:r>
        <w:rPr/>
      </w:r>
      <m:oMath xmlns:m="http://schemas.openxmlformats.org/officeDocument/2006/math">
        <m:sSub>
          <m:e>
            <m:r>
              <m:t xml:space="preserve">I</m:t>
            </m:r>
          </m:e>
          <m:sub>
            <m:r>
              <m:t xml:space="preserve">res</m:t>
            </m:r>
          </m:sub>
        </m:sSub>
        <m:d>
          <m:dPr>
            <m:begChr m:val="("/>
            <m:endChr m:val=")"/>
          </m:dPr>
          <m:e>
            <m:r>
              <m:t xml:space="preserve">x</m:t>
            </m:r>
            <m:r>
              <m:t xml:space="preserve">,</m:t>
            </m:r>
            <m:r>
              <m:rPr>
                <m:lit/>
                <m:nor/>
              </m:rPr>
              <m:t xml:space="preserve"> </m:t>
            </m:r>
            <m:r>
              <m:t xml:space="preserve">y</m:t>
            </m:r>
          </m:e>
        </m:d>
        <m:r>
          <m:rPr>
            <m:lit/>
            <m:nor/>
          </m:rPr>
          <m:t xml:space="preserve">=</m:t>
        </m:r>
        <m:r>
          <m:rPr>
            <m:lit/>
            <m:nor/>
          </m:rPr>
          <m:t xml:space="preserve"> </m:t>
        </m:r>
        <m:r>
          <m:t xml:space="preserve">α</m:t>
        </m:r>
        <m:r>
          <m:rPr>
            <m:lit/>
            <m:nor/>
          </m:rPr>
          <m:t xml:space="preserve"> </m:t>
        </m:r>
        <m:r>
          <m:t xml:space="preserve">·</m:t>
        </m:r>
        <m:sSub>
          <m:e>
            <m:r>
              <m:t xml:space="preserve">I</m:t>
            </m:r>
          </m:e>
          <m:sub>
            <m:r>
              <m:t xml:space="preserve">base</m:t>
            </m:r>
          </m:sub>
        </m:sSub>
        <m:d>
          <m:dPr>
            <m:begChr m:val="("/>
            <m:endChr m:val=")"/>
          </m:dPr>
          <m:e>
            <m:r>
              <m:t xml:space="preserve">x</m:t>
            </m:r>
            <m:r>
              <m:t xml:space="preserve">,</m:t>
            </m:r>
            <m:r>
              <m:rPr>
                <m:lit/>
                <m:nor/>
              </m:rPr>
              <m:t xml:space="preserve"> </m:t>
            </m:r>
            <m:r>
              <m:t xml:space="preserve">y</m:t>
            </m:r>
          </m:e>
        </m:d>
        <m:r>
          <m:rPr>
            <m:lit/>
            <m:nor/>
          </m:rPr>
          <m:t xml:space="preserve">+</m:t>
        </m:r>
        <m:r>
          <m:rPr>
            <m:lit/>
            <m:nor/>
          </m:rPr>
          <m:t xml:space="preserve"> </m:t>
        </m:r>
        <m:r>
          <m:t xml:space="preserve">β</m:t>
        </m:r>
        <m:r>
          <m:rPr>
            <m:lit/>
            <m:nor/>
          </m:rPr>
          <m:t xml:space="preserve"> </m:t>
        </m:r>
        <m:r>
          <m:t xml:space="preserve">·</m:t>
        </m:r>
        <m:sSub>
          <m:e>
            <m:r>
              <m:t xml:space="preserve">I</m:t>
            </m:r>
          </m:e>
          <m:sub>
            <m:r>
              <m:t xml:space="preserve">logo</m:t>
            </m:r>
          </m:sub>
        </m:sSub>
        <m:d>
          <m:dPr>
            <m:begChr m:val="("/>
            <m:endChr m:val=")"/>
          </m:dPr>
          <m:e>
            <m:r>
              <m:t xml:space="preserve">x</m:t>
            </m:r>
            <m:r>
              <m:t xml:space="preserve">,</m:t>
            </m:r>
            <m:r>
              <m:rPr>
                <m:lit/>
                <m:nor/>
              </m:rPr>
              <m:t xml:space="preserve"> </m:t>
            </m:r>
            <m:r>
              <m:t xml:space="preserve">y</m:t>
            </m:r>
          </m:e>
        </m:d>
        <m:r>
          <m:rPr>
            <m:lit/>
            <m:nor/>
          </m:rPr>
          <m:t xml:space="preserve">+</m:t>
        </m:r>
        <m:r>
          <m:rPr>
            <m:lit/>
            <m:nor/>
          </m:rPr>
          <m:t xml:space="preserve"> </m:t>
        </m:r>
        <m:r>
          <m:t xml:space="preserve">γ</m:t>
        </m:r>
      </m:oMath>
      <w:r>
        <w:rPr>
          <w:color w:val="000000"/>
          <w:sz w:val="24"/>
        </w:rPr>
        <w:t xml:space="preserve">    </w:t>
      </w:r>
      <w:r>
        <w:rPr>
          <w:color w:val="000000"/>
          <w:sz w:val="24"/>
        </w:rPr>
        <w:t>(1)</w:t>
      </w:r>
    </w:p>
    <w:p>
      <w:pPr>
        <w:pStyle w:val="Normal"/>
        <w:rPr>
          <w:color w:val="000000"/>
        </w:rPr>
      </w:pPr>
      <w:r>
        <w:rPr>
          <w:color w:val="000000"/>
        </w:rPr>
        <w:t>де α = 1.0 (коефіцієнт збереження базового фону), β = 0.7 (коефіцієнт інтенсивності маркеру), γ = 0 (адитивне зміщення яскравості).</w:t>
      </w:r>
    </w:p>
    <w:p>
      <w:pPr>
        <w:pStyle w:val="Normal"/>
        <w:rPr>
          <w:color w:val="000000"/>
        </w:rPr>
      </w:pPr>
      <w:r>
        <w:rPr>
          <w:color w:val="000000"/>
        </w:rPr>
        <w:t>2. Метод модифікації молодших значущих бітів (LSB Steganography):</w:t>
        <w:br/>
        <w:t>Кожен колірний канал пікселя 24-бітного цифрового RGB-зображення представлений 8-ма бітами (0..255). Старші розряди (MSB) несуть основну візуальну енергію сигналу, тоді як молодші розряди (LSB) мають шумоподібний характер. Заміна 2 молодших бітів змінює числове значення яскравості максимум на ±3 одиниці, що знаходиться значно нижче порогу чутливості людського зору (Just Noticeable Difference, JND). Вбудовування виконується за побітовою формулою:</w:t>
      </w:r>
    </w:p>
    <w:p>
      <w:pPr>
        <w:pStyle w:val="Normal"/>
        <w:spacing w:before="80" w:after="80"/>
        <w:jc w:val="center"/>
        <w:rPr>
          <w:color w:val="000000"/>
        </w:rPr>
      </w:pPr>
      <w:r>
        <w:rPr/>
      </w:r>
      <m:oMath xmlns:m="http://schemas.openxmlformats.org/officeDocument/2006/math">
        <m:sSup>
          <m:e>
            <m:sSub>
              <m:e>
                <m:r>
                  <m:t xml:space="preserve">I</m:t>
                </m:r>
              </m:e>
              <m:sub>
                <m:r>
                  <m:t xml:space="preserve">base</m:t>
                </m:r>
              </m:sub>
            </m:sSub>
          </m:e>
          <m:sup>
            <m:r>
              <m:t xml:space="preserve">′</m:t>
            </m:r>
          </m:sup>
        </m:sSup>
        <m:d>
          <m:dPr>
            <m:begChr m:val="("/>
            <m:endChr m:val=")"/>
          </m:dPr>
          <m:e>
            <m:r>
              <m:t xml:space="preserve">x</m:t>
            </m:r>
            <m:r>
              <m:t xml:space="preserve">,</m:t>
            </m:r>
            <m:r>
              <m:rPr>
                <m:lit/>
                <m:nor/>
              </m:rPr>
              <m:t xml:space="preserve"> </m:t>
            </m:r>
            <m:r>
              <m:t xml:space="preserve">y</m:t>
            </m:r>
            <m:r>
              <m:t xml:space="preserve">,</m:t>
            </m:r>
            <m:r>
              <m:rPr>
                <m:lit/>
                <m:nor/>
              </m:rPr>
              <m:t xml:space="preserve"> </m:t>
            </m:r>
            <m:r>
              <m:t xml:space="preserve">c</m:t>
            </m:r>
          </m:e>
        </m:d>
        <m:r>
          <m:rPr>
            <m:lit/>
            <m:nor/>
          </m:rPr>
          <m:t xml:space="preserve">=</m:t>
        </m:r>
        <m:d>
          <m:dPr>
            <m:begChr m:val="("/>
            <m:endChr m:val=")"/>
          </m:dPr>
          <m:e>
            <m:sSub>
              <m:e>
                <m:r>
                  <m:t xml:space="preserve">I</m:t>
                </m:r>
              </m:e>
              <m:sub>
                <m:r>
                  <m:t xml:space="preserve">base</m:t>
                </m:r>
              </m:sub>
            </m:sSub>
            <m:d>
              <m:dPr>
                <m:begChr m:val="("/>
                <m:endChr m:val=")"/>
              </m:dPr>
              <m:e>
                <m:r>
                  <m:t xml:space="preserve">x</m:t>
                </m:r>
                <m:r>
                  <m:t xml:space="preserve">,</m:t>
                </m:r>
                <m:r>
                  <m:rPr>
                    <m:lit/>
                    <m:nor/>
                  </m:rPr>
                  <m:t xml:space="preserve"> </m:t>
                </m:r>
                <m:r>
                  <m:t xml:space="preserve">y</m:t>
                </m:r>
                <m:r>
                  <m:t xml:space="preserve">,</m:t>
                </m:r>
                <m:r>
                  <m:rPr>
                    <m:lit/>
                    <m:nor/>
                  </m:rPr>
                  <m:t xml:space="preserve"> </m:t>
                </m:r>
                <m:r>
                  <m:t xml:space="preserve">c</m:t>
                </m:r>
              </m:e>
            </m:d>
            <m:r>
              <m:rPr>
                <m:lit/>
                <m:nor/>
              </m:rPr>
              <m:t xml:space="preserve">&amp;</m:t>
            </m:r>
            <m:r>
              <m:rPr>
                <m:lit/>
                <m:nor/>
              </m:rPr>
              <m:t xml:space="preserve"> </m:t>
            </m:r>
            <m:r>
              <m:t xml:space="preserve">252</m:t>
            </m:r>
          </m:e>
        </m:d>
        <m:r>
          <m:rPr>
            <m:lit/>
            <m:nor/>
          </m:rPr>
          <m:t xml:space="preserve">|</m:t>
        </m:r>
        <m:d>
          <m:dPr>
            <m:begChr m:val="("/>
            <m:endChr m:val=")"/>
          </m:dPr>
          <m:e>
            <m:sSub>
              <m:e>
                <m:r>
                  <m:t xml:space="preserve">M</m:t>
                </m:r>
              </m:e>
              <m:sub>
                <m:r>
                  <m:t xml:space="preserve">bits</m:t>
                </m:r>
              </m:sub>
            </m:sSub>
            <m:d>
              <m:dPr>
                <m:begChr m:val="("/>
                <m:endChr m:val=")"/>
              </m:dPr>
              <m:e>
                <m:r>
                  <m:t xml:space="preserve">x</m:t>
                </m:r>
                <m:r>
                  <m:t xml:space="preserve">,</m:t>
                </m:r>
                <m:r>
                  <m:rPr>
                    <m:lit/>
                    <m:nor/>
                  </m:rPr>
                  <m:t xml:space="preserve"> </m:t>
                </m:r>
                <m:r>
                  <m:t xml:space="preserve">y</m:t>
                </m:r>
              </m:e>
            </m:d>
            <m:r>
              <m:rPr>
                <m:lit/>
                <m:nor/>
              </m:rPr>
              <m:t xml:space="preserve">&amp;</m:t>
            </m:r>
            <m:r>
              <m:rPr>
                <m:lit/>
                <m:nor/>
              </m:rPr>
              <m:t xml:space="preserve"> </m:t>
            </m:r>
            <m:r>
              <m:t xml:space="preserve">3</m:t>
            </m:r>
          </m:e>
        </m:d>
      </m:oMath>
      <w:r>
        <w:rPr>
          <w:color w:val="000000"/>
          <w:sz w:val="24"/>
        </w:rPr>
        <w:t xml:space="preserve">    </w:t>
      </w:r>
      <w:r>
        <w:rPr>
          <w:color w:val="000000"/>
          <w:sz w:val="24"/>
        </w:rPr>
        <w:t>(2)</w:t>
      </w:r>
    </w:p>
    <w:p>
      <w:pPr>
        <w:pStyle w:val="Normal"/>
        <w:rPr>
          <w:color w:val="000000"/>
        </w:rPr>
      </w:pPr>
      <w:r>
        <w:rPr>
          <w:color w:val="000000"/>
        </w:rPr>
        <w:t>де маска 252₁₀ = 11111100₂ обнуляє два молодших біти контейнера, а 2-бітне повідомлення формується дискретизацією значень маркеру на 4 квантовані рівні {0, 1, 2, 3}:</w:t>
      </w:r>
    </w:p>
    <w:p>
      <w:pPr>
        <w:pStyle w:val="Normal"/>
        <w:spacing w:before="80" w:after="80"/>
        <w:jc w:val="center"/>
        <w:rPr>
          <w:color w:val="000000"/>
        </w:rPr>
      </w:pPr>
      <w:r>
        <w:rPr/>
      </w:r>
      <m:oMath xmlns:m="http://schemas.openxmlformats.org/officeDocument/2006/math">
        <m:sSub>
          <m:e>
            <m:r>
              <m:t xml:space="preserve">M</m:t>
            </m:r>
          </m:e>
          <m:sub>
            <m:r>
              <m:t xml:space="preserve">bits</m:t>
            </m:r>
          </m:sub>
        </m:sSub>
        <m:d>
          <m:dPr>
            <m:begChr m:val="("/>
            <m:endChr m:val=")"/>
          </m:dPr>
          <m:e>
            <m:r>
              <m:t xml:space="preserve">x</m:t>
            </m:r>
            <m:r>
              <m:t xml:space="preserve">,</m:t>
            </m:r>
            <m:r>
              <m:rPr>
                <m:lit/>
                <m:nor/>
              </m:rPr>
              <m:t xml:space="preserve"> </m:t>
            </m:r>
            <m:r>
              <m:t xml:space="preserve">y</m:t>
            </m:r>
          </m:e>
        </m:d>
        <m:r>
          <m:rPr>
            <m:lit/>
            <m:nor/>
          </m:rPr>
          <m:t xml:space="preserve">=</m:t>
        </m:r>
        <m:r>
          <m:t xml:space="preserve">⌊</m:t>
        </m:r>
        <m:f>
          <m:num>
            <m:r>
              <m:t xml:space="preserve">M</m:t>
            </m:r>
            <m:r>
              <m:t xml:space="preserve">(</m:t>
            </m:r>
            <m:r>
              <m:t xml:space="preserve">x</m:t>
            </m:r>
            <m:r>
              <m:t xml:space="preserve">,</m:t>
            </m:r>
            <m:r>
              <m:rPr>
                <m:lit/>
                <m:nor/>
              </m:rPr>
              <m:t xml:space="preserve"> </m:t>
            </m:r>
            <m:r>
              <m:t xml:space="preserve">y</m:t>
            </m:r>
            <m:r>
              <m:t xml:space="preserve">)</m:t>
            </m:r>
          </m:num>
          <m:den>
            <m:r>
              <m:t xml:space="preserve">85</m:t>
            </m:r>
          </m:den>
        </m:f>
        <m:r>
          <m:t xml:space="preserve">⌋</m:t>
        </m:r>
      </m:oMath>
      <w:r>
        <w:rPr>
          <w:color w:val="000000"/>
          <w:sz w:val="24"/>
        </w:rPr>
        <w:t xml:space="preserve">    </w:t>
      </w:r>
      <w:r>
        <w:rPr>
          <w:color w:val="000000"/>
          <w:sz w:val="24"/>
        </w:rPr>
        <w:t>(3)</w:t>
      </w:r>
    </w:p>
    <w:p>
      <w:pPr>
        <w:pStyle w:val="Normal"/>
        <w:rPr>
          <w:color w:val="000000"/>
        </w:rPr>
      </w:pPr>
      <w:r>
        <w:rPr>
          <w:color w:val="000000"/>
        </w:rPr>
        <w:t>Для зчитування маркеру з кожного колірного каналу R, G, B виділяються 2 LSB біти, усереднюються між трьома каналами для мінімізації випадкових похибок і масштабуються до повної 8-бітної шкали:</w:t>
      </w:r>
    </w:p>
    <w:p>
      <w:pPr>
        <w:pStyle w:val="Normal"/>
        <w:spacing w:before="80" w:after="80"/>
        <w:jc w:val="center"/>
        <w:rPr>
          <w:color w:val="000000"/>
        </w:rPr>
      </w:pPr>
      <w:r>
        <w:rPr/>
      </w:r>
      <m:oMath xmlns:m="http://schemas.openxmlformats.org/officeDocument/2006/math">
        <m:sSub>
          <m:e>
            <m:r>
              <m:t xml:space="preserve">M</m:t>
            </m:r>
          </m:e>
          <m:sub>
            <m:r>
              <m:t xml:space="preserve">ext</m:t>
            </m:r>
          </m:sub>
        </m:sSub>
        <m:d>
          <m:dPr>
            <m:begChr m:val="("/>
            <m:endChr m:val=")"/>
          </m:dPr>
          <m:e>
            <m:r>
              <m:t xml:space="preserve">x</m:t>
            </m:r>
            <m:r>
              <m:t xml:space="preserve">,</m:t>
            </m:r>
            <m:r>
              <m:rPr>
                <m:lit/>
                <m:nor/>
              </m:rPr>
              <m:t xml:space="preserve"> </m:t>
            </m:r>
            <m:r>
              <m:t xml:space="preserve">y</m:t>
            </m:r>
          </m:e>
        </m:d>
        <m:r>
          <m:rPr>
            <m:lit/>
            <m:nor/>
          </m:rPr>
          <m:t xml:space="preserve">=</m:t>
        </m:r>
        <m:r>
          <m:rPr>
            <m:lit/>
            <m:nor/>
          </m:rPr>
          <m:t xml:space="preserve"> </m:t>
        </m:r>
        <m:r>
          <m:t xml:space="preserve">round</m:t>
        </m:r>
        <m:d>
          <m:dPr>
            <m:begChr m:val="("/>
            <m:endChr m:val=")"/>
          </m:dPr>
          <m:e>
            <m:f>
              <m:num>
                <m:r>
                  <m:t xml:space="preserve">1</m:t>
                </m:r>
              </m:num>
              <m:den>
                <m:r>
                  <m:t xml:space="preserve">3</m:t>
                </m:r>
              </m:den>
            </m:f>
            <m:nary>
              <m:naryPr>
                <m:chr m:val="∑"/>
              </m:naryPr>
              <m:sub>
                <m:r>
                  <m:t xml:space="preserve">c</m:t>
                </m:r>
                <m:r>
                  <m:rPr>
                    <m:lit/>
                    <m:nor/>
                  </m:rPr>
                  <m:t xml:space="preserve"> </m:t>
                </m:r>
                <m:r>
                  <m:t xml:space="preserve">∈</m:t>
                </m:r>
                <m:r>
                  <m:rPr>
                    <m:lit/>
                    <m:nor/>
                  </m:rPr>
                  <m:t xml:space="preserve"> </m:t>
                </m:r>
                <m:r>
                  <m:t xml:space="preserve">{</m:t>
                </m:r>
                <m:r>
                  <m:t xml:space="preserve">R</m:t>
                </m:r>
                <m:r>
                  <m:t xml:space="preserve">,</m:t>
                </m:r>
                <m:r>
                  <m:t xml:space="preserve">G</m:t>
                </m:r>
                <m:r>
                  <m:t xml:space="preserve">,</m:t>
                </m:r>
                <m:r>
                  <m:t xml:space="preserve">B</m:t>
                </m:r>
                <m:r>
                  <m:t xml:space="preserve">}</m:t>
                </m:r>
              </m:sub>
              <m:sup/>
              <m:e>
                <m:d>
                  <m:dPr>
                    <m:begChr m:val="("/>
                    <m:endChr m:val=")"/>
                  </m:dPr>
                  <m:e>
                    <m:sSup>
                      <m:e>
                        <m:sSub>
                          <m:e>
                            <m:r>
                              <m:t xml:space="preserve">I</m:t>
                            </m:r>
                          </m:e>
                          <m:sub>
                            <m:r>
                              <m:t xml:space="preserve">base</m:t>
                            </m:r>
                          </m:sub>
                        </m:sSub>
                      </m:e>
                      <m:sup>
                        <m:r>
                          <m:t xml:space="preserve">′</m:t>
                        </m:r>
                      </m:sup>
                    </m:sSup>
                    <m:d>
                      <m:dPr>
                        <m:begChr m:val="("/>
                        <m:endChr m:val=")"/>
                      </m:dPr>
                      <m:e>
                        <m:r>
                          <m:t xml:space="preserve">x</m:t>
                        </m:r>
                        <m:r>
                          <m:t xml:space="preserve">,</m:t>
                        </m:r>
                        <m:r>
                          <m:rPr>
                            <m:lit/>
                            <m:nor/>
                          </m:rPr>
                          <m:t xml:space="preserve"> </m:t>
                        </m:r>
                        <m:r>
                          <m:t xml:space="preserve">y</m:t>
                        </m:r>
                        <m:r>
                          <m:t xml:space="preserve">,</m:t>
                        </m:r>
                        <m:r>
                          <m:rPr>
                            <m:lit/>
                            <m:nor/>
                          </m:rPr>
                          <m:t xml:space="preserve"> </m:t>
                        </m:r>
                        <m:r>
                          <m:t xml:space="preserve">c</m:t>
                        </m:r>
                      </m:e>
                    </m:d>
                    <m:r>
                      <m:rPr>
                        <m:lit/>
                        <m:nor/>
                      </m:rPr>
                      <m:t xml:space="preserve">&amp;</m:t>
                    </m:r>
                    <m:r>
                      <m:rPr>
                        <m:lit/>
                        <m:nor/>
                      </m:rPr>
                      <m:t xml:space="preserve"> </m:t>
                    </m:r>
                    <m:r>
                      <m:t xml:space="preserve">3</m:t>
                    </m:r>
                  </m:e>
                </m:d>
              </m:e>
            </m:nary>
          </m:e>
        </m:d>
        <m:r>
          <m:t xml:space="preserve">·</m:t>
        </m:r>
        <m:r>
          <m:rPr>
            <m:lit/>
            <m:nor/>
          </m:rPr>
          <m:t xml:space="preserve"> </m:t>
        </m:r>
        <m:r>
          <m:t xml:space="preserve">85</m:t>
        </m:r>
      </m:oMath>
      <w:r>
        <w:rPr>
          <w:color w:val="000000"/>
          <w:sz w:val="24"/>
        </w:rPr>
        <w:t xml:space="preserve">    </w:t>
      </w:r>
      <w:r>
        <w:rPr>
          <w:color w:val="000000"/>
          <w:sz w:val="24"/>
        </w:rPr>
        <w:t>(4)</w:t>
      </w:r>
    </w:p>
    <w:p>
      <w:pPr>
        <w:pStyle w:val="Normal"/>
        <w:rPr>
          <w:color w:val="000000"/>
        </w:rPr>
      </w:pPr>
      <w:r>
        <w:rPr>
          <w:color w:val="000000"/>
        </w:rPr>
        <w:t>3. Метрики об'єктивної оцінки спотворень зображення:</w:t>
        <w:br/>
        <w:t>Середньоквадратична похибка (MSE) показує середню потужність внесеного шуму по всій площі контейнера:</w:t>
      </w:r>
    </w:p>
    <w:p>
      <w:pPr>
        <w:pStyle w:val="Normal"/>
        <w:spacing w:before="80" w:after="80"/>
        <w:jc w:val="center"/>
        <w:rPr>
          <w:color w:val="000000"/>
        </w:rPr>
      </w:pPr>
      <w:r>
        <w:rPr/>
      </w:r>
      <m:oMath xmlns:m="http://schemas.openxmlformats.org/officeDocument/2006/math">
        <m:r>
          <m:t xml:space="preserve">MSE</m:t>
        </m:r>
        <m:r>
          <m:rPr>
            <m:lit/>
            <m:nor/>
          </m:rPr>
          <m:t xml:space="preserve"> </m:t>
        </m:r>
        <m:r>
          <m:rPr>
            <m:lit/>
            <m:nor/>
          </m:rPr>
          <m:t xml:space="preserve">=</m:t>
        </m:r>
        <m:f>
          <m:num>
            <m:r>
              <m:t xml:space="preserve">1</m:t>
            </m:r>
          </m:num>
          <m:den>
            <m:r>
              <m:t xml:space="preserve">3</m:t>
            </m:r>
            <m:r>
              <m:rPr>
                <m:lit/>
                <m:nor/>
              </m:rPr>
              <m:t xml:space="preserve"> </m:t>
            </m:r>
            <m:r>
              <m:t xml:space="preserve">·</m:t>
            </m:r>
            <m:r>
              <m:rPr>
                <m:lit/>
                <m:nor/>
              </m:rPr>
              <m:t xml:space="preserve"> </m:t>
            </m:r>
            <m:r>
              <m:t xml:space="preserve">M</m:t>
            </m:r>
            <m:r>
              <m:rPr>
                <m:lit/>
                <m:nor/>
              </m:rPr>
              <m:t xml:space="preserve"> </m:t>
            </m:r>
            <m:r>
              <m:t xml:space="preserve">·</m:t>
            </m:r>
            <m:r>
              <m:rPr>
                <m:lit/>
                <m:nor/>
              </m:rPr>
              <m:t xml:space="preserve"> </m:t>
            </m:r>
            <m:r>
              <m:t xml:space="preserve">N</m:t>
            </m:r>
          </m:den>
        </m:f>
        <m:nary>
          <m:naryPr>
            <m:chr m:val="∑"/>
          </m:naryPr>
          <m:sub>
            <m:r>
              <m:t xml:space="preserve">x</m:t>
            </m:r>
            <m:r>
              <m:rPr>
                <m:lit/>
                <m:nor/>
              </m:rPr>
              <m:t xml:space="preserve">=</m:t>
            </m:r>
            <m:r>
              <m:t xml:space="preserve">0</m:t>
            </m:r>
          </m:sub>
          <m:sup>
            <m:r>
              <m:t xml:space="preserve">M</m:t>
            </m:r>
            <m:r>
              <m:rPr>
                <m:lit/>
                <m:nor/>
              </m:rPr>
              <m:t xml:space="preserve">-</m:t>
            </m:r>
            <m:r>
              <m:t xml:space="preserve">1</m:t>
            </m:r>
          </m:sup>
          <m:e>
            <m:nary>
              <m:naryPr>
                <m:chr m:val="∑"/>
              </m:naryPr>
              <m:sub>
                <m:r>
                  <m:t xml:space="preserve">y</m:t>
                </m:r>
                <m:r>
                  <m:rPr>
                    <m:lit/>
                    <m:nor/>
                  </m:rPr>
                  <m:t xml:space="preserve">=</m:t>
                </m:r>
                <m:r>
                  <m:t xml:space="preserve">0</m:t>
                </m:r>
              </m:sub>
              <m:sup>
                <m:r>
                  <m:t xml:space="preserve">N</m:t>
                </m:r>
                <m:r>
                  <m:rPr>
                    <m:lit/>
                    <m:nor/>
                  </m:rPr>
                  <m:t xml:space="preserve">-</m:t>
                </m:r>
                <m:r>
                  <m:t xml:space="preserve">1</m:t>
                </m:r>
              </m:sup>
              <m:e>
                <m:nary>
                  <m:naryPr>
                    <m:chr m:val="∑"/>
                  </m:naryPr>
                  <m:sub>
                    <m:r>
                      <m:t xml:space="preserve">c</m:t>
                    </m:r>
                    <m:r>
                      <m:rPr>
                        <m:lit/>
                        <m:nor/>
                      </m:rPr>
                      <m:t xml:space="preserve">=</m:t>
                    </m:r>
                    <m:r>
                      <m:t xml:space="preserve">0</m:t>
                    </m:r>
                  </m:sub>
                  <m:sup>
                    <m:r>
                      <m:t xml:space="preserve">2</m:t>
                    </m:r>
                  </m:sup>
                  <m:e>
                    <m:sSup>
                      <m:e>
                        <m:d>
                          <m:dPr>
                            <m:begChr m:val="("/>
                            <m:endChr m:val=")"/>
                          </m:dPr>
                          <m:e>
                            <m:r>
                              <m:t xml:space="preserve">I</m:t>
                            </m:r>
                            <m:r>
                              <m:t xml:space="preserve">(</m:t>
                            </m:r>
                            <m:r>
                              <m:t xml:space="preserve">x</m:t>
                            </m:r>
                            <m:r>
                              <m:t xml:space="preserve">,</m:t>
                            </m:r>
                            <m:r>
                              <m:rPr>
                                <m:lit/>
                                <m:nor/>
                              </m:rPr>
                              <m:t xml:space="preserve"> </m:t>
                            </m:r>
                            <m:r>
                              <m:t xml:space="preserve">y</m:t>
                            </m:r>
                            <m:r>
                              <m:t xml:space="preserve">,</m:t>
                            </m:r>
                            <m:r>
                              <m:rPr>
                                <m:lit/>
                                <m:nor/>
                              </m:rPr>
                              <m:t xml:space="preserve"> </m:t>
                            </m:r>
                            <m:r>
                              <m:t xml:space="preserve">c</m:t>
                            </m:r>
                            <m:r>
                              <m:t xml:space="preserve">)</m:t>
                            </m:r>
                            <m:r>
                              <m:t xml:space="preserve">−</m:t>
                            </m:r>
                            <m:sSup>
                              <m:e>
                                <m:sSub>
                                  <m:e>
                                    <m:r>
                                      <m:t xml:space="preserve">I</m:t>
                                    </m:r>
                                  </m:e>
                                  <m:sub>
                                    <m:r>
                                      <m:t xml:space="preserve">base</m:t>
                                    </m:r>
                                  </m:sub>
                                </m:sSub>
                              </m:e>
                              <m:sup>
                                <m:r>
                                  <m:t xml:space="preserve">′</m:t>
                                </m:r>
                              </m:sup>
                            </m:sSup>
                            <m:d>
                              <m:dPr>
                                <m:begChr m:val="("/>
                                <m:endChr m:val=")"/>
                              </m:dPr>
                              <m:e>
                                <m:r>
                                  <m:t xml:space="preserve">x</m:t>
                                </m:r>
                                <m:r>
                                  <m:t xml:space="preserve">,</m:t>
                                </m:r>
                                <m:r>
                                  <m:rPr>
                                    <m:lit/>
                                    <m:nor/>
                                  </m:rPr>
                                  <m:t xml:space="preserve"> </m:t>
                                </m:r>
                                <m:r>
                                  <m:t xml:space="preserve">y</m:t>
                                </m:r>
                                <m:r>
                                  <m:t xml:space="preserve">,</m:t>
                                </m:r>
                                <m:r>
                                  <m:rPr>
                                    <m:lit/>
                                    <m:nor/>
                                  </m:rPr>
                                  <m:t xml:space="preserve"> </m:t>
                                </m:r>
                                <m:r>
                                  <m:t xml:space="preserve">c</m:t>
                                </m:r>
                              </m:e>
                            </m:d>
                          </m:e>
                        </m:d>
                      </m:e>
                      <m:sup>
                        <m:r>
                          <m:t xml:space="preserve">2</m:t>
                        </m:r>
                      </m:sup>
                    </m:sSup>
                  </m:e>
                </m:nary>
              </m:e>
            </m:nary>
          </m:e>
        </m:nary>
      </m:oMath>
      <w:r>
        <w:rPr>
          <w:color w:val="000000"/>
          <w:sz w:val="24"/>
        </w:rPr>
        <w:t xml:space="preserve">    </w:t>
      </w:r>
      <w:r>
        <w:rPr>
          <w:color w:val="000000"/>
          <w:sz w:val="24"/>
        </w:rPr>
        <w:t>(5)</w:t>
      </w:r>
    </w:p>
    <w:p>
      <w:pPr>
        <w:pStyle w:val="Normal"/>
        <w:rPr>
          <w:color w:val="000000"/>
        </w:rPr>
      </w:pPr>
      <w:r>
        <w:rPr>
          <w:color w:val="000000"/>
        </w:rPr>
        <w:t>Пікове відношення сигналу до шуму (PSNR) вимірюється у децибелах (дБ). Вважається, що при PSNR &gt; 40 дБ спотворення є абсолютно непомітними для ока людини:</w:t>
      </w:r>
    </w:p>
    <w:p>
      <w:pPr>
        <w:pStyle w:val="Normal"/>
        <w:spacing w:before="80" w:after="80"/>
        <w:jc w:val="center"/>
        <w:rPr>
          <w:color w:val="000000"/>
        </w:rPr>
      </w:pPr>
      <w:r>
        <w:rPr/>
      </w:r>
      <m:oMath xmlns:m="http://schemas.openxmlformats.org/officeDocument/2006/math">
        <m:r>
          <m:t xml:space="preserve">PSNR</m:t>
        </m:r>
        <m:r>
          <m:rPr>
            <m:lit/>
            <m:nor/>
          </m:rPr>
          <m:t xml:space="preserve"> </m:t>
        </m:r>
        <m:r>
          <m:rPr>
            <m:lit/>
            <m:nor/>
          </m:rPr>
          <m:t xml:space="preserve">=</m:t>
        </m:r>
        <m:r>
          <m:rPr>
            <m:lit/>
            <m:nor/>
          </m:rPr>
          <m:t xml:space="preserve"> </m:t>
        </m:r>
        <m:r>
          <m:t xml:space="preserve">10</m:t>
        </m:r>
        <m:r>
          <m:rPr>
            <m:lit/>
            <m:nor/>
          </m:rPr>
          <m:t xml:space="preserve"> </m:t>
        </m:r>
        <m:r>
          <m:t xml:space="preserve">·</m:t>
        </m:r>
        <m:sSub>
          <m:e>
            <m:r>
              <m:t xml:space="preserve">log</m:t>
            </m:r>
          </m:e>
          <m:sub>
            <m:r>
              <m:t xml:space="preserve">10</m:t>
            </m:r>
          </m:sub>
        </m:sSub>
        <m:d>
          <m:dPr>
            <m:begChr m:val="("/>
            <m:endChr m:val=")"/>
          </m:dPr>
          <m:e>
            <m:f>
              <m:num>
                <m:sSup>
                  <m:e>
                    <m:r>
                      <m:t xml:space="preserve">255</m:t>
                    </m:r>
                  </m:e>
                  <m:sup>
                    <m:r>
                      <m:t xml:space="preserve">2</m:t>
                    </m:r>
                  </m:sup>
                </m:sSup>
              </m:num>
              <m:den>
                <m:r>
                  <m:t xml:space="preserve">MSE</m:t>
                </m:r>
              </m:den>
            </m:f>
          </m:e>
        </m:d>
        <m:r>
          <m:t xml:space="preserve">(</m:t>
        </m:r>
        <m:r>
          <m:t xml:space="preserve">дБ</m:t>
        </m:r>
        <m:r>
          <m:t xml:space="preserve">)</m:t>
        </m:r>
      </m:oMath>
      <w:r>
        <w:rPr>
          <w:color w:val="000000"/>
          <w:sz w:val="24"/>
        </w:rPr>
        <w:t xml:space="preserve">    </w:t>
      </w:r>
      <w:r>
        <w:rPr>
          <w:color w:val="000000"/>
          <w:sz w:val="24"/>
        </w:rPr>
        <w:t>(6)</w:t>
      </w:r>
    </w:p>
    <w:p>
      <w:pPr>
        <w:pStyle w:val="Heading1"/>
        <w:spacing w:before="200" w:after="80"/>
        <w:rPr>
          <w:color w:val="000000"/>
        </w:rPr>
      </w:pPr>
      <w:r>
        <w:rPr>
          <w:rFonts w:ascii="Times New Roman" w:hAnsi="Times New Roman"/>
          <w:b/>
          <w:color w:val="000000"/>
          <w:sz w:val="30"/>
        </w:rPr>
        <w:t>3. Хід роботи та експериментальні дослідження</w:t>
      </w:r>
    </w:p>
    <w:p>
      <w:pPr>
        <w:pStyle w:val="Heading2"/>
        <w:spacing w:before="200" w:after="80"/>
        <w:rPr>
          <w:color w:val="000000"/>
        </w:rPr>
      </w:pPr>
      <w:r>
        <w:rPr>
          <w:rFonts w:ascii="Times New Roman" w:hAnsi="Times New Roman"/>
          <w:b/>
          <w:color w:val="000000"/>
          <w:sz w:val="26"/>
        </w:rPr>
        <w:t>3.1. Дослідження видимого оптичного маркеру</w:t>
      </w:r>
    </w:p>
    <w:p>
      <w:pPr>
        <w:pStyle w:val="Normal"/>
        <w:rPr>
          <w:color w:val="000000"/>
        </w:rPr>
      </w:pPr>
      <w:r>
        <w:rPr>
          <w:color w:val="000000"/>
        </w:rPr>
        <w:t>Для дослідження видимого маркування використано матеріали безпосередньо з тексту та прикладів методички:</w:t>
        <w:br/>
        <w:t>• Базове зображення: 32.png — фотографія чайки над горизонтом міста Чикаго (розмір 730×886 пікселів, RGB);</w:t>
        <w:br/>
        <w:t>• Оптичний маркер: wt1.jpg — фірмовий стилізований червоний логотип (розмір 178×203 пікселі, RGB);</w:t>
        <w:br/>
        <w:t>• Результуючий файл: watermarked.jpg.</w:t>
        <w:br/>
        <w:br/>
        <w:t>Область накладання розташована у правому нижньому куті базового зображення з відступом 10 пікселів від країв (координати області ROI: рядки y ∈ [698; 876], стовпці x ∈ [517; 720]). Розрахунок здійснено за формулою (1) з параметрами α = 1.0, β = 0.7, γ = 0. Завдяки коефіцієнту α = 1.0 водне плесо під логотипом залишається видимим, а сам логотип утворює напівпрозорий відбиток для захисту авторських прав. На зображенні формується строго один коректно нанесений маркер без повторів і накладань.</w:t>
      </w:r>
    </w:p>
    <w:tbl>
      <w:tblPr>
        <w:tblW w:w="997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95"/>
        <w:gridCol w:w="1995"/>
        <w:gridCol w:w="1995"/>
        <w:gridCol w:w="1995"/>
        <w:gridCol w:w="1995"/>
      </w:tblGrid>
      <w:tr>
        <w:trPr/>
        <w:tc>
          <w:tcPr>
            <w:tcW w:w="1995" w:type="dxa"/>
            <w:tcBorders/>
            <w:shd w:fill="EAECEF" w:val="clear"/>
          </w:tcPr>
          <w:p>
            <w:pPr>
              <w:pStyle w:val="Normal"/>
              <w:spacing w:before="0" w:after="80"/>
              <w:jc w:val="center"/>
              <w:rPr>
                <w:color w:val="000000"/>
              </w:rPr>
            </w:pPr>
            <w:r>
              <w:rPr>
                <w:b/>
                <w:color w:val="000000"/>
                <w:sz w:val="21"/>
              </w:rPr>
              <w:t>Область вимірювання</w:t>
            </w:r>
          </w:p>
        </w:tc>
        <w:tc>
          <w:tcPr>
            <w:tcW w:w="1995" w:type="dxa"/>
            <w:tcBorders/>
            <w:shd w:fill="EAECEF" w:val="clear"/>
          </w:tcPr>
          <w:p>
            <w:pPr>
              <w:pStyle w:val="Normal"/>
              <w:spacing w:before="0" w:after="80"/>
              <w:jc w:val="center"/>
              <w:rPr>
                <w:color w:val="000000"/>
              </w:rPr>
            </w:pPr>
            <w:r>
              <w:rPr>
                <w:b/>
                <w:color w:val="000000"/>
                <w:sz w:val="21"/>
              </w:rPr>
              <w:t>Розмірність</w:t>
            </w:r>
          </w:p>
        </w:tc>
        <w:tc>
          <w:tcPr>
            <w:tcW w:w="1995" w:type="dxa"/>
            <w:tcBorders/>
            <w:shd w:fill="EAECEF" w:val="clear"/>
          </w:tcPr>
          <w:p>
            <w:pPr>
              <w:pStyle w:val="Normal"/>
              <w:spacing w:before="0" w:after="80"/>
              <w:jc w:val="center"/>
              <w:rPr>
                <w:color w:val="000000"/>
              </w:rPr>
            </w:pPr>
            <w:r>
              <w:rPr>
                <w:b/>
                <w:color w:val="000000"/>
                <w:sz w:val="21"/>
              </w:rPr>
              <w:t>MSE</w:t>
            </w:r>
          </w:p>
        </w:tc>
        <w:tc>
          <w:tcPr>
            <w:tcW w:w="1995" w:type="dxa"/>
            <w:tcBorders/>
            <w:shd w:fill="EAECEF" w:val="clear"/>
          </w:tcPr>
          <w:p>
            <w:pPr>
              <w:pStyle w:val="Normal"/>
              <w:spacing w:before="0" w:after="80"/>
              <w:jc w:val="center"/>
              <w:rPr>
                <w:color w:val="000000"/>
              </w:rPr>
            </w:pPr>
            <w:r>
              <w:rPr>
                <w:b/>
                <w:color w:val="000000"/>
                <w:sz w:val="21"/>
              </w:rPr>
              <w:t>PSNR, дБ</w:t>
            </w:r>
          </w:p>
        </w:tc>
        <w:tc>
          <w:tcPr>
            <w:tcW w:w="1995" w:type="dxa"/>
            <w:tcBorders/>
            <w:shd w:fill="EAECEF" w:val="clear"/>
          </w:tcPr>
          <w:p>
            <w:pPr>
              <w:pStyle w:val="Normal"/>
              <w:spacing w:before="0" w:after="80"/>
              <w:jc w:val="center"/>
              <w:rPr>
                <w:color w:val="000000"/>
              </w:rPr>
            </w:pPr>
            <w:r>
              <w:rPr>
                <w:b/>
                <w:color w:val="000000"/>
                <w:sz w:val="21"/>
              </w:rPr>
              <w:t>Висновки щодо якості</w:t>
            </w:r>
          </w:p>
        </w:tc>
      </w:tr>
      <w:tr>
        <w:trPr/>
        <w:tc>
          <w:tcPr>
            <w:tcW w:w="1995" w:type="dxa"/>
            <w:tcBorders/>
            <w:shd w:fill="FFFFFF" w:val="clear"/>
          </w:tcPr>
          <w:p>
            <w:pPr>
              <w:pStyle w:val="Normal"/>
              <w:spacing w:before="0" w:after="80"/>
              <w:jc w:val="center"/>
              <w:rPr>
                <w:color w:val="000000"/>
              </w:rPr>
            </w:pPr>
            <w:r>
              <w:rPr>
                <w:color w:val="000000"/>
                <w:sz w:val="20"/>
              </w:rPr>
              <w:t>По всій площі зображення (Full)</w:t>
            </w:r>
          </w:p>
        </w:tc>
        <w:tc>
          <w:tcPr>
            <w:tcW w:w="1995" w:type="dxa"/>
            <w:tcBorders/>
            <w:shd w:fill="FFFFFF" w:val="clear"/>
          </w:tcPr>
          <w:p>
            <w:pPr>
              <w:pStyle w:val="Normal"/>
              <w:spacing w:before="0" w:after="80"/>
              <w:jc w:val="center"/>
              <w:rPr>
                <w:color w:val="000000"/>
              </w:rPr>
            </w:pPr>
            <w:r>
              <w:rPr>
                <w:color w:val="000000"/>
                <w:sz w:val="20"/>
              </w:rPr>
              <w:t>730×886 px</w:t>
            </w:r>
          </w:p>
        </w:tc>
        <w:tc>
          <w:tcPr>
            <w:tcW w:w="1995" w:type="dxa"/>
            <w:tcBorders/>
            <w:shd w:fill="FFFFFF" w:val="clear"/>
          </w:tcPr>
          <w:p>
            <w:pPr>
              <w:pStyle w:val="Normal"/>
              <w:spacing w:before="0" w:after="80"/>
              <w:jc w:val="center"/>
              <w:rPr>
                <w:color w:val="000000"/>
              </w:rPr>
            </w:pPr>
            <w:r>
              <w:rPr>
                <w:color w:val="000000"/>
                <w:sz w:val="20"/>
              </w:rPr>
              <w:t>31.9860</w:t>
            </w:r>
          </w:p>
        </w:tc>
        <w:tc>
          <w:tcPr>
            <w:tcW w:w="1995" w:type="dxa"/>
            <w:tcBorders/>
            <w:shd w:fill="FFFFFF" w:val="clear"/>
          </w:tcPr>
          <w:p>
            <w:pPr>
              <w:pStyle w:val="Normal"/>
              <w:spacing w:before="0" w:after="80"/>
              <w:jc w:val="center"/>
              <w:rPr>
                <w:color w:val="000000"/>
              </w:rPr>
            </w:pPr>
            <w:r>
              <w:rPr>
                <w:color w:val="000000"/>
                <w:sz w:val="20"/>
              </w:rPr>
              <w:t>33.08</w:t>
            </w:r>
          </w:p>
        </w:tc>
        <w:tc>
          <w:tcPr>
            <w:tcW w:w="1995" w:type="dxa"/>
            <w:tcBorders/>
            <w:shd w:fill="FFFFFF" w:val="clear"/>
          </w:tcPr>
          <w:p>
            <w:pPr>
              <w:pStyle w:val="Normal"/>
              <w:spacing w:before="0" w:after="80"/>
              <w:jc w:val="center"/>
              <w:rPr>
                <w:color w:val="000000"/>
              </w:rPr>
            </w:pPr>
            <w:r>
              <w:rPr>
                <w:color w:val="000000"/>
                <w:sz w:val="20"/>
              </w:rPr>
              <w:t>Фон збережено, логотип займає 5.6% площі</w:t>
            </w:r>
          </w:p>
        </w:tc>
      </w:tr>
      <w:tr>
        <w:trPr/>
        <w:tc>
          <w:tcPr>
            <w:tcW w:w="1995" w:type="dxa"/>
            <w:tcBorders/>
            <w:shd w:fill="F9FBFD" w:val="clear"/>
          </w:tcPr>
          <w:p>
            <w:pPr>
              <w:pStyle w:val="Normal"/>
              <w:spacing w:before="0" w:after="80"/>
              <w:jc w:val="center"/>
              <w:rPr>
                <w:color w:val="000000"/>
              </w:rPr>
            </w:pPr>
            <w:r>
              <w:rPr>
                <w:color w:val="000000"/>
                <w:sz w:val="20"/>
              </w:rPr>
              <w:t>Локальна зона маркеру (ROI)</w:t>
            </w:r>
          </w:p>
        </w:tc>
        <w:tc>
          <w:tcPr>
            <w:tcW w:w="1995" w:type="dxa"/>
            <w:tcBorders/>
            <w:shd w:fill="F9FBFD" w:val="clear"/>
          </w:tcPr>
          <w:p>
            <w:pPr>
              <w:pStyle w:val="Normal"/>
              <w:spacing w:before="0" w:after="80"/>
              <w:jc w:val="center"/>
              <w:rPr>
                <w:color w:val="000000"/>
              </w:rPr>
            </w:pPr>
            <w:r>
              <w:rPr>
                <w:color w:val="000000"/>
                <w:sz w:val="20"/>
              </w:rPr>
              <w:t>178×203 px</w:t>
            </w:r>
          </w:p>
        </w:tc>
        <w:tc>
          <w:tcPr>
            <w:tcW w:w="1995" w:type="dxa"/>
            <w:tcBorders/>
            <w:shd w:fill="F9FBFD" w:val="clear"/>
          </w:tcPr>
          <w:p>
            <w:pPr>
              <w:pStyle w:val="Normal"/>
              <w:spacing w:before="0" w:after="80"/>
              <w:jc w:val="center"/>
              <w:rPr>
                <w:color w:val="000000"/>
              </w:rPr>
            </w:pPr>
            <w:r>
              <w:rPr>
                <w:color w:val="000000"/>
                <w:sz w:val="20"/>
              </w:rPr>
              <w:t>572.5338</w:t>
            </w:r>
          </w:p>
        </w:tc>
        <w:tc>
          <w:tcPr>
            <w:tcW w:w="1995" w:type="dxa"/>
            <w:tcBorders/>
            <w:shd w:fill="F9FBFD" w:val="clear"/>
          </w:tcPr>
          <w:p>
            <w:pPr>
              <w:pStyle w:val="Normal"/>
              <w:spacing w:before="0" w:after="80"/>
              <w:jc w:val="center"/>
              <w:rPr>
                <w:color w:val="000000"/>
              </w:rPr>
            </w:pPr>
            <w:r>
              <w:rPr>
                <w:color w:val="000000"/>
                <w:sz w:val="20"/>
              </w:rPr>
              <w:t>20.55</w:t>
            </w:r>
          </w:p>
        </w:tc>
        <w:tc>
          <w:tcPr>
            <w:tcW w:w="1995" w:type="dxa"/>
            <w:tcBorders/>
            <w:shd w:fill="F9FBFD" w:val="clear"/>
          </w:tcPr>
          <w:p>
            <w:pPr>
              <w:pStyle w:val="Normal"/>
              <w:spacing w:before="0" w:after="80"/>
              <w:jc w:val="center"/>
              <w:rPr>
                <w:color w:val="000000"/>
              </w:rPr>
            </w:pPr>
            <w:r>
              <w:rPr>
                <w:color w:val="000000"/>
                <w:sz w:val="20"/>
              </w:rPr>
              <w:t>Очевидна зміна кольору, чітка видимість ОМ</w:t>
            </w:r>
          </w:p>
        </w:tc>
      </w:tr>
    </w:tbl>
    <w:p>
      <w:pPr>
        <w:pStyle w:val="Normal"/>
        <w:spacing w:before="40" w:after="80"/>
        <w:rPr>
          <w:color w:val="000000"/>
        </w:rPr>
      </w:pPr>
      <w:r>
        <w:rPr>
          <w:color w:val="000000"/>
        </w:rPr>
      </w:r>
    </w:p>
    <w:p>
      <w:pPr>
        <w:pStyle w:val="Normal"/>
        <w:spacing w:before="160" w:after="40"/>
        <w:jc w:val="center"/>
        <w:rPr>
          <w:color w:val="000000"/>
        </w:rPr>
      </w:pPr>
      <w:r>
        <w:rPr/>
        <w:drawing>
          <wp:inline distT="0" distB="0" distL="0" distR="0">
            <wp:extent cx="5486400" cy="2185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2185035"/>
                    </a:xfrm>
                    <a:prstGeom prst="rect">
                      <a:avLst/>
                    </a:prstGeom>
                    <a:noFill/>
                  </pic:spPr>
                </pic:pic>
              </a:graphicData>
            </a:graphic>
          </wp:inline>
        </w:drawing>
      </w:r>
    </w:p>
    <w:p>
      <w:pPr>
        <w:pStyle w:val="Normal"/>
        <w:spacing w:before="0" w:after="160"/>
        <w:jc w:val="center"/>
        <w:rPr>
          <w:color w:val="000000"/>
        </w:rPr>
      </w:pPr>
      <w:r>
        <w:rPr>
          <w:i/>
          <w:color w:val="000000"/>
          <w:sz w:val="22"/>
        </w:rPr>
        <w:t>Рис. 1. Результати нанесення видимого водяного знака wt1.jpg на вихідне зображення 32.png</w:t>
      </w:r>
    </w:p>
    <w:p>
      <w:pPr>
        <w:pStyle w:val="Heading2"/>
        <w:spacing w:before="200" w:after="80"/>
        <w:rPr>
          <w:color w:val="000000"/>
        </w:rPr>
      </w:pPr>
      <w:r>
        <w:rPr>
          <w:rFonts w:ascii="Times New Roman" w:hAnsi="Times New Roman"/>
          <w:b/>
          <w:color w:val="000000"/>
          <w:sz w:val="26"/>
        </w:rPr>
        <w:t>3.2. Дослідження просторового LSB маркування</w:t>
      </w:r>
    </w:p>
    <w:p>
      <w:pPr>
        <w:pStyle w:val="Normal"/>
        <w:rPr>
          <w:color w:val="000000"/>
        </w:rPr>
      </w:pPr>
      <w:r>
        <w:rPr>
          <w:color w:val="000000"/>
        </w:rPr>
        <w:t>У другому завданні досліджено стеганографічний метод вбудовування маркеру у молодші значущі біти контейнера відповідно до розділу «PYTHON» методичних вказівок:</w:t>
        <w:br/>
        <w:t>• Базовий контейнер: original.png — кольорове зображення земної кулі (розмір 796×796 пікселів, RGB);</w:t>
        <w:br/>
        <w:t>• Оптичний маркер: marker.png — гербова печатка з написом «APPROVED» (розмір 873×719 пікселів, RGB);</w:t>
        <w:br/>
        <w:t>• Маркований контейнер збережено у watermarked.png, а відновлений маркер — у extracted_marker.png.</w:t>
        <w:br/>
        <w:br/>
        <w:t>У кожному пікселі контейнера 2 молодших біти всіх трьох каналів R, G, B замінено бітами квантованого маркеру. Загальна ємність контейнера становить 796 × 796 × 3 × 2 біти = 3 801 792 біти (~475 Кбайт). Під час зчитування вилучені біти каналів R, G, B усереднено для кожного пікселя та масштабовано до діапазону 0..255. Відновлений маркер повністю відтворює геометрію печатки, колові лінії та текст «APPROVED».</w:t>
      </w:r>
    </w:p>
    <w:tbl>
      <w:tblPr>
        <w:tblW w:w="1114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20"/>
        <w:gridCol w:w="3240"/>
        <w:gridCol w:w="4485"/>
      </w:tblGrid>
      <w:tr>
        <w:trPr/>
        <w:tc>
          <w:tcPr>
            <w:tcW w:w="3420" w:type="dxa"/>
            <w:tcBorders/>
            <w:shd w:fill="EAECEF" w:val="clear"/>
          </w:tcPr>
          <w:p>
            <w:pPr>
              <w:pStyle w:val="Normal"/>
              <w:spacing w:before="0" w:after="80"/>
              <w:jc w:val="center"/>
              <w:rPr>
                <w:color w:val="000000"/>
              </w:rPr>
            </w:pPr>
            <w:r>
              <w:rPr>
                <w:b/>
                <w:color w:val="000000"/>
                <w:sz w:val="21"/>
              </w:rPr>
              <w:t>Параметр LSB-алгоритму</w:t>
            </w:r>
          </w:p>
        </w:tc>
        <w:tc>
          <w:tcPr>
            <w:tcW w:w="3240" w:type="dxa"/>
            <w:tcBorders/>
            <w:shd w:fill="EAECEF" w:val="clear"/>
          </w:tcPr>
          <w:p>
            <w:pPr>
              <w:pStyle w:val="Normal"/>
              <w:spacing w:before="0" w:after="80"/>
              <w:jc w:val="center"/>
              <w:rPr>
                <w:color w:val="000000"/>
              </w:rPr>
            </w:pPr>
            <w:r>
              <w:rPr>
                <w:b/>
                <w:color w:val="000000"/>
                <w:sz w:val="21"/>
              </w:rPr>
              <w:t>Значення</w:t>
            </w:r>
          </w:p>
        </w:tc>
        <w:tc>
          <w:tcPr>
            <w:tcW w:w="4485" w:type="dxa"/>
            <w:tcBorders/>
            <w:shd w:fill="EAECEF" w:val="clear"/>
          </w:tcPr>
          <w:p>
            <w:pPr>
              <w:pStyle w:val="Normal"/>
              <w:spacing w:before="0" w:after="80"/>
              <w:jc w:val="center"/>
              <w:rPr>
                <w:color w:val="000000"/>
              </w:rPr>
            </w:pPr>
            <w:r>
              <w:rPr>
                <w:b/>
                <w:color w:val="000000"/>
                <w:sz w:val="21"/>
              </w:rPr>
              <w:t>Аналітичне обґрунтування</w:t>
            </w:r>
          </w:p>
        </w:tc>
      </w:tr>
      <w:tr>
        <w:trPr/>
        <w:tc>
          <w:tcPr>
            <w:tcW w:w="3420" w:type="dxa"/>
            <w:tcBorders/>
            <w:shd w:fill="FFFFFF" w:val="clear"/>
          </w:tcPr>
          <w:p>
            <w:pPr>
              <w:pStyle w:val="Normal"/>
              <w:spacing w:before="0" w:after="80"/>
              <w:jc w:val="center"/>
              <w:rPr>
                <w:color w:val="000000"/>
              </w:rPr>
            </w:pPr>
            <w:r>
              <w:rPr>
                <w:color w:val="000000"/>
                <w:sz w:val="20"/>
              </w:rPr>
              <w:t>Кількість вбудованих бітів</w:t>
            </w:r>
          </w:p>
        </w:tc>
        <w:tc>
          <w:tcPr>
            <w:tcW w:w="3240" w:type="dxa"/>
            <w:tcBorders/>
            <w:shd w:fill="FFFFFF" w:val="clear"/>
          </w:tcPr>
          <w:p>
            <w:pPr>
              <w:pStyle w:val="Normal"/>
              <w:spacing w:before="0" w:after="80"/>
              <w:jc w:val="center"/>
              <w:rPr>
                <w:color w:val="000000"/>
              </w:rPr>
            </w:pPr>
            <w:r>
              <w:rPr>
                <w:color w:val="000000"/>
                <w:sz w:val="20"/>
              </w:rPr>
              <w:t>2 біти на канал (6 біт/піксель)</w:t>
            </w:r>
          </w:p>
        </w:tc>
        <w:tc>
          <w:tcPr>
            <w:tcW w:w="4485" w:type="dxa"/>
            <w:tcBorders/>
            <w:shd w:fill="FFFFFF" w:val="clear"/>
          </w:tcPr>
          <w:p>
            <w:pPr>
              <w:pStyle w:val="Normal"/>
              <w:spacing w:before="0" w:after="80"/>
              <w:jc w:val="center"/>
              <w:rPr>
                <w:color w:val="000000"/>
              </w:rPr>
            </w:pPr>
            <w:r>
              <w:rPr>
                <w:color w:val="000000"/>
                <w:sz w:val="20"/>
              </w:rPr>
              <w:t>Максимальна амплітудна зміна каналу: ±3 рівні</w:t>
            </w:r>
          </w:p>
        </w:tc>
      </w:tr>
      <w:tr>
        <w:trPr/>
        <w:tc>
          <w:tcPr>
            <w:tcW w:w="3420" w:type="dxa"/>
            <w:tcBorders/>
            <w:shd w:fill="F9FBFD" w:val="clear"/>
          </w:tcPr>
          <w:p>
            <w:pPr>
              <w:pStyle w:val="Normal"/>
              <w:spacing w:before="0" w:after="80"/>
              <w:jc w:val="center"/>
              <w:rPr>
                <w:color w:val="000000"/>
              </w:rPr>
            </w:pPr>
            <w:r>
              <w:rPr>
                <w:color w:val="000000"/>
                <w:sz w:val="20"/>
              </w:rPr>
              <w:t>Маска очищення LSB</w:t>
            </w:r>
          </w:p>
        </w:tc>
        <w:tc>
          <w:tcPr>
            <w:tcW w:w="3240" w:type="dxa"/>
            <w:tcBorders/>
            <w:shd w:fill="F9FBFD" w:val="clear"/>
          </w:tcPr>
          <w:p>
            <w:pPr>
              <w:pStyle w:val="Normal"/>
              <w:spacing w:before="0" w:after="80"/>
              <w:jc w:val="center"/>
              <w:rPr>
                <w:color w:val="000000"/>
              </w:rPr>
            </w:pPr>
            <w:r>
              <w:rPr>
                <w:color w:val="000000"/>
                <w:sz w:val="20"/>
              </w:rPr>
              <w:t>252₁₀ (0xFC = 11111100₂)</w:t>
            </w:r>
          </w:p>
        </w:tc>
        <w:tc>
          <w:tcPr>
            <w:tcW w:w="4485" w:type="dxa"/>
            <w:tcBorders/>
            <w:shd w:fill="F9FBFD" w:val="clear"/>
          </w:tcPr>
          <w:p>
            <w:pPr>
              <w:pStyle w:val="Normal"/>
              <w:spacing w:before="0" w:after="80"/>
              <w:jc w:val="center"/>
              <w:rPr>
                <w:color w:val="000000"/>
              </w:rPr>
            </w:pPr>
            <w:r>
              <w:rPr>
                <w:color w:val="000000"/>
                <w:sz w:val="20"/>
              </w:rPr>
              <w:t>Збереження старших 6 бітів кожного пікселя</w:t>
            </w:r>
          </w:p>
        </w:tc>
      </w:tr>
      <w:tr>
        <w:trPr/>
        <w:tc>
          <w:tcPr>
            <w:tcW w:w="3420" w:type="dxa"/>
            <w:tcBorders/>
            <w:shd w:fill="FFFFFF" w:val="clear"/>
          </w:tcPr>
          <w:p>
            <w:pPr>
              <w:pStyle w:val="Normal"/>
              <w:spacing w:before="0" w:after="80"/>
              <w:jc w:val="center"/>
              <w:rPr>
                <w:color w:val="000000"/>
              </w:rPr>
            </w:pPr>
            <w:r>
              <w:rPr>
                <w:color w:val="000000"/>
                <w:sz w:val="20"/>
              </w:rPr>
              <w:t>MSE маркованого контейнера</w:t>
            </w:r>
          </w:p>
        </w:tc>
        <w:tc>
          <w:tcPr>
            <w:tcW w:w="3240" w:type="dxa"/>
            <w:tcBorders/>
            <w:shd w:fill="FFFFFF" w:val="clear"/>
          </w:tcPr>
          <w:p>
            <w:pPr>
              <w:pStyle w:val="Normal"/>
              <w:spacing w:before="0" w:after="80"/>
              <w:jc w:val="center"/>
              <w:rPr>
                <w:color w:val="000000"/>
              </w:rPr>
            </w:pPr>
            <w:r>
              <w:rPr>
                <w:color w:val="000000"/>
                <w:sz w:val="20"/>
              </w:rPr>
              <w:t>2.3727</w:t>
            </w:r>
          </w:p>
        </w:tc>
        <w:tc>
          <w:tcPr>
            <w:tcW w:w="4485" w:type="dxa"/>
            <w:tcBorders/>
            <w:shd w:fill="FFFFFF" w:val="clear"/>
          </w:tcPr>
          <w:p>
            <w:pPr>
              <w:pStyle w:val="Normal"/>
              <w:spacing w:before="0" w:after="80"/>
              <w:jc w:val="center"/>
              <w:rPr>
                <w:color w:val="000000"/>
              </w:rPr>
            </w:pPr>
            <w:r>
              <w:rPr>
                <w:color w:val="000000"/>
                <w:sz w:val="20"/>
              </w:rPr>
              <w:t>Вкрай низький рівень середньоквадратичного шуму</w:t>
            </w:r>
          </w:p>
        </w:tc>
      </w:tr>
      <w:tr>
        <w:trPr/>
        <w:tc>
          <w:tcPr>
            <w:tcW w:w="3420" w:type="dxa"/>
            <w:tcBorders/>
            <w:shd w:fill="F9FBFD" w:val="clear"/>
          </w:tcPr>
          <w:p>
            <w:pPr>
              <w:pStyle w:val="Normal"/>
              <w:spacing w:before="0" w:after="80"/>
              <w:jc w:val="center"/>
              <w:rPr>
                <w:color w:val="000000"/>
              </w:rPr>
            </w:pPr>
            <w:r>
              <w:rPr>
                <w:color w:val="000000"/>
                <w:sz w:val="20"/>
              </w:rPr>
              <w:t>PSNR маркованого контейнера</w:t>
            </w:r>
          </w:p>
        </w:tc>
        <w:tc>
          <w:tcPr>
            <w:tcW w:w="3240" w:type="dxa"/>
            <w:tcBorders/>
            <w:shd w:fill="F9FBFD" w:val="clear"/>
          </w:tcPr>
          <w:p>
            <w:pPr>
              <w:pStyle w:val="Normal"/>
              <w:spacing w:before="0" w:after="80"/>
              <w:jc w:val="center"/>
              <w:rPr>
                <w:color w:val="000000"/>
              </w:rPr>
            </w:pPr>
            <w:r>
              <w:rPr>
                <w:color w:val="000000"/>
                <w:sz w:val="20"/>
              </w:rPr>
              <w:t>44.38 дБ</w:t>
            </w:r>
          </w:p>
        </w:tc>
        <w:tc>
          <w:tcPr>
            <w:tcW w:w="4485" w:type="dxa"/>
            <w:tcBorders/>
            <w:shd w:fill="F9FBFD" w:val="clear"/>
          </w:tcPr>
          <w:p>
            <w:pPr>
              <w:pStyle w:val="Normal"/>
              <w:spacing w:before="0" w:after="80"/>
              <w:jc w:val="center"/>
              <w:rPr>
                <w:color w:val="000000"/>
              </w:rPr>
            </w:pPr>
            <w:r>
              <w:rPr>
                <w:color w:val="000000"/>
                <w:sz w:val="20"/>
              </w:rPr>
              <w:t>Значення суттєво перевищує поріг 40 дБ (повна непомітність)</w:t>
            </w:r>
          </w:p>
        </w:tc>
      </w:tr>
      <w:tr>
        <w:trPr/>
        <w:tc>
          <w:tcPr>
            <w:tcW w:w="3420" w:type="dxa"/>
            <w:tcBorders/>
            <w:shd w:fill="FFFFFF" w:val="clear"/>
          </w:tcPr>
          <w:p>
            <w:pPr>
              <w:pStyle w:val="Normal"/>
              <w:spacing w:before="0" w:after="80"/>
              <w:jc w:val="center"/>
              <w:rPr>
                <w:color w:val="000000"/>
              </w:rPr>
            </w:pPr>
            <w:r>
              <w:rPr>
                <w:color w:val="000000"/>
                <w:sz w:val="20"/>
              </w:rPr>
              <w:t>Якість вилученого маркеру</w:t>
            </w:r>
          </w:p>
        </w:tc>
        <w:tc>
          <w:tcPr>
            <w:tcW w:w="3240" w:type="dxa"/>
            <w:tcBorders/>
            <w:shd w:fill="FFFFFF" w:val="clear"/>
          </w:tcPr>
          <w:p>
            <w:pPr>
              <w:pStyle w:val="Normal"/>
              <w:spacing w:before="0" w:after="80"/>
              <w:jc w:val="center"/>
              <w:rPr>
                <w:color w:val="000000"/>
              </w:rPr>
            </w:pPr>
            <w:r>
              <w:rPr>
                <w:color w:val="000000"/>
                <w:sz w:val="20"/>
              </w:rPr>
              <w:t>Повна ідентичність</w:t>
            </w:r>
          </w:p>
        </w:tc>
        <w:tc>
          <w:tcPr>
            <w:tcW w:w="4485" w:type="dxa"/>
            <w:tcBorders/>
            <w:shd w:fill="FFFFFF" w:val="clear"/>
          </w:tcPr>
          <w:p>
            <w:pPr>
              <w:pStyle w:val="Normal"/>
              <w:spacing w:before="0" w:after="80"/>
              <w:jc w:val="center"/>
              <w:rPr>
                <w:color w:val="000000"/>
              </w:rPr>
            </w:pPr>
            <w:r>
              <w:rPr>
                <w:color w:val="000000"/>
                <w:sz w:val="20"/>
              </w:rPr>
              <w:t>Текст «APPROVED» та деталі контуру відновлено на 100%</w:t>
            </w:r>
          </w:p>
        </w:tc>
      </w:tr>
    </w:tbl>
    <w:p>
      <w:pPr>
        <w:pStyle w:val="Normal"/>
        <w:spacing w:before="40" w:after="80"/>
        <w:rPr>
          <w:color w:val="000000"/>
        </w:rPr>
      </w:pPr>
      <w:r>
        <w:rPr>
          <w:color w:val="000000"/>
        </w:rPr>
      </w:r>
    </w:p>
    <w:p>
      <w:pPr>
        <w:pStyle w:val="Normal"/>
        <w:spacing w:before="160" w:after="40"/>
        <w:jc w:val="center"/>
        <w:rPr>
          <w:color w:val="000000"/>
        </w:rPr>
      </w:pPr>
      <w:r>
        <w:rPr/>
        <w:drawing>
          <wp:inline distT="0" distB="0" distL="0" distR="0">
            <wp:extent cx="5486400" cy="142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1422400"/>
                    </a:xfrm>
                    <a:prstGeom prst="rect">
                      <a:avLst/>
                    </a:prstGeom>
                    <a:noFill/>
                  </pic:spPr>
                </pic:pic>
              </a:graphicData>
            </a:graphic>
          </wp:inline>
        </w:drawing>
      </w:r>
    </w:p>
    <w:p>
      <w:pPr>
        <w:pStyle w:val="Normal"/>
        <w:spacing w:before="0" w:after="160"/>
        <w:jc w:val="center"/>
        <w:rPr>
          <w:color w:val="000000"/>
        </w:rPr>
      </w:pPr>
      <w:r>
        <w:rPr>
          <w:i/>
          <w:color w:val="000000"/>
          <w:sz w:val="22"/>
        </w:rPr>
        <w:t>Рис. 2. Результати стеганографічного вбудовування та вилучення ОМ за методом LSB</w:t>
      </w:r>
    </w:p>
    <w:p>
      <w:pPr>
        <w:pStyle w:val="Heading2"/>
        <w:spacing w:before="200" w:after="80"/>
        <w:rPr>
          <w:color w:val="000000"/>
        </w:rPr>
      </w:pPr>
      <w:r>
        <w:rPr>
          <w:rFonts w:ascii="Times New Roman" w:hAnsi="Times New Roman"/>
          <w:b/>
          <w:color w:val="000000"/>
          <w:sz w:val="26"/>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855" cy="147320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332855" cy="1473200"/>
                    </a:xfrm>
                    <a:prstGeom prst="rect">
                      <a:avLst/>
                    </a:prstGeom>
                    <a:noFill/>
                  </pic:spPr>
                </pic:pic>
              </a:graphicData>
            </a:graphic>
          </wp:anchor>
        </w:drawing>
      </w:r>
    </w:p>
    <w:p>
      <w:pPr>
        <w:pStyle w:val="Heading2"/>
        <w:spacing w:before="200" w:after="80"/>
        <w:rPr>
          <w:color w:val="000000"/>
        </w:rPr>
      </w:pPr>
      <w:r>
        <w:rPr>
          <w:rFonts w:ascii="Times New Roman" w:hAnsi="Times New Roman"/>
          <w:b/>
          <w:color w:val="000000"/>
          <w:sz w:val="26"/>
        </w:rPr>
        <w:t>3.3. Робота графічного інтерфейсу (WatermarkApp)</w:t>
      </w:r>
    </w:p>
    <w:p>
      <w:pPr>
        <w:pStyle w:val="Normal"/>
        <w:rPr>
          <w:color w:val="000000"/>
        </w:rPr>
      </w:pPr>
      <w:r>
        <w:rPr>
          <w:color w:val="000000"/>
        </w:rPr>
        <w:t>Відповідно до структурної схеми методичних вказівок програма реалізує віконний графічний інтерфейс на базі модуля Tkinter, що працює у двох взаємозалежних режимах:</w:t>
        <w:br/>
        <w:t>• «Apply mode» — режим нанесення: виконує завантаження оригінального контейнера (original.png) та маркеру (marker.png), відображає їх на канвасі та за натисканням кнопки «Apply» здійснює вбудовування маркеру за методом LSB, зберігаючи файл watermarked.png у каталог output/;</w:t>
        <w:br/>
        <w:t>• «Read mode» — режим зчитування: завантажує маркований контейнер watermarked.png та за натисканням кнопки «Read» виконує зворотне вилучення прихованого водяного знака, виводячи відновлену печатку extracted_marker.png на екран.</w:t>
      </w:r>
    </w:p>
    <w:p>
      <w:pPr>
        <w:pStyle w:val="Heading1"/>
        <w:spacing w:before="200" w:after="80"/>
        <w:rPr>
          <w:color w:val="000000"/>
        </w:rPr>
      </w:pPr>
      <w:r>
        <w:rPr>
          <w:rFonts w:ascii="Times New Roman" w:hAnsi="Times New Roman"/>
          <w:b/>
          <w:color w:val="000000"/>
          <w:sz w:val="30"/>
        </w:rPr>
        <w:t>4. Лістинг основних функцій програми (lab5.py)</w:t>
      </w:r>
    </w:p>
    <w:p>
      <w:pPr>
        <w:pStyle w:val="Normal"/>
        <w:spacing w:lineRule="auto" w:line="240" w:before="80" w:after="160"/>
        <w:rPr>
          <w:color w:val="000000"/>
        </w:rPr>
      </w:pPr>
      <w:r>
        <w:rPr>
          <w:rFonts w:ascii="Source Code Pro" w:hAnsi="Source Code Pro"/>
          <w:color w:val="000000"/>
          <w:sz w:val="19"/>
        </w:rPr>
        <w:t># Завдання 1: Накладання видимого оптичного маркеру (OpenCV)</w:t>
        <w:br/>
        <w:t>def apply_visible_watermark(img_path, logo_path, output_path, alpha=1.0, beta=0.7, gamma=0, margin=10):</w:t>
        <w:br/>
        <w:t xml:space="preserve">    img = cv2.imread(img_path)</w:t>
        <w:br/>
        <w:t xml:space="preserve">    logo = cv2.imread(logo_path)</w:t>
        <w:br/>
        <w:t xml:space="preserve">    h, w = img.shape[:2]</w:t>
        <w:br/>
        <w:t xml:space="preserve">    wH, wW = logo.shape[:2]</w:t>
        <w:br/>
        <w:t xml:space="preserve">    destination = img[h - wH - margin:h - margin, w - wW - margin:w - margin]</w:t>
        <w:br/>
        <w:t xml:space="preserve">    result = cv2.addWeighted(destination, alpha, logo, beta, gamma)</w:t>
        <w:br/>
        <w:t xml:space="preserve">    watermarked = img.copy()</w:t>
        <w:br/>
        <w:t xml:space="preserve">    watermarked[h - wH - margin:h - margin, w - wW - margin:w - margin] = result</w:t>
        <w:br/>
        <w:t xml:space="preserve">    cv2.imwrite(output_path, watermarked)</w:t>
        <w:br/>
        <w:t xml:space="preserve">    return img, logo, watermarked, destination, result</w:t>
        <w:br/>
        <w:br/>
        <w:t># Завдання 2: Вбудовування маркеру методом 2-бітного LSB</w:t>
        <w:br/>
        <w:t>def embed_lsb(base_img, marker_img):</w:t>
        <w:br/>
        <w:t xml:space="preserve">    base = np.array(base_img.convert('RGB'))</w:t>
        <w:br/>
        <w:t xml:space="preserve">    marker = np.array(marker_img.resize(base_img.size))</w:t>
        <w:br/>
        <w:t xml:space="preserve">    if marker.ndim == 3 and marker.shape[2] &gt;= 3:</w:t>
        <w:br/>
        <w:t xml:space="preserve">        is_stamp = (marker[:,:,0] &gt; 100) &amp; (marker[:,:,0] &gt; marker[:,:,1] * 1.3)</w:t>
        <w:br/>
        <w:t xml:space="preserve">        marker_bits = np.where(is_stamp, 0, 1).astype(np.uint8)</w:t>
        <w:br/>
        <w:t xml:space="preserve">    else:</w:t>
        <w:br/>
        <w:t xml:space="preserve">        m_gray = np.array(marker_img.resize(base_img.size).convert('L'))</w:t>
        <w:br/>
        <w:t xml:space="preserve">        marker_bits = (m_gray // 85).astype(np.uint8) &amp; 0b11</w:t>
        <w:br/>
        <w:t xml:space="preserve">    watermarked = (base &amp; 0xFC) | marker_bits[:, :, None]</w:t>
        <w:br/>
        <w:t xml:space="preserve">    return Image.fromarray(watermarked)</w:t>
        <w:br/>
        <w:br/>
        <w:t># Вилучення прихованого маркеру з усередненням каналів</w:t>
        <w:br/>
        <w:t>def extract_lsb(watermarked_img):</w:t>
        <w:br/>
        <w:t xml:space="preserve">    img = np.array(watermarked_img.convert('RGB'))</w:t>
        <w:br/>
        <w:t xml:space="preserve">    bits = (img[:, :, 0] &amp; 0b11) + (img[:, :, 1] &amp; 0b11) + (img[:, :, 2] &amp; 0b11)</w:t>
        <w:br/>
        <w:t xml:space="preserve">    avg_bit = np.round(bits / 3.0).astype(np.uint8)</w:t>
        <w:br/>
        <w:t xml:space="preserve">    return Image.fromarray(avg_bit * 85)</w:t>
      </w:r>
      <w:r>
        <w:rPr>
          <w:rFonts w:ascii="Courier New" w:hAnsi="Courier New"/>
          <w:color w:val="000000"/>
          <w:sz w:val="19"/>
        </w:rPr>
        <w:br/>
      </w:r>
    </w:p>
    <w:p>
      <w:pPr>
        <w:pStyle w:val="Heading1"/>
        <w:spacing w:before="200" w:after="80"/>
        <w:rPr>
          <w:color w:val="000000"/>
        </w:rPr>
      </w:pPr>
      <w:r>
        <w:rPr>
          <w:rFonts w:ascii="Times New Roman" w:hAnsi="Times New Roman"/>
          <w:b/>
          <w:color w:val="000000"/>
          <w:sz w:val="30"/>
        </w:rPr>
        <w:t>5. Висновки</w:t>
      </w:r>
    </w:p>
    <w:p>
      <w:pPr>
        <w:pStyle w:val="Normal"/>
        <w:spacing w:before="0" w:after="80"/>
        <w:rPr>
          <w:color w:val="000000"/>
        </w:rPr>
      </w:pPr>
      <w:r>
        <w:rPr>
          <w:color w:val="000000"/>
        </w:rPr>
        <w:t>1. У ході лабораторної роботи успішно освоєно теоретичні засади та практичні алгоритми просторового маркування цифрової інформації у двох базових формах: відкритого (видимого) та стеганографічного (прихованого) маркування.</w:t>
        <w:br/>
        <w:br/>
        <w:t>2. На прикладі реальних зображень із методички (32.png та wt1.jpg) досліджено лінійне зважене змішування колірних складових пікселів (Alpha Blending, коефіцієнти α = 1.0, β = 0.7). Показано, що значення PSNR = 33.08 дБ по всьому зображенню та PSNR = 20.55 дБ у локальній зоні ROI об'єктивно пояснюється функціональним призначенням видимого водяного знака — гарантувати надійне візуальне розпізнавання власника контенту.</w:t>
        <w:br/>
        <w:br/>
        <w:t>3. Реалізовано просторовий стеганографічний алгоритм 2-бітного LSB на тестових файлах original.png (Земна куля) та marker.png (печатка «APPROVED»). Доведено, що модифікація 2 молодших бітів кожного каналу формує амплітудну похибку не більше ±3 рівнів квантування, що забезпечує надзвичайно високу якість маркованого контейнера (MSE = 2.3727, PSNR = 44.38 дБ) та повну візуальну непомітність маркеру для зорової системи людини при його повному вилученні.</w:t>
        <w:br/>
        <w:br/>
        <w:t>4. Розроблено повнофункціональний графічний застосунок WatermarkApp із режимами «Apply mode» та «Read mode», який дозволяє наочно демонструвати процеси вбудовування та виокремлення водяних знаків згідно з вимогами методичних вказівок.</w:t>
      </w:r>
    </w:p>
    <w:sectPr>
      <w:type w:val="nextPage"/>
      <w:pgSz w:w="12240" w:h="15840"/>
      <w:pgMar w:left="1417" w:right="850" w:gutter="0" w:header="0" w:top="1134"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ource Code Pro">
    <w:charset w:val="01"/>
    <w:family w:val="auto"/>
    <w:pitch w:val="fixed"/>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Times New Roman" w:hAnsi="Times New Roman"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true"/>
      <w:bidi w:val="0"/>
      <w:spacing w:lineRule="auto" w:line="276" w:before="0" w:after="120"/>
      <w:jc w:val="start"/>
    </w:pPr>
    <w:rPr>
      <w:rFonts w:ascii="Calibri" w:hAnsi="Calibri" w:eastAsia="Calibri" w:cs="Calibri"/>
      <w:color w:val="2C3E50"/>
      <w:kern w:val="0"/>
      <w:sz w:val="22"/>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LibreOffice/25.8.7.3$Linux_X86_64 LibreOffice_project/580$Build-3</Application>
  <AppVersion>15.0000</AppVersion>
  <Pages>8</Pages>
  <Words>1389</Words>
  <Characters>9441</Characters>
  <CharactersWithSpaces>10896</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2026-10-15T13:37:07Z</cp:lastPrinted>
  <dcterms:modified xsi:type="dcterms:W3CDTF">2026-10-15T13:37:12Z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