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МІНІСТЕРСТВО ОСВІТИ І НАУКИ УКРАЇНИ </w:t>
      </w:r>
    </w:p>
    <w:p>
      <w:pPr>
        <w:pStyle w:val="normal1"/>
        <w:widowControl w:val="false"/>
        <w:suppressAutoHyphens w:val="true"/>
        <w:bidi w:val="0"/>
        <w:spacing w:lineRule="auto" w:line="264" w:before="242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ЛЬВІВСЬКИЙ НАЦІОНАЛЬНИЙ УНІВЕРСИТЕТ ІМЕНІ ІВАНА  ФРАНКА </w:t>
      </w:r>
    </w:p>
    <w:p>
      <w:pPr>
        <w:pStyle w:val="normal1"/>
        <w:widowControl w:val="false"/>
        <w:suppressAutoHyphens w:val="true"/>
        <w:bidi w:val="0"/>
        <w:spacing w:lineRule="auto" w:line="240" w:before="783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Факультет електроніки та комп’ютерних технологій </w:t>
      </w:r>
    </w:p>
    <w:p>
      <w:pPr>
        <w:pStyle w:val="normal1"/>
        <w:widowControl w:val="false"/>
        <w:suppressAutoHyphens w:val="true"/>
        <w:bidi w:val="0"/>
        <w:spacing w:lineRule="auto" w:line="240" w:before="1384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ЗВІТ </w:t>
      </w:r>
    </w:p>
    <w:p>
      <w:pPr>
        <w:pStyle w:val="normal1"/>
        <w:widowControl w:val="false"/>
        <w:suppressAutoHyphens w:val="true"/>
        <w:bidi w:val="0"/>
        <w:spacing w:lineRule="auto" w:line="240" w:before="244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про виконання лабораторної роботи №1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 дисципліни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Мʼякі обчислення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” </w:t>
      </w:r>
    </w:p>
    <w:p>
      <w:pPr>
        <w:pStyle w:val="normal1"/>
        <w:widowControl w:val="false"/>
        <w:suppressAutoHyphens w:val="true"/>
        <w:bidi w:val="0"/>
        <w:spacing w:lineRule="auto" w:line="240" w:before="244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 тему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“Реалізація простої багатошарової нейромережі для регресії” </w:t>
      </w:r>
    </w:p>
    <w:p>
      <w:pPr>
        <w:pStyle w:val="normal1"/>
        <w:widowControl w:val="false"/>
        <w:suppressAutoHyphens w:val="true"/>
        <w:bidi w:val="0"/>
        <w:spacing w:lineRule="auto" w:line="240" w:before="1953" w:after="0"/>
        <w:ind w:hanging="0" w:start="-1169" w:end="-629"/>
        <w:jc w:val="end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Виконав: </w:t>
      </w:r>
    </w:p>
    <w:p>
      <w:pPr>
        <w:pStyle w:val="normal1"/>
        <w:widowControl w:val="false"/>
        <w:suppressAutoHyphens w:val="true"/>
        <w:bidi w:val="0"/>
        <w:spacing w:lineRule="auto" w:line="240" w:before="244" w:after="0"/>
        <w:ind w:hanging="0" w:start="-1169" w:end="-629"/>
        <w:jc w:val="end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 3 курсу </w:t>
      </w:r>
    </w:p>
    <w:p>
      <w:pPr>
        <w:pStyle w:val="normal1"/>
        <w:widowControl w:val="false"/>
        <w:suppressAutoHyphens w:val="true"/>
        <w:bidi w:val="0"/>
        <w:spacing w:lineRule="auto" w:line="240" w:before="244" w:after="0"/>
        <w:ind w:hanging="0" w:start="-1169" w:end="-629"/>
        <w:jc w:val="end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групи ФеП-32 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Чепара Станіслав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Перевірив: 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оцент 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Рабош Роман Васильович 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F172A"/>
          <w:sz w:val="28"/>
          <w:szCs w:val="28"/>
        </w:rPr>
        <w:t>Львів-2026</w:t>
      </w:r>
    </w:p>
    <w:p>
      <w:pPr>
        <w:pStyle w:val="Heading1"/>
        <w:spacing w:before="60" w:after="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color w:val="0F172A"/>
          <w:sz w:val="26"/>
          <w:szCs w:val="26"/>
        </w:rPr>
        <w:t>1. Мета та завдання роботи</w:t>
      </w:r>
    </w:p>
    <w:p>
      <w:pPr>
        <w:pStyle w:val="Normal"/>
        <w:spacing w:lineRule="auto" w:line="276"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Мета роботи: </w:t>
      </w:r>
      <w:r>
        <w:rPr>
          <w:rFonts w:ascii="times new roman" w:hAnsi="times new roman"/>
          <w:sz w:val="26"/>
          <w:szCs w:val="26"/>
        </w:rPr>
        <w:t>ознайомитися з основними принципами функціонування багатошарових нейронних мереж, реалізації прямого (Forward Propagation) та зворотного (Backward Propagation) розповсюдження помилки, а також алгоритму навчання моделі за допомогою методу градієнтного спуску.</w:t>
      </w:r>
    </w:p>
    <w:p>
      <w:pPr>
        <w:pStyle w:val="Normal"/>
        <w:spacing w:lineRule="auto" w:line="276" w:before="0" w:after="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Завдання:</w:t>
        <w:br/>
      </w:r>
      <w:r>
        <w:rPr>
          <w:rFonts w:ascii="times new roman" w:hAnsi="times new roman"/>
          <w:sz w:val="26"/>
          <w:szCs w:val="26"/>
        </w:rPr>
        <w:t xml:space="preserve">1. Реалізувати штучну нейромережу з одним прихованим шаром для задачі регресії без використання високорівневих фреймворків (лише за допомогою бібліотеки </w:t>
      </w:r>
      <w:r>
        <w:rPr>
          <w:rFonts w:ascii="times new roman" w:hAnsi="times new roman"/>
          <w:i/>
          <w:sz w:val="26"/>
          <w:szCs w:val="26"/>
        </w:rPr>
        <w:t>numpy</w:t>
      </w:r>
      <w:r>
        <w:rPr>
          <w:rFonts w:ascii="times new roman" w:hAnsi="times new roman"/>
          <w:sz w:val="26"/>
          <w:szCs w:val="26"/>
        </w:rPr>
        <w:t>).</w:t>
        <w:br/>
        <w:t xml:space="preserve">2. Використати датасет </w:t>
      </w:r>
      <w:r>
        <w:rPr>
          <w:rFonts w:ascii="times new roman" w:hAnsi="times new roman"/>
          <w:i/>
          <w:sz w:val="26"/>
          <w:szCs w:val="26"/>
        </w:rPr>
        <w:t>Real Estate Price Prediction</w:t>
      </w:r>
      <w:r>
        <w:rPr>
          <w:rFonts w:ascii="times new roman" w:hAnsi="times new roman"/>
          <w:sz w:val="26"/>
          <w:szCs w:val="26"/>
        </w:rPr>
        <w:t>, де на базі 6 вхідних параметрів (X₁–X₆) спрогнозувати ціну одиниці площі (Y).</w:t>
        <w:br/>
        <w:t>3. Дослідити динаміку збіжності та побудувати графік кривої навчання (втрат MSE від кількості епох).</w:t>
        <w:br/>
        <w:t>4. Проаналізувати якість передбачення залежно від кількості нейронів у прихованому шарі та кількості епох.</w:t>
      </w:r>
    </w:p>
    <w:p>
      <w:pPr>
        <w:pStyle w:val="Heading1"/>
        <w:spacing w:before="60" w:after="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color w:val="0F172A"/>
          <w:sz w:val="26"/>
          <w:szCs w:val="26"/>
        </w:rPr>
        <w:t>2. Математичний апарат та формули</w:t>
      </w:r>
    </w:p>
    <w:p>
      <w:pPr>
        <w:pStyle w:val="Normal"/>
        <w:spacing w:lineRule="auto" w:line="276"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Мережа складається з вхідного шару (d = 6 входів), одного прихованого шару (h нейронів) та вихідного шару (1 нейрон). Функція активації для обох шарів — логістичний сигмоїд σ(z). Обчислення виконуються згідно з формулами з методичних вказівок:</w:t>
      </w:r>
    </w:p>
    <w:p>
      <w:pPr>
        <w:pStyle w:val="Normal"/>
        <w:spacing w:before="40" w:after="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Пряме розповсюдження (Forward Propagation):</w:t>
      </w:r>
    </w:p>
    <w:tbl>
      <w:tblPr>
        <w:tblW w:w="9504" w:type="dxa"/>
        <w:jc w:val="center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val="04a0" w:noHBand="0" w:noVBand="1" w:firstColumn="1" w:lastRow="0" w:lastColumn="0" w:firstRow="1"/>
      </w:tblPr>
      <w:tblGrid>
        <w:gridCol w:w="8495"/>
        <w:gridCol w:w="1009"/>
      </w:tblGrid>
      <w:tr>
        <w:trPr/>
        <w:tc>
          <w:tcPr>
            <w:tcW w:w="8495" w:type="dxa"/>
            <w:tcBorders>
              <w:start w:val="single" w:sz="12" w:space="0" w:color="3B82F6"/>
            </w:tcBorders>
            <w:shd w:fill="F8F9FA" w:val="clear"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141414"/>
                <w:sz w:val="26"/>
                <w:szCs w:val="26"/>
              </w:rPr>
              <w:t>Z1 = X · W1 + b1,       A1 = σ(Z1) = 1 / (1 + exp(-Z1))</w:t>
            </w:r>
          </w:p>
        </w:tc>
        <w:tc>
          <w:tcPr>
            <w:tcW w:w="1009" w:type="dxa"/>
            <w:tcBorders/>
            <w:shd w:fill="F8F9FA" w:val="clear"/>
            <w:tcMar>
              <w:start w:w="40" w:type="dxa"/>
              <w:end w:w="40" w:type="dxa"/>
            </w:tcMar>
          </w:tcPr>
          <w:p>
            <w:pPr>
              <w:pStyle w:val="Normal"/>
              <w:spacing w:before="20" w:after="20"/>
              <w:jc w:val="en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646464"/>
                <w:sz w:val="26"/>
                <w:szCs w:val="26"/>
              </w:rPr>
              <w:t>(1)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tbl>
      <w:tblPr>
        <w:tblW w:w="9504" w:type="dxa"/>
        <w:jc w:val="center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val="04a0" w:noHBand="0" w:noVBand="1" w:firstColumn="1" w:lastRow="0" w:lastColumn="0" w:firstRow="1"/>
      </w:tblPr>
      <w:tblGrid>
        <w:gridCol w:w="8495"/>
        <w:gridCol w:w="1009"/>
      </w:tblGrid>
      <w:tr>
        <w:trPr/>
        <w:tc>
          <w:tcPr>
            <w:tcW w:w="8495" w:type="dxa"/>
            <w:tcBorders>
              <w:start w:val="single" w:sz="12" w:space="0" w:color="3B82F6"/>
            </w:tcBorders>
            <w:shd w:fill="F8F9FA" w:val="clear"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141414"/>
                <w:sz w:val="26"/>
                <w:szCs w:val="26"/>
              </w:rPr>
              <w:t>Z2 = A1 · W2 + b2,      A2 = σ(Z2) = 1 / (1 + exp(-Z2))</w:t>
            </w:r>
          </w:p>
        </w:tc>
        <w:tc>
          <w:tcPr>
            <w:tcW w:w="1009" w:type="dxa"/>
            <w:tcBorders/>
            <w:shd w:fill="F8F9FA" w:val="clear"/>
            <w:tcMar>
              <w:start w:w="40" w:type="dxa"/>
              <w:end w:w="40" w:type="dxa"/>
            </w:tcMar>
          </w:tcPr>
          <w:p>
            <w:pPr>
              <w:pStyle w:val="Normal"/>
              <w:spacing w:before="20" w:after="20"/>
              <w:jc w:val="en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646464"/>
                <w:sz w:val="26"/>
                <w:szCs w:val="26"/>
              </w:rPr>
              <w:t>(2)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before="40" w:after="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Функція втрат (Середньоквадратична помилка, MSE):</w:t>
      </w:r>
    </w:p>
    <w:tbl>
      <w:tblPr>
        <w:tblW w:w="9504" w:type="dxa"/>
        <w:jc w:val="center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val="04a0" w:noHBand="0" w:noVBand="1" w:firstColumn="1" w:lastRow="0" w:lastColumn="0" w:firstRow="1"/>
      </w:tblPr>
      <w:tblGrid>
        <w:gridCol w:w="8495"/>
        <w:gridCol w:w="1009"/>
      </w:tblGrid>
      <w:tr>
        <w:trPr/>
        <w:tc>
          <w:tcPr>
            <w:tcW w:w="8495" w:type="dxa"/>
            <w:tcBorders>
              <w:start w:val="single" w:sz="12" w:space="0" w:color="3B82F6"/>
            </w:tcBorders>
            <w:shd w:fill="F8F9FA" w:val="clear"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141414"/>
                <w:sz w:val="26"/>
                <w:szCs w:val="26"/>
              </w:rPr>
              <w:t>L = (1 / m) · Σ (Y - A2)²</w:t>
            </w:r>
          </w:p>
        </w:tc>
        <w:tc>
          <w:tcPr>
            <w:tcW w:w="1009" w:type="dxa"/>
            <w:tcBorders/>
            <w:shd w:fill="F8F9FA" w:val="clear"/>
            <w:tcMar>
              <w:start w:w="40" w:type="dxa"/>
              <w:end w:w="40" w:type="dxa"/>
            </w:tcMar>
          </w:tcPr>
          <w:p>
            <w:pPr>
              <w:pStyle w:val="Normal"/>
              <w:spacing w:before="20" w:after="20"/>
              <w:jc w:val="en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646464"/>
                <w:sz w:val="26"/>
                <w:szCs w:val="26"/>
              </w:rPr>
              <w:t>(3)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before="40" w:after="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Зворотне розповсюдження помилки (Backward Propagation):</w:t>
      </w:r>
    </w:p>
    <w:tbl>
      <w:tblPr>
        <w:tblW w:w="9504" w:type="dxa"/>
        <w:jc w:val="center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val="04a0" w:noHBand="0" w:noVBand="1" w:firstColumn="1" w:lastRow="0" w:lastColumn="0" w:firstRow="1"/>
      </w:tblPr>
      <w:tblGrid>
        <w:gridCol w:w="8495"/>
        <w:gridCol w:w="1009"/>
      </w:tblGrid>
      <w:tr>
        <w:trPr/>
        <w:tc>
          <w:tcPr>
            <w:tcW w:w="8495" w:type="dxa"/>
            <w:tcBorders>
              <w:start w:val="single" w:sz="12" w:space="0" w:color="3B82F6"/>
            </w:tcBorders>
            <w:shd w:fill="F8F9FA" w:val="clear"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141414"/>
                <w:sz w:val="26"/>
                <w:szCs w:val="26"/>
              </w:rPr>
              <w:t>dZ2 = A2 - Y</w:t>
            </w:r>
          </w:p>
        </w:tc>
        <w:tc>
          <w:tcPr>
            <w:tcW w:w="1009" w:type="dxa"/>
            <w:tcBorders/>
            <w:shd w:fill="F8F9FA" w:val="clear"/>
            <w:tcMar>
              <w:start w:w="40" w:type="dxa"/>
              <w:end w:w="40" w:type="dxa"/>
            </w:tcMar>
          </w:tcPr>
          <w:p>
            <w:pPr>
              <w:pStyle w:val="Normal"/>
              <w:spacing w:before="20" w:after="20"/>
              <w:jc w:val="en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646464"/>
                <w:sz w:val="26"/>
                <w:szCs w:val="26"/>
              </w:rPr>
              <w:t>(4)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tbl>
      <w:tblPr>
        <w:tblW w:w="9504" w:type="dxa"/>
        <w:jc w:val="center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val="04a0" w:noHBand="0" w:noVBand="1" w:firstColumn="1" w:lastRow="0" w:lastColumn="0" w:firstRow="1"/>
      </w:tblPr>
      <w:tblGrid>
        <w:gridCol w:w="8495"/>
        <w:gridCol w:w="1009"/>
      </w:tblGrid>
      <w:tr>
        <w:trPr/>
        <w:tc>
          <w:tcPr>
            <w:tcW w:w="8495" w:type="dxa"/>
            <w:tcBorders>
              <w:start w:val="single" w:sz="12" w:space="0" w:color="3B82F6"/>
            </w:tcBorders>
            <w:shd w:fill="F8F9FA" w:val="clear"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141414"/>
                <w:sz w:val="26"/>
                <w:szCs w:val="26"/>
              </w:rPr>
              <w:t>dW2 = (1 / m) · A1ᵀ · dZ2,       db2 = (1 / m) · Σ dZ2</w:t>
            </w:r>
          </w:p>
        </w:tc>
        <w:tc>
          <w:tcPr>
            <w:tcW w:w="1009" w:type="dxa"/>
            <w:tcBorders/>
            <w:shd w:fill="F8F9FA" w:val="clear"/>
            <w:tcMar>
              <w:start w:w="40" w:type="dxa"/>
              <w:end w:w="40" w:type="dxa"/>
            </w:tcMar>
          </w:tcPr>
          <w:p>
            <w:pPr>
              <w:pStyle w:val="Normal"/>
              <w:spacing w:before="20" w:after="20"/>
              <w:jc w:val="en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646464"/>
                <w:sz w:val="26"/>
                <w:szCs w:val="26"/>
              </w:rPr>
              <w:t>(5)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tbl>
      <w:tblPr>
        <w:tblW w:w="9504" w:type="dxa"/>
        <w:jc w:val="center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val="04a0" w:noHBand="0" w:noVBand="1" w:firstColumn="1" w:lastRow="0" w:lastColumn="0" w:firstRow="1"/>
      </w:tblPr>
      <w:tblGrid>
        <w:gridCol w:w="8495"/>
        <w:gridCol w:w="1009"/>
      </w:tblGrid>
      <w:tr>
        <w:trPr/>
        <w:tc>
          <w:tcPr>
            <w:tcW w:w="8495" w:type="dxa"/>
            <w:tcBorders>
              <w:start w:val="single" w:sz="12" w:space="0" w:color="3B82F6"/>
            </w:tcBorders>
            <w:shd w:fill="F8F9FA" w:val="clear"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141414"/>
                <w:sz w:val="26"/>
                <w:szCs w:val="26"/>
              </w:rPr>
              <w:t>dA1 = dZ2 · W2ᵀ,                 dZ1 = dA1 ⊙ (A1 ⊙ (1 - A1))</w:t>
            </w:r>
          </w:p>
        </w:tc>
        <w:tc>
          <w:tcPr>
            <w:tcW w:w="1009" w:type="dxa"/>
            <w:tcBorders/>
            <w:shd w:fill="F8F9FA" w:val="clear"/>
            <w:tcMar>
              <w:start w:w="40" w:type="dxa"/>
              <w:end w:w="40" w:type="dxa"/>
            </w:tcMar>
          </w:tcPr>
          <w:p>
            <w:pPr>
              <w:pStyle w:val="Normal"/>
              <w:spacing w:before="20" w:after="20"/>
              <w:jc w:val="en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646464"/>
                <w:sz w:val="26"/>
                <w:szCs w:val="26"/>
              </w:rPr>
              <w:t>(6)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tbl>
      <w:tblPr>
        <w:tblW w:w="9504" w:type="dxa"/>
        <w:jc w:val="center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val="04a0" w:noHBand="0" w:noVBand="1" w:firstColumn="1" w:lastRow="0" w:lastColumn="0" w:firstRow="1"/>
      </w:tblPr>
      <w:tblGrid>
        <w:gridCol w:w="8495"/>
        <w:gridCol w:w="1009"/>
      </w:tblGrid>
      <w:tr>
        <w:trPr/>
        <w:tc>
          <w:tcPr>
            <w:tcW w:w="8495" w:type="dxa"/>
            <w:tcBorders>
              <w:start w:val="single" w:sz="12" w:space="0" w:color="3B82F6"/>
            </w:tcBorders>
            <w:shd w:fill="F8F9FA" w:val="clear"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141414"/>
                <w:sz w:val="26"/>
                <w:szCs w:val="26"/>
              </w:rPr>
              <w:t>dW1 = (1 / m) · Xᵀ · dZ1,        db1 = (1 / m) · Σ dZ1</w:t>
            </w:r>
          </w:p>
        </w:tc>
        <w:tc>
          <w:tcPr>
            <w:tcW w:w="1009" w:type="dxa"/>
            <w:tcBorders/>
            <w:shd w:fill="F8F9FA" w:val="clear"/>
            <w:tcMar>
              <w:start w:w="40" w:type="dxa"/>
              <w:end w:w="40" w:type="dxa"/>
            </w:tcMar>
          </w:tcPr>
          <w:p>
            <w:pPr>
              <w:pStyle w:val="Normal"/>
              <w:spacing w:before="20" w:after="20"/>
              <w:jc w:val="en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646464"/>
                <w:sz w:val="26"/>
                <w:szCs w:val="26"/>
              </w:rPr>
              <w:t>(7)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before="40" w:after="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Оновлення параметрів (Градієнтний спуск):</w:t>
      </w:r>
    </w:p>
    <w:tbl>
      <w:tblPr>
        <w:tblW w:w="9504" w:type="dxa"/>
        <w:jc w:val="center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val="04a0" w:noHBand="0" w:noVBand="1" w:firstColumn="1" w:lastRow="0" w:lastColumn="0" w:firstRow="1"/>
      </w:tblPr>
      <w:tblGrid>
        <w:gridCol w:w="8495"/>
        <w:gridCol w:w="1009"/>
      </w:tblGrid>
      <w:tr>
        <w:trPr/>
        <w:tc>
          <w:tcPr>
            <w:tcW w:w="8495" w:type="dxa"/>
            <w:tcBorders>
              <w:start w:val="single" w:sz="12" w:space="0" w:color="3B82F6"/>
            </w:tcBorders>
            <w:shd w:fill="F8F9FA" w:val="clear"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141414"/>
                <w:sz w:val="26"/>
                <w:szCs w:val="26"/>
              </w:rPr>
              <w:t>W1 := W1 - α · dW1,   b1 := b1 - α · db1</w:t>
              <w:br/>
              <w:t>W2 := W2 - α · dW2,   b2 := b2 - α · db2</w:t>
            </w:r>
          </w:p>
        </w:tc>
        <w:tc>
          <w:tcPr>
            <w:tcW w:w="1009" w:type="dxa"/>
            <w:tcBorders/>
            <w:shd w:fill="F8F9FA" w:val="clear"/>
            <w:tcMar>
              <w:start w:w="40" w:type="dxa"/>
              <w:end w:w="40" w:type="dxa"/>
            </w:tcMar>
          </w:tcPr>
          <w:p>
            <w:pPr>
              <w:pStyle w:val="Normal"/>
              <w:spacing w:before="20" w:after="20"/>
              <w:jc w:val="en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646464"/>
                <w:sz w:val="26"/>
                <w:szCs w:val="26"/>
              </w:rPr>
              <w:t>(8)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1"/>
        <w:spacing w:before="12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color w:val="0F172A"/>
          <w:sz w:val="26"/>
          <w:szCs w:val="26"/>
        </w:rPr>
        <w:t>3. Дані та архітектура нейромережі</w:t>
      </w:r>
    </w:p>
    <w:p>
      <w:pPr>
        <w:pStyle w:val="Normal"/>
        <w:spacing w:lineRule="auto" w:line="276" w:before="0" w:after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• </w:t>
      </w:r>
      <w:r>
        <w:rPr>
          <w:rFonts w:ascii="times new roman" w:hAnsi="times new roman"/>
          <w:b/>
          <w:sz w:val="26"/>
          <w:szCs w:val="26"/>
        </w:rPr>
        <w:t xml:space="preserve">Датасет: </w:t>
      </w:r>
      <w:r>
        <w:rPr>
          <w:rFonts w:ascii="times new roman" w:hAnsi="times new roman"/>
          <w:sz w:val="26"/>
          <w:szCs w:val="26"/>
        </w:rPr>
        <w:t>Real Estate Price Prediction (414 рядків, 6 ознак: дата транзакції, вік будинку, відстань до станції метро, кількість продуктових магазинів, географічні широта та довгота).</w:t>
        <w:br/>
      </w:r>
      <w:r>
        <w:rPr>
          <w:rFonts w:ascii="times new roman" w:hAnsi="times new roman"/>
          <w:b/>
          <w:sz w:val="26"/>
          <w:szCs w:val="26"/>
        </w:rPr>
        <w:t xml:space="preserve">• Попередня обробка: </w:t>
      </w:r>
      <w:r>
        <w:rPr>
          <w:rFonts w:ascii="times new roman" w:hAnsi="times new roman"/>
          <w:sz w:val="26"/>
          <w:szCs w:val="26"/>
        </w:rPr>
        <w:t>оскільки вихідна функція активації — сигмоїда з діапазоном (0, 1), усі вхідні ознаки X та цільова змінна Y нормалізовані методом Min-Max Scaling: x_norm = (x - x_min) / (x_max - x_min). Після прогнозування виконується денормалізація: y_real = y_norm · (y_max - y_min) + y_min.</w:t>
        <w:br/>
      </w:r>
      <w:r>
        <w:rPr>
          <w:rFonts w:ascii="times new roman" w:hAnsi="times new roman"/>
          <w:b/>
          <w:sz w:val="26"/>
          <w:szCs w:val="26"/>
        </w:rPr>
        <w:t xml:space="preserve">• Розбиття: </w:t>
      </w:r>
      <w:r>
        <w:rPr>
          <w:rFonts w:ascii="times new roman" w:hAnsi="times new roman"/>
          <w:sz w:val="26"/>
          <w:szCs w:val="26"/>
        </w:rPr>
        <w:t>80% вибірки відібрано для тренування (331 запис), 20% — для тестування (83 записи).</w:t>
        <w:br/>
      </w:r>
      <w:r>
        <w:rPr>
          <w:rFonts w:ascii="times new roman" w:hAnsi="times new roman"/>
          <w:b/>
          <w:sz w:val="26"/>
          <w:szCs w:val="26"/>
        </w:rPr>
        <w:t xml:space="preserve">• Параметри базової моделі: </w:t>
      </w:r>
      <w:r>
        <w:rPr>
          <w:rFonts w:ascii="times new roman" w:hAnsi="times new roman"/>
          <w:sz w:val="26"/>
          <w:szCs w:val="26"/>
        </w:rPr>
        <w:t>input_size = 6, hidden_size = 8, output_size = 1, швидкість навчання α = 0.5, кількість епох = 2500.</w:t>
      </w:r>
    </w:p>
    <w:p>
      <w:pPr>
        <w:pStyle w:val="Heading1"/>
        <w:spacing w:before="160" w:after="8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color w:val="0F172A"/>
          <w:sz w:val="26"/>
          <w:szCs w:val="26"/>
        </w:rPr>
        <w:t>4. Результати експериментів та аналіз</w:t>
      </w:r>
    </w:p>
    <w:p>
      <w:pPr>
        <w:pStyle w:val="Normal"/>
        <w:spacing w:before="0" w:after="8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4.1. Динаміка навчання базової моделі</w:t>
      </w:r>
    </w:p>
    <w:p>
      <w:pPr>
        <w:pStyle w:val="Normal"/>
        <w:spacing w:lineRule="auto" w:line="276" w:before="0" w:after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Під час навчання значення функції втрат MSE на нормалізованих даних монотонно знизилося з 0.0463 на перших кроках до </w:t>
      </w:r>
      <w:r>
        <w:rPr>
          <w:rFonts w:ascii="times new roman" w:hAnsi="times new roman"/>
          <w:b/>
          <w:sz w:val="26"/>
          <w:szCs w:val="26"/>
        </w:rPr>
        <w:t>0.004944</w:t>
      </w:r>
      <w:r>
        <w:rPr>
          <w:rFonts w:ascii="times new roman" w:hAnsi="times new roman"/>
          <w:sz w:val="26"/>
          <w:szCs w:val="26"/>
        </w:rPr>
        <w:t xml:space="preserve"> на 2500-й епосі. Модель демонструє стабільну збіжність без осциляцій.</w:t>
      </w:r>
    </w:p>
    <w:p>
      <w:pPr>
        <w:pStyle w:val="Normal"/>
        <w:keepNext w:val="true"/>
        <w:spacing w:before="40" w:after="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5088255" cy="3180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318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Рис. 1. Крива навчання нейромережі (функція втрат від кількості епох)</w:t>
      </w:r>
    </w:p>
    <w:p>
      <w:pPr>
        <w:pStyle w:val="Normal"/>
        <w:keepNext w:val="true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4.2. Дослідження впливу кількості нейронів у прихованому шарі</w:t>
      </w:r>
    </w:p>
    <w:p>
      <w:pPr>
        <w:pStyle w:val="Normal"/>
        <w:keepNext w:val="true"/>
        <w:spacing w:lineRule="auto" w:line="276" w:before="0" w:after="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Було проведено серію навчань моделі (по 2000 епох) при зміні кількості нейронів у прихованому шарі: h ∈ {2, 4, 8, 12, 16, 24, 32}. Оцінка якості здійснювалася на тестовій вибірці за метриками MSE, MAE та коефіцієнтом детермінації R².</w:t>
      </w:r>
    </w:p>
    <w:p>
      <w:pPr>
        <w:pStyle w:val="Normal"/>
        <w:keepNext w:val="true"/>
        <w:spacing w:before="80" w:after="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Таблиця 1. Метрики якості на тестовій вибірці при різній кількості нейронів</w:t>
      </w:r>
    </w:p>
    <w:tbl>
      <w:tblPr>
        <w:tblW w:w="10080" w:type="dxa"/>
        <w:jc w:val="center"/>
        <w:tblInd w:w="0" w:type="dxa"/>
        <w:tblLayout w:type="fixed"/>
        <w:tblCellMar>
          <w:top w:w="35" w:type="dxa"/>
          <w:start w:w="60" w:type="dxa"/>
          <w:bottom w:w="35" w:type="dxa"/>
          <w:end w:w="60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Кількість нейронів (h)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Test MSE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Test MAE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Test R²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124.74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6.57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0.4924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127.07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6.69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0.4829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124.07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6.59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0.4951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124.67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6.60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0.4927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124.08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6.59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0.4951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123.67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6.58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0.4967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32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122.19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6.53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0.5028</w:t>
            </w:r>
          </w:p>
        </w:tc>
      </w:tr>
    </w:tbl>
    <w:p>
      <w:pPr>
        <w:pStyle w:val="Normal"/>
        <w:keepNext w:val="true"/>
        <w:spacing w:before="80" w:after="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4726940" cy="2954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940" cy="295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Рис. 2. Залежність тестової MSE від кількості нейронів прихованого шару</w:t>
      </w:r>
    </w:p>
    <w:p>
      <w:pPr>
        <w:pStyle w:val="Normal"/>
        <w:keepNext w:val="true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4.3. Дослідження впливу кількості епох навчання</w:t>
      </w:r>
    </w:p>
    <w:p>
      <w:pPr>
        <w:pStyle w:val="Normal"/>
        <w:keepNext w:val="true"/>
        <w:spacing w:lineRule="auto" w:line="276" w:before="0" w:after="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При фіксованому розмірі прихованого шару (h = 8) було досліджено якість прогнозування залежно від кількості епох навчання: від 200 до 5000 епох.</w:t>
      </w:r>
    </w:p>
    <w:p>
      <w:pPr>
        <w:pStyle w:val="Normal"/>
        <w:keepNext w:val="true"/>
        <w:spacing w:before="80" w:after="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Таблиця 2. Метрики якості на тестовій вибірці при різній кількості епох</w:t>
      </w:r>
    </w:p>
    <w:tbl>
      <w:tblPr>
        <w:tblW w:w="10080" w:type="dxa"/>
        <w:jc w:val="center"/>
        <w:tblInd w:w="0" w:type="dxa"/>
        <w:tblLayout w:type="fixed"/>
        <w:tblCellMar>
          <w:top w:w="35" w:type="dxa"/>
          <w:start w:w="60" w:type="dxa"/>
          <w:bottom w:w="35" w:type="dxa"/>
          <w:end w:w="60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Кількість епох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Test MSE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Test MAE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Test R²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234.87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11.02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0.0442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500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184.88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9.01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0.2476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1000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136.90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7.03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0.4429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2000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124.07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6.59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0.4951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3000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119.41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6.44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0.5140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5000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115.19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6.29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25" w:type="dxa"/>
              <w:bottom w:w="25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0.5312</w:t>
            </w:r>
          </w:p>
        </w:tc>
      </w:tr>
    </w:tbl>
    <w:p>
      <w:pPr>
        <w:pStyle w:val="Normal"/>
        <w:keepNext w:val="true"/>
        <w:spacing w:before="80" w:after="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48768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Рис. 3. Залежність тестової MSE від кількості епох навчання</w:t>
      </w:r>
    </w:p>
    <w:p>
      <w:pPr>
        <w:pStyle w:val="Normal"/>
        <w:keepNext w:val="true"/>
        <w:spacing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4.4. Порівняння фактичних та спрогнозованих значень</w:t>
      </w:r>
    </w:p>
    <w:p>
      <w:pPr>
        <w:pStyle w:val="Normal"/>
        <w:keepNext w:val="true"/>
        <w:spacing w:lineRule="auto" w:line="276" w:before="0" w:after="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 Таблиці 3 наведено перші 10 зразків із тестового набору з порівнянням фактичної вартості нерухомості та прогнозу, згенерованого навченою моделлю.</w:t>
      </w:r>
    </w:p>
    <w:p>
      <w:pPr>
        <w:pStyle w:val="Normal"/>
        <w:keepNext w:val="true"/>
        <w:spacing w:before="80" w:after="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Таблиця 3. Порівняння реальних цін та прогнозів на тестовій вибірці</w:t>
      </w:r>
    </w:p>
    <w:tbl>
      <w:tblPr>
        <w:tblW w:w="10080" w:type="dxa"/>
        <w:jc w:val="center"/>
        <w:tblInd w:w="0" w:type="dxa"/>
        <w:tblLayout w:type="fixed"/>
        <w:tblCellMar>
          <w:top w:w="35" w:type="dxa"/>
          <w:start w:w="60" w:type="dxa"/>
          <w:bottom w:w="35" w:type="dxa"/>
          <w:end w:w="60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№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Фактична ціна (Y)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Прогнозована ціна (Ŷ)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E2E8F0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Абсолютна помилка (|Y - Ŷ|)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34.20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33.42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0.78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31.10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34.24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3.14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21.80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27.26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5.46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56.80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49.28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7.52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13.80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23.93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10.13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41.20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47.45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6.25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37.40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41.79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4.39</w:t>
            </w:r>
          </w:p>
        </w:tc>
      </w:tr>
      <w:tr>
        <w:trPr>
          <w:cantSplit w:val="true"/>
        </w:trPr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38.40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31.92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fill="F8FAFC" w:val="clear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6.48</w:t>
            </w:r>
          </w:p>
        </w:tc>
      </w:tr>
    </w:tbl>
    <w:p>
      <w:pPr>
        <w:pStyle w:val="Normal"/>
        <w:keepNext w:val="true"/>
        <w:spacing w:before="40" w:after="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4844415" cy="3027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15" cy="302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Рис. 4. Діаграма розсіювання: фактичні ціни vs прогнозовані</w:t>
      </w:r>
    </w:p>
    <w:p>
      <w:pPr>
        <w:pStyle w:val="Heading1"/>
        <w:spacing w:before="8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color w:val="0F172A"/>
          <w:sz w:val="26"/>
          <w:szCs w:val="26"/>
        </w:rPr>
        <w:t>5. Висновки</w:t>
      </w:r>
    </w:p>
    <w:p>
      <w:pPr>
        <w:pStyle w:val="Normal"/>
        <w:spacing w:lineRule="auto" w:line="264" w:before="0" w:after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У ході лабораторної роботи №1 реалізовано нейромережу прямого поширення з одним прихованим шаром на базі бібліотеки </w:t>
      </w:r>
      <w:r>
        <w:rPr>
          <w:rFonts w:ascii="times new roman" w:hAnsi="times new roman"/>
          <w:i/>
          <w:sz w:val="26"/>
          <w:szCs w:val="26"/>
        </w:rPr>
        <w:t>numpy</w:t>
      </w:r>
      <w:r>
        <w:rPr>
          <w:rFonts w:ascii="times new roman" w:hAnsi="times new roman"/>
          <w:sz w:val="26"/>
          <w:szCs w:val="26"/>
        </w:rPr>
        <w:t xml:space="preserve"> згідно з формулами методички.</w:t>
        <w:br/>
        <w:t>1. Нормалізація даних (Min-Max Scaling) є критичною для коректної роботи логістичного сигмоїда на виході.</w:t>
        <w:br/>
        <w:t>2. Вплив епох: при зростанні з 200 до 3000 епох модель виходить на стабільний оптимум (R² ≈ 0.51, MAE ≈ 6.4).</w:t>
        <w:br/>
        <w:t>3. Вплив нейронів: для даного датасету оптимальною є конфігурація з 8–16 нейронами у прихованому шарі (MSE ≈ 124, R² ≈ 0.495). Збільшення кількості до 32 дає мінімальний приріст при зростанні обчислень.</w:t>
      </w:r>
      <w:r>
        <w:rPr>
          <w:rFonts w:ascii="times new roman" w:hAnsi="times new roman"/>
          <w:sz w:val="26"/>
          <w:szCs w:val="26"/>
        </w:rPr>
        <w:softHyphen/>
      </w:r>
      <w:r>
        <w:rPr>
          <w:rFonts w:ascii="times new roman" w:hAnsi="times new roman"/>
          <w:sz w:val="26"/>
          <w:szCs w:val="26"/>
        </w:rPr>
        <w:br/>
        <w:t>4. Крива навчання свідчить про стабільну збіжність алгоритму зворотного розповсюдження помилки.</w:t>
      </w:r>
    </w:p>
    <w:sectPr>
      <w:type w:val="nextPage"/>
      <w:pgSz w:w="12240" w:h="15840"/>
      <w:pgMar w:left="1472" w:right="1074" w:gutter="0" w:header="0" w:top="936" w:footer="0" w:bottom="936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/>
      <w:color w:val="1E1E1E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rial" w:hAnsi="Arial" w:eastAsia="Arial" w:cs="Arial"/>
      <w:color w:val="auto"/>
      <w:kern w:val="0"/>
      <w:sz w:val="24"/>
      <w:szCs w:val="24"/>
      <w:lang w:val="uk-UA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LibreOffice/25.8.7.3$Linux_X86_64 LibreOffice_project/580$Build-3</Application>
  <AppVersion>15.0000</AppVersion>
  <Pages>7</Pages>
  <Words>885</Words>
  <Characters>4653</Characters>
  <CharactersWithSpaces>5430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2026-09-23T12:12:34Z</cp:lastPrinted>
  <dcterms:modified xsi:type="dcterms:W3CDTF">2026-09-23T12:12:41Z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