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BE8B" w14:textId="77777777" w:rsidR="00970EED" w:rsidRDefault="009D3203">
      <w:pPr>
        <w:pStyle w:val="Heading1"/>
      </w:pPr>
      <w:bookmarkStart w:id="0" w:name="X7f67c1f4572a66eae5bdcd9eaf7798d06040eab"/>
      <w:r>
        <w:t>Pending Tasks — Recommendation and Work Plan</w:t>
      </w:r>
    </w:p>
    <w:p w14:paraId="6D0C9D41" w14:textId="77777777" w:rsidR="00970EED" w:rsidRDefault="009D3203">
      <w:pPr>
        <w:pStyle w:val="FirstParagraph"/>
      </w:pPr>
      <w:r>
        <w:rPr>
          <w:b/>
          <w:bCs/>
        </w:rPr>
        <w:t>Companion to:</w:t>
      </w:r>
      <w:r>
        <w:t xml:space="preserve"> </w:t>
      </w:r>
      <w:r>
        <w:rPr>
          <w:i/>
          <w:iCs/>
        </w:rPr>
        <w:t>Dissertation Chapters Three and Four — Corrected Working Copy</w:t>
      </w:r>
    </w:p>
    <w:p w14:paraId="17F9C0C0" w14:textId="77777777" w:rsidR="00970EED" w:rsidRDefault="009D3203">
      <w:pPr>
        <w:pStyle w:val="BodyText"/>
      </w:pPr>
      <w:r>
        <w:t xml:space="preserve">Ten items remain outstanding. Each is marked in the dissertation file as </w:t>
      </w:r>
      <w:r>
        <w:t>⟦</w:t>
      </w:r>
      <w:r>
        <w:t>PENDING R#</w:t>
      </w:r>
      <w:r>
        <w:t>⟧</w:t>
      </w:r>
      <w:r>
        <w:t>. This document states, for each: what is required, why it could not be resolved by editing, how long it should take, and what happens if it is not done.</w:t>
      </w:r>
    </w:p>
    <w:p w14:paraId="63643C39" w14:textId="77777777" w:rsidR="00970EED" w:rsidRDefault="009D3203">
      <w:r>
        <w:pict w14:anchorId="649CC9F3">
          <v:rect id="_x0000_i1025" style="width:0;height:1.5pt" o:hralign="center" o:hrstd="t" o:hr="t"/>
        </w:pict>
      </w:r>
    </w:p>
    <w:p w14:paraId="17673292" w14:textId="77777777" w:rsidR="00970EED" w:rsidRDefault="009D3203">
      <w:pPr>
        <w:pStyle w:val="Heading2"/>
      </w:pPr>
      <w:bookmarkStart w:id="1" w:name="triage"/>
      <w:r>
        <w:t>Triage</w:t>
      </w:r>
    </w:p>
    <w:p w14:paraId="6D0BD909" w14:textId="77777777" w:rsidR="00970EED" w:rsidRDefault="009D3203">
      <w:pPr>
        <w:pStyle w:val="FirstParagraph"/>
      </w:pPr>
      <w:r>
        <w:t>Not all ten carry the same weight. Sorted by what they cost if left undone:</w:t>
      </w:r>
    </w:p>
    <w:tbl>
      <w:tblPr>
        <w:tblStyle w:val="Table"/>
        <w:tblW w:w="5000" w:type="pct"/>
        <w:tblLook w:val="0020" w:firstRow="1" w:lastRow="0" w:firstColumn="0" w:lastColumn="0" w:noHBand="0" w:noVBand="0"/>
      </w:tblPr>
      <w:tblGrid>
        <w:gridCol w:w="1847"/>
        <w:gridCol w:w="1087"/>
        <w:gridCol w:w="3678"/>
        <w:gridCol w:w="2748"/>
      </w:tblGrid>
      <w:tr w:rsidR="00970EED" w14:paraId="7E8B33FA" w14:textId="77777777" w:rsidTr="00970EED">
        <w:trPr>
          <w:cnfStyle w:val="100000000000" w:firstRow="1" w:lastRow="0" w:firstColumn="0" w:lastColumn="0" w:oddVBand="0" w:evenVBand="0" w:oddHBand="0" w:evenHBand="0" w:firstRowFirstColumn="0" w:firstRowLastColumn="0" w:lastRowFirstColumn="0" w:lastRowLastColumn="0"/>
          <w:tblHeader/>
        </w:trPr>
        <w:tc>
          <w:tcPr>
            <w:tcW w:w="0" w:type="auto"/>
          </w:tcPr>
          <w:p w14:paraId="7A9231D7" w14:textId="77777777" w:rsidR="00970EED" w:rsidRDefault="009D3203">
            <w:pPr>
              <w:pStyle w:val="Compact"/>
            </w:pPr>
            <w:r>
              <w:t>Tier</w:t>
            </w:r>
          </w:p>
        </w:tc>
        <w:tc>
          <w:tcPr>
            <w:tcW w:w="0" w:type="auto"/>
          </w:tcPr>
          <w:p w14:paraId="558F03CF" w14:textId="77777777" w:rsidR="00970EED" w:rsidRDefault="009D3203">
            <w:pPr>
              <w:pStyle w:val="Compact"/>
            </w:pPr>
            <w:r>
              <w:t>Items</w:t>
            </w:r>
          </w:p>
        </w:tc>
        <w:tc>
          <w:tcPr>
            <w:tcW w:w="0" w:type="auto"/>
          </w:tcPr>
          <w:p w14:paraId="6A91FC08" w14:textId="77777777" w:rsidR="00970EED" w:rsidRDefault="009D3203">
            <w:pPr>
              <w:pStyle w:val="Compact"/>
            </w:pPr>
            <w:r>
              <w:t>Character</w:t>
            </w:r>
          </w:p>
        </w:tc>
        <w:tc>
          <w:tcPr>
            <w:tcW w:w="0" w:type="auto"/>
          </w:tcPr>
          <w:p w14:paraId="7D7EA4F5" w14:textId="77777777" w:rsidR="00970EED" w:rsidRDefault="009D3203">
            <w:pPr>
              <w:pStyle w:val="Compact"/>
            </w:pPr>
            <w:r>
              <w:t>If unresolved</w:t>
            </w:r>
          </w:p>
        </w:tc>
      </w:tr>
      <w:tr w:rsidR="00970EED" w14:paraId="40A9A3A5" w14:textId="77777777">
        <w:tc>
          <w:tcPr>
            <w:tcW w:w="0" w:type="auto"/>
          </w:tcPr>
          <w:p w14:paraId="3D55EA18" w14:textId="77777777" w:rsidR="00970EED" w:rsidRDefault="009D3203">
            <w:pPr>
              <w:pStyle w:val="Compact"/>
            </w:pPr>
            <w:r>
              <w:rPr>
                <w:b/>
                <w:bCs/>
              </w:rPr>
              <w:t>Blocking</w:t>
            </w:r>
          </w:p>
        </w:tc>
        <w:tc>
          <w:tcPr>
            <w:tcW w:w="0" w:type="auto"/>
          </w:tcPr>
          <w:p w14:paraId="24026054" w14:textId="77777777" w:rsidR="00970EED" w:rsidRDefault="009D3203">
            <w:pPr>
              <w:pStyle w:val="Compact"/>
            </w:pPr>
            <w:r>
              <w:t>R2, R3</w:t>
            </w:r>
          </w:p>
        </w:tc>
        <w:tc>
          <w:tcPr>
            <w:tcW w:w="0" w:type="auto"/>
          </w:tcPr>
          <w:p w14:paraId="0A36468B" w14:textId="77777777" w:rsidR="00970EED" w:rsidRDefault="009D3203">
            <w:pPr>
              <w:pStyle w:val="Compact"/>
            </w:pPr>
            <w:r>
              <w:t>Two hypotheses have no valid result</w:t>
            </w:r>
          </w:p>
        </w:tc>
        <w:tc>
          <w:tcPr>
            <w:tcW w:w="0" w:type="auto"/>
          </w:tcPr>
          <w:p w14:paraId="5F3CF5AC" w14:textId="77777777" w:rsidR="00970EED" w:rsidRDefault="009D3203">
            <w:pPr>
              <w:pStyle w:val="Compact"/>
            </w:pPr>
            <w:r>
              <w:t>Viva failure — H₁ is the thesis premise</w:t>
            </w:r>
          </w:p>
        </w:tc>
      </w:tr>
      <w:tr w:rsidR="00970EED" w14:paraId="4AAB5CF2" w14:textId="77777777">
        <w:tc>
          <w:tcPr>
            <w:tcW w:w="0" w:type="auto"/>
          </w:tcPr>
          <w:p w14:paraId="46F7DAD1" w14:textId="77777777" w:rsidR="00970EED" w:rsidRDefault="009D3203">
            <w:pPr>
              <w:pStyle w:val="Compact"/>
            </w:pPr>
            <w:r>
              <w:rPr>
                <w:b/>
                <w:bCs/>
              </w:rPr>
              <w:t>Serious</w:t>
            </w:r>
          </w:p>
        </w:tc>
        <w:tc>
          <w:tcPr>
            <w:tcW w:w="0" w:type="auto"/>
          </w:tcPr>
          <w:p w14:paraId="2D9250A7" w14:textId="77777777" w:rsidR="00970EED" w:rsidRDefault="009D3203">
            <w:pPr>
              <w:pStyle w:val="Compact"/>
            </w:pPr>
            <w:r>
              <w:t>R1, R5</w:t>
            </w:r>
          </w:p>
        </w:tc>
        <w:tc>
          <w:tcPr>
            <w:tcW w:w="0" w:type="auto"/>
          </w:tcPr>
          <w:p w14:paraId="612CF081" w14:textId="77777777" w:rsidR="00970EED" w:rsidRDefault="009D3203">
            <w:pPr>
              <w:pStyle w:val="Compact"/>
            </w:pPr>
            <w:r>
              <w:t>One result set is provisional; one hypothesis untested</w:t>
            </w:r>
          </w:p>
        </w:tc>
        <w:tc>
          <w:tcPr>
            <w:tcW w:w="0" w:type="auto"/>
          </w:tcPr>
          <w:p w14:paraId="14137CE7" w14:textId="77777777" w:rsidR="00970EED" w:rsidRDefault="009D3203">
            <w:pPr>
              <w:pStyle w:val="Compact"/>
            </w:pPr>
            <w:r>
              <w:t>Examiner will require correction</w:t>
            </w:r>
          </w:p>
        </w:tc>
      </w:tr>
      <w:tr w:rsidR="00970EED" w14:paraId="43D80612" w14:textId="77777777">
        <w:tc>
          <w:tcPr>
            <w:tcW w:w="0" w:type="auto"/>
          </w:tcPr>
          <w:p w14:paraId="2B197E24" w14:textId="77777777" w:rsidR="00970EED" w:rsidRDefault="009D3203">
            <w:pPr>
              <w:pStyle w:val="Compact"/>
            </w:pPr>
            <w:r>
              <w:rPr>
                <w:b/>
                <w:bCs/>
              </w:rPr>
              <w:t>Expected</w:t>
            </w:r>
          </w:p>
        </w:tc>
        <w:tc>
          <w:tcPr>
            <w:tcW w:w="0" w:type="auto"/>
          </w:tcPr>
          <w:p w14:paraId="0C08F6D6" w14:textId="77777777" w:rsidR="00970EED" w:rsidRDefault="009D3203">
            <w:pPr>
              <w:pStyle w:val="Compact"/>
            </w:pPr>
            <w:r>
              <w:t>R6, R7, R9</w:t>
            </w:r>
          </w:p>
        </w:tc>
        <w:tc>
          <w:tcPr>
            <w:tcW w:w="0" w:type="auto"/>
          </w:tcPr>
          <w:p w14:paraId="4EF2155B" w14:textId="77777777" w:rsidR="00970EED" w:rsidRDefault="009D3203">
            <w:pPr>
              <w:pStyle w:val="Compact"/>
            </w:pPr>
            <w:r>
              <w:t>Reporting standards not met</w:t>
            </w:r>
          </w:p>
        </w:tc>
        <w:tc>
          <w:tcPr>
            <w:tcW w:w="0" w:type="auto"/>
          </w:tcPr>
          <w:p w14:paraId="382A24F1" w14:textId="77777777" w:rsidR="00970EED" w:rsidRDefault="009D3203">
            <w:pPr>
              <w:pStyle w:val="Compact"/>
            </w:pPr>
            <w:r>
              <w:t>Credibility damage, recoverable</w:t>
            </w:r>
          </w:p>
        </w:tc>
      </w:tr>
      <w:tr w:rsidR="00970EED" w14:paraId="625A4218" w14:textId="77777777">
        <w:tc>
          <w:tcPr>
            <w:tcW w:w="0" w:type="auto"/>
          </w:tcPr>
          <w:p w14:paraId="516DB62E" w14:textId="77777777" w:rsidR="00970EED" w:rsidRDefault="009D3203">
            <w:pPr>
              <w:pStyle w:val="Compact"/>
            </w:pPr>
            <w:r>
              <w:rPr>
                <w:b/>
                <w:bCs/>
              </w:rPr>
              <w:t>Presentational</w:t>
            </w:r>
          </w:p>
        </w:tc>
        <w:tc>
          <w:tcPr>
            <w:tcW w:w="0" w:type="auto"/>
          </w:tcPr>
          <w:p w14:paraId="78F2F426" w14:textId="77777777" w:rsidR="00970EED" w:rsidRDefault="009D3203">
            <w:pPr>
              <w:pStyle w:val="Compact"/>
            </w:pPr>
            <w:r>
              <w:t>R4, R8, R10</w:t>
            </w:r>
          </w:p>
        </w:tc>
        <w:tc>
          <w:tcPr>
            <w:tcW w:w="0" w:type="auto"/>
          </w:tcPr>
          <w:p w14:paraId="1B8D5629" w14:textId="77777777" w:rsidR="00970EED" w:rsidRDefault="009D3203">
            <w:pPr>
              <w:pStyle w:val="Compact"/>
            </w:pPr>
            <w:r>
              <w:t>Documentation gaps</w:t>
            </w:r>
          </w:p>
        </w:tc>
        <w:tc>
          <w:tcPr>
            <w:tcW w:w="0" w:type="auto"/>
          </w:tcPr>
          <w:p w14:paraId="182F1C38" w14:textId="77777777" w:rsidR="00970EED" w:rsidRDefault="009D3203">
            <w:pPr>
              <w:pStyle w:val="Compact"/>
            </w:pPr>
            <w:r>
              <w:t>Noted but survivable</w:t>
            </w:r>
          </w:p>
        </w:tc>
      </w:tr>
    </w:tbl>
    <w:p w14:paraId="3BA683F0" w14:textId="77777777" w:rsidR="00970EED" w:rsidRDefault="009D3203">
      <w:pPr>
        <w:pStyle w:val="BodyText"/>
      </w:pPr>
      <w:r>
        <w:rPr>
          <w:b/>
          <w:bCs/>
        </w:rPr>
        <w:t>Three of these are debugging tasks, not research tasks.</w:t>
      </w:r>
      <w:r>
        <w:t xml:space="preserve"> </w:t>
      </w:r>
      <w:r>
        <w:t>R2, R3 and R5 require inspecting data files that already exist. If the per-scenario result files are intact, all three close in under a week. That single fact determines whether the remaining work is measured in days or months.</w:t>
      </w:r>
    </w:p>
    <w:p w14:paraId="7E205345" w14:textId="77777777" w:rsidR="00970EED" w:rsidRDefault="009D3203">
      <w:pPr>
        <w:pStyle w:val="BodyText"/>
      </w:pPr>
      <w:r>
        <w:rPr>
          <w:b/>
          <w:bCs/>
        </w:rPr>
        <w:t>The first question to answer, before planning anything else:</w:t>
      </w:r>
      <w:r>
        <w:t xml:space="preserve"> </w:t>
      </w:r>
      <w:r>
        <w:rPr>
          <w:i/>
          <w:iCs/>
        </w:rPr>
        <w:t>does a per-scenario results file exist, containing one row per held-out scenario with the scenario identifier, the true label, and each model’s prediction?</w:t>
      </w:r>
    </w:p>
    <w:p w14:paraId="39276A0A" w14:textId="77777777" w:rsidR="00970EED" w:rsidRDefault="009D3203">
      <w:pPr>
        <w:pStyle w:val="Compact"/>
        <w:numPr>
          <w:ilvl w:val="0"/>
          <w:numId w:val="2"/>
        </w:numPr>
      </w:pPr>
      <w:r>
        <w:rPr>
          <w:b/>
          <w:bCs/>
        </w:rPr>
        <w:t>If yes</w:t>
      </w:r>
      <w:r>
        <w:t xml:space="preserve"> </w:t>
      </w:r>
      <w:r>
        <w:t>— R2, R3, R5, R6, R7 and R9 all close from that one file. Total effort: roughly two weeks.</w:t>
      </w:r>
    </w:p>
    <w:p w14:paraId="381BD1BB" w14:textId="77777777" w:rsidR="00970EED" w:rsidRDefault="009D3203">
      <w:pPr>
        <w:pStyle w:val="Compact"/>
        <w:numPr>
          <w:ilvl w:val="0"/>
          <w:numId w:val="2"/>
        </w:numPr>
      </w:pPr>
      <w:r>
        <w:rPr>
          <w:b/>
          <w:bCs/>
        </w:rPr>
        <w:t>If no</w:t>
      </w:r>
      <w:r>
        <w:t xml:space="preserve"> — the models must be re-run with per-scenario logging enabled before anything else can proceed. Add three to four weeks.</w:t>
      </w:r>
    </w:p>
    <w:p w14:paraId="1E49D372" w14:textId="77777777" w:rsidR="00970EED" w:rsidRDefault="009D3203">
      <w:r>
        <w:pict w14:anchorId="6DFC4FDC">
          <v:rect id="_x0000_i1026" style="width:0;height:1.5pt" o:hralign="center" o:hrstd="t" o:hr="t"/>
        </w:pict>
      </w:r>
    </w:p>
    <w:p w14:paraId="11416E18" w14:textId="77777777" w:rsidR="00970EED" w:rsidRDefault="009D3203">
      <w:pPr>
        <w:pStyle w:val="Heading1"/>
      </w:pPr>
      <w:bookmarkStart w:id="2" w:name="blocking"/>
      <w:bookmarkEnd w:id="0"/>
      <w:bookmarkEnd w:id="1"/>
      <w:r>
        <w:t>BLOCKING</w:t>
      </w:r>
    </w:p>
    <w:p w14:paraId="1629529B" w14:textId="77777777" w:rsidR="00970EED" w:rsidRDefault="009D3203">
      <w:pPr>
        <w:pStyle w:val="Heading2"/>
      </w:pPr>
      <w:bookmarkStart w:id="3" w:name="X414d837600403c4791438ce459b394735501454"/>
      <w:r>
        <w:t>R2 — Verify the relay prediction vector and re-run H₁</w:t>
      </w:r>
    </w:p>
    <w:p w14:paraId="4A52CD83" w14:textId="77777777" w:rsidR="00970EED" w:rsidRDefault="009D3203">
      <w:pPr>
        <w:pStyle w:val="FirstParagraph"/>
      </w:pPr>
      <w:r>
        <w:rPr>
          <w:b/>
          <w:bCs/>
        </w:rPr>
        <w:t>Where:</w:t>
      </w:r>
      <w:r>
        <w:t xml:space="preserve"> Chapter Four §4.4.1; Chapter Three §3.9.2 and §3.9.6</w:t>
      </w:r>
    </w:p>
    <w:p w14:paraId="65A3062F" w14:textId="77777777" w:rsidR="00970EED" w:rsidRDefault="009D3203">
      <w:pPr>
        <w:pStyle w:val="Heading3"/>
      </w:pPr>
      <w:bookmarkStart w:id="4" w:name="what-is-wrong"/>
      <w:r>
        <w:lastRenderedPageBreak/>
        <w:t>What is wrong</w:t>
      </w:r>
    </w:p>
    <w:p w14:paraId="3A3132FC" w14:textId="77777777" w:rsidR="00970EED" w:rsidRDefault="009D3203">
      <w:pPr>
        <w:pStyle w:val="FirstParagraph"/>
      </w:pPr>
      <w:r>
        <w:t>The McNemar analysis returned Cochran’s Q = 6.6585, p = 0.4653, with pairwise accuracy differences of −0.29 to −0.59 percentage points and odds ratios of exactly 0.0000. Table 4.3 shows the relay at 0.6000 and the models at 0.9625 to 1.0000 — a gap of 36 to 40 points in the opposite direction.</w:t>
      </w:r>
    </w:p>
    <w:p w14:paraId="0C7DB555" w14:textId="77777777" w:rsidR="00970EED" w:rsidRDefault="009D3203">
      <w:pPr>
        <w:pStyle w:val="BodyText"/>
      </w:pPr>
      <w:r>
        <w:t>An odds ratio of exactly zero means one discordant cell is empty. Across six of seven comparisons, that is the signature of a relay column that is not the relay’s predictions — most likely the ground-truth labels, or a duplicated model column.</w:t>
      </w:r>
    </w:p>
    <w:p w14:paraId="4DA231CE" w14:textId="77777777" w:rsidR="00970EED" w:rsidRDefault="009D3203">
      <w:pPr>
        <w:pStyle w:val="Heading3"/>
      </w:pPr>
      <w:bookmarkStart w:id="5" w:name="why-editing-cannot-fix-it"/>
      <w:bookmarkEnd w:id="4"/>
      <w:r>
        <w:t>Why editing cannot fix it</w:t>
      </w:r>
    </w:p>
    <w:p w14:paraId="625D80F4" w14:textId="77777777" w:rsidR="00970EED" w:rsidRDefault="009D3203">
      <w:pPr>
        <w:pStyle w:val="FirstParagraph"/>
      </w:pPr>
      <w:r>
        <w:t>The relay prediction vector is not in the manuscript. The bounded analysis now in Table 4.11 establishes what the result must be — all eight models robust at worst-case p below 10⁻¹⁷¹ — but a bound is not a test.</w:t>
      </w:r>
    </w:p>
    <w:p w14:paraId="3828F7AB" w14:textId="77777777" w:rsidR="00970EED" w:rsidRDefault="009D3203">
      <w:pPr>
        <w:pStyle w:val="Heading3"/>
      </w:pPr>
      <w:bookmarkStart w:id="6" w:name="procedure"/>
      <w:bookmarkEnd w:id="5"/>
      <w:r>
        <w:t>Procedure</w:t>
      </w:r>
    </w:p>
    <w:p w14:paraId="16B22B99" w14:textId="77777777" w:rsidR="00970EED" w:rsidRDefault="009D3203">
      <w:pPr>
        <w:pStyle w:val="Compact"/>
        <w:numPr>
          <w:ilvl w:val="0"/>
          <w:numId w:val="3"/>
        </w:numPr>
      </w:pPr>
      <w:r>
        <w:t>Open the file feeding the McNemar routine. Print the first twenty rows of the relay column alongside the ground-truth column and one model column.</w:t>
      </w:r>
    </w:p>
    <w:p w14:paraId="4C3F4334" w14:textId="77777777" w:rsidR="00970EED" w:rsidRDefault="009D3203">
      <w:pPr>
        <w:pStyle w:val="Compact"/>
        <w:numPr>
          <w:ilvl w:val="0"/>
          <w:numId w:val="3"/>
        </w:numPr>
      </w:pPr>
      <w:r>
        <w:t xml:space="preserve">Compute accuracy directly from the relay column. </w:t>
      </w:r>
      <w:r>
        <w:rPr>
          <w:b/>
          <w:bCs/>
        </w:rPr>
        <w:t>It must equal 0.6000.</w:t>
      </w:r>
      <w:r>
        <w:t xml:space="preserve"> If it equals 1.0000, the column holds labels. If it matches a model’s accuracy exactly, it is a duplicate.</w:t>
      </w:r>
    </w:p>
    <w:p w14:paraId="32020BB1" w14:textId="77777777" w:rsidR="00970EED" w:rsidRDefault="009D3203">
      <w:pPr>
        <w:pStyle w:val="Compact"/>
        <w:numPr>
          <w:ilvl w:val="0"/>
          <w:numId w:val="3"/>
        </w:numPr>
      </w:pPr>
      <w:r>
        <w:t>Trace back to where the relay column is populated. In the corrected Chapter Three this is the detection logic of §3.9.4 — zone pickup within the analysis window.</w:t>
      </w:r>
    </w:p>
    <w:p w14:paraId="13874B10" w14:textId="77777777" w:rsidR="00970EED" w:rsidRDefault="009D3203">
      <w:pPr>
        <w:pStyle w:val="Compact"/>
        <w:numPr>
          <w:ilvl w:val="0"/>
          <w:numId w:val="3"/>
        </w:numPr>
      </w:pPr>
      <w:r>
        <w:t>Re-run McNemar with Holm correction. Report the 2×2 discordance table for at least the best model against the relay.</w:t>
      </w:r>
    </w:p>
    <w:p w14:paraId="48575C69" w14:textId="77777777" w:rsidR="00970EED" w:rsidRDefault="009D3203">
      <w:pPr>
        <w:pStyle w:val="Compact"/>
        <w:numPr>
          <w:ilvl w:val="0"/>
          <w:numId w:val="3"/>
        </w:numPr>
      </w:pPr>
      <w:r>
        <w:t>Replace Table 4.11 with the confirmatory result, retaining the bounded analysis as a sensitivity note.</w:t>
      </w:r>
    </w:p>
    <w:p w14:paraId="5A80F971" w14:textId="77777777" w:rsidR="00970EED" w:rsidRDefault="009D3203">
      <w:pPr>
        <w:pStyle w:val="Heading3"/>
      </w:pPr>
      <w:bookmarkStart w:id="7" w:name="expected-outcome"/>
      <w:bookmarkEnd w:id="6"/>
      <w:r>
        <w:t>Expected outcome</w:t>
      </w:r>
    </w:p>
    <w:p w14:paraId="20EE40F7" w14:textId="77777777" w:rsidR="00970EED" w:rsidRDefault="009D3203">
      <w:pPr>
        <w:pStyle w:val="FirstParagraph"/>
      </w:pPr>
      <w:r>
        <w:t>Strong support for H₁, with p-values far below 0.001 and large odds ratios. The bound already proves no other outcome is reachable from Table 4.3’s marginals.</w:t>
      </w:r>
    </w:p>
    <w:p w14:paraId="6F3F0032" w14:textId="77777777" w:rsidR="00970EED" w:rsidRDefault="009D3203">
      <w:pPr>
        <w:pStyle w:val="Heading3"/>
      </w:pPr>
      <w:bookmarkStart w:id="8" w:name="also-closes"/>
      <w:bookmarkEnd w:id="7"/>
      <w:r>
        <w:t>Also closes</w:t>
      </w:r>
    </w:p>
    <w:p w14:paraId="5EF76E68" w14:textId="77777777" w:rsidR="00970EED" w:rsidRDefault="009D3203">
      <w:pPr>
        <w:pStyle w:val="FirstParagraph"/>
      </w:pPr>
      <w:r>
        <w:t>R2a and R2b in §3.9.2 and §3.9.6 — specifying the relay characteristic and phasor filter is part of documenting what you verified.</w:t>
      </w:r>
    </w:p>
    <w:p w14:paraId="55536984" w14:textId="77777777" w:rsidR="00970EED" w:rsidRDefault="009D3203">
      <w:pPr>
        <w:pStyle w:val="BodyText"/>
      </w:pPr>
      <w:r>
        <w:rPr>
          <w:b/>
          <w:bCs/>
        </w:rPr>
        <w:t>Effort:</w:t>
      </w:r>
      <w:r>
        <w:t xml:space="preserve"> 1–2 days. </w:t>
      </w:r>
      <w:r>
        <w:rPr>
          <w:b/>
          <w:bCs/>
        </w:rPr>
        <w:t>Tier: blocking.</w:t>
      </w:r>
    </w:p>
    <w:p w14:paraId="7C03CFB5" w14:textId="77777777" w:rsidR="00970EED" w:rsidRDefault="009D3203">
      <w:r>
        <w:pict w14:anchorId="039089EF">
          <v:rect id="_x0000_i1027" style="width:0;height:1.5pt" o:hralign="center" o:hrstd="t" o:hr="t"/>
        </w:pict>
      </w:r>
    </w:p>
    <w:p w14:paraId="39443C07" w14:textId="77777777" w:rsidR="00970EED" w:rsidRDefault="009D3203">
      <w:pPr>
        <w:pStyle w:val="Heading2"/>
      </w:pPr>
      <w:bookmarkStart w:id="9" w:name="r3-diagnose-the-fault-location-predictor"/>
      <w:bookmarkEnd w:id="3"/>
      <w:bookmarkEnd w:id="8"/>
      <w:r>
        <w:t>R3 — Diagnose the fault location predictor</w:t>
      </w:r>
    </w:p>
    <w:p w14:paraId="09BFBA54" w14:textId="77777777" w:rsidR="00970EED" w:rsidRDefault="009D3203">
      <w:pPr>
        <w:pStyle w:val="FirstParagraph"/>
      </w:pPr>
      <w:r>
        <w:rPr>
          <w:b/>
          <w:bCs/>
        </w:rPr>
        <w:t>Where:</w:t>
      </w:r>
      <w:r>
        <w:t xml:space="preserve"> Chapter Four §4.4.5</w:t>
      </w:r>
    </w:p>
    <w:p w14:paraId="1B5BDD91" w14:textId="77777777" w:rsidR="00970EED" w:rsidRDefault="009D3203">
      <w:pPr>
        <w:pStyle w:val="Heading3"/>
      </w:pPr>
      <w:bookmarkStart w:id="10" w:name="what-is-wrong-1"/>
      <w:r>
        <w:lastRenderedPageBreak/>
        <w:t>What is wrong</w:t>
      </w:r>
    </w:p>
    <w:p w14:paraId="2E4FCE3B" w14:textId="77777777" w:rsidR="00970EED" w:rsidRDefault="009D3203">
      <w:pPr>
        <w:pStyle w:val="FirstParagraph"/>
      </w:pPr>
      <w:r>
        <w:t>All 63 pairwise Hodges–Lehmann estimates are exactly 0.0000 with confidence intervals [0.0000, 0.0000]. Probabilities take only two values: 1.000000 and 0.317311. Friedman statistics are exactly 5.0000, 6.0000 and 6.0000.</w:t>
      </w:r>
    </w:p>
    <w:p w14:paraId="46A77D02" w14:textId="77777777" w:rsidR="00970EED" w:rsidRDefault="009D3203">
      <w:pPr>
        <w:pStyle w:val="BodyText"/>
      </w:pPr>
      <w:r>
        <w:t>The value 0.317311 is the probability for a sign test with exactly one discordant pair. Every model produced effectively identical location predictions on every scenario.</w:t>
      </w:r>
    </w:p>
    <w:p w14:paraId="22738BD2" w14:textId="77777777" w:rsidR="00970EED" w:rsidRDefault="009D3203">
      <w:pPr>
        <w:pStyle w:val="Heading3"/>
      </w:pPr>
      <w:bookmarkStart w:id="11" w:name="why-editing-cannot-fix-it-1"/>
      <w:bookmarkEnd w:id="10"/>
      <w:r>
        <w:t>Why editing cannot fix it</w:t>
      </w:r>
    </w:p>
    <w:p w14:paraId="45C7C5D0" w14:textId="77777777" w:rsidR="00970EED" w:rsidRDefault="009D3203">
      <w:pPr>
        <w:pStyle w:val="FirstParagraph"/>
      </w:pPr>
      <w:r>
        <w:t>This is a degenerate variable, not a finding of equivalence. Reporting it as equivalence would be a false claim. The earlier draft reported a location MAE ordering from 3.5% for the relay down to 0.26% for the hybrid, which suggests real variation existed at some point in the pipeline.</w:t>
      </w:r>
    </w:p>
    <w:p w14:paraId="1BFCA431" w14:textId="77777777" w:rsidR="00970EED" w:rsidRDefault="009D3203">
      <w:pPr>
        <w:pStyle w:val="Heading3"/>
      </w:pPr>
      <w:bookmarkStart w:id="12" w:name="procedure-1"/>
      <w:bookmarkEnd w:id="11"/>
      <w:r>
        <w:t>Procedure</w:t>
      </w:r>
    </w:p>
    <w:p w14:paraId="4633A74B" w14:textId="77777777" w:rsidR="00970EED" w:rsidRDefault="009D3203">
      <w:pPr>
        <w:pStyle w:val="Compact"/>
        <w:numPr>
          <w:ilvl w:val="0"/>
          <w:numId w:val="4"/>
        </w:numPr>
      </w:pPr>
      <w:r>
        <w:t>Print raw per-scenario location predictions for two models side by side at one fault location — twenty rows is enough.</w:t>
      </w:r>
    </w:p>
    <w:p w14:paraId="46A5CAA0" w14:textId="77777777" w:rsidR="00970EED" w:rsidRDefault="009D3203">
      <w:pPr>
        <w:pStyle w:val="Compact"/>
        <w:numPr>
          <w:ilvl w:val="0"/>
          <w:numId w:val="4"/>
        </w:numPr>
      </w:pPr>
      <w:r>
        <w:rPr>
          <w:b/>
          <w:bCs/>
        </w:rPr>
        <w:t>If the columns are identical:</w:t>
      </w:r>
      <w:r>
        <w:t xml:space="preserve"> the location head is outputting a constant, or one column was duplicated across all models during export. Retrain the location output or fix the export.</w:t>
      </w:r>
    </w:p>
    <w:p w14:paraId="615B48EB" w14:textId="77777777" w:rsidR="00970EED" w:rsidRDefault="009D3203">
      <w:pPr>
        <w:pStyle w:val="Compact"/>
        <w:numPr>
          <w:ilvl w:val="0"/>
          <w:numId w:val="4"/>
        </w:numPr>
      </w:pPr>
      <w:r>
        <w:rPr>
          <w:b/>
          <w:bCs/>
        </w:rPr>
        <w:t>If the columns differ:</w:t>
      </w:r>
      <w:r>
        <w:t xml:space="preserve"> the defect is in the analysis routine, which is collapsing them. Check the merge or pivot operation that assembles the comparison matrix.</w:t>
      </w:r>
    </w:p>
    <w:p w14:paraId="060955B0" w14:textId="77777777" w:rsidR="00970EED" w:rsidRDefault="009D3203">
      <w:pPr>
        <w:pStyle w:val="Compact"/>
        <w:numPr>
          <w:ilvl w:val="0"/>
          <w:numId w:val="4"/>
        </w:numPr>
      </w:pPr>
      <w:r>
        <w:t>Once variance is confirmed, extend from three locations (15, 45, 60 km) to the eight defined in Table 3.3.</w:t>
      </w:r>
    </w:p>
    <w:p w14:paraId="2F28ED26" w14:textId="77777777" w:rsidR="00970EED" w:rsidRDefault="009D3203">
      <w:pPr>
        <w:pStyle w:val="Compact"/>
        <w:numPr>
          <w:ilvl w:val="0"/>
          <w:numId w:val="4"/>
        </w:numPr>
      </w:pPr>
      <w:r>
        <w:t>Report error in kilometres as well as percentage, and state the denominator explicitly.</w:t>
      </w:r>
    </w:p>
    <w:p w14:paraId="501E84B9" w14:textId="77777777" w:rsidR="00970EED" w:rsidRDefault="009D3203">
      <w:pPr>
        <w:pStyle w:val="Heading3"/>
      </w:pPr>
      <w:bookmarkStart w:id="13" w:name="X58b6a92f3beb09e6eb7da5c882b9d03f8f0157a"/>
      <w:bookmarkEnd w:id="12"/>
      <w:r>
        <w:t>Fallback if the location head cannot be recovered</w:t>
      </w:r>
    </w:p>
    <w:p w14:paraId="3DD696B5" w14:textId="77777777" w:rsidR="00970EED" w:rsidRDefault="009D3203">
      <w:pPr>
        <w:pStyle w:val="FirstParagraph"/>
      </w:pPr>
      <w:r>
        <w:t>Fault location is a stated objective, so it cannot simply disappear. If the predictor cannot be repaired in time, the honest options are:</w:t>
      </w:r>
    </w:p>
    <w:p w14:paraId="6C606E00" w14:textId="77777777" w:rsidR="00970EED" w:rsidRDefault="009D3203">
      <w:pPr>
        <w:pStyle w:val="Compact"/>
        <w:numPr>
          <w:ilvl w:val="0"/>
          <w:numId w:val="5"/>
        </w:numPr>
      </w:pPr>
      <w:r>
        <w:rPr>
          <w:b/>
          <w:bCs/>
        </w:rPr>
        <w:t>Preferred:</w:t>
      </w:r>
      <w:r>
        <w:t xml:space="preserve"> </w:t>
      </w:r>
      <w:r>
        <w:t>remove fault location from the objectives and research questions, and state it in §3.15 as scope not addressed, recommending it for future work.</w:t>
      </w:r>
    </w:p>
    <w:p w14:paraId="4A68E472" w14:textId="77777777" w:rsidR="00970EED" w:rsidRDefault="009D3203">
      <w:pPr>
        <w:pStyle w:val="Compact"/>
        <w:numPr>
          <w:ilvl w:val="0"/>
          <w:numId w:val="5"/>
        </w:numPr>
      </w:pPr>
      <w:r>
        <w:rPr>
          <w:b/>
          <w:bCs/>
        </w:rPr>
        <w:t>Acceptable:</w:t>
      </w:r>
      <w:r>
        <w:t xml:space="preserve"> retain H₅ and report that the analysis returned a degenerate result that could not be resolved, citing it as a limitation.</w:t>
      </w:r>
    </w:p>
    <w:p w14:paraId="3510B95D" w14:textId="77777777" w:rsidR="00970EED" w:rsidRDefault="009D3203">
      <w:pPr>
        <w:pStyle w:val="FirstParagraph"/>
      </w:pPr>
      <w:r>
        <w:t>Do not report the degenerate output as a finding of equivalence under any circumstances.</w:t>
      </w:r>
    </w:p>
    <w:p w14:paraId="5DA3F75B" w14:textId="77777777" w:rsidR="00970EED" w:rsidRDefault="009D3203">
      <w:pPr>
        <w:pStyle w:val="BodyText"/>
      </w:pPr>
      <w:r>
        <w:rPr>
          <w:b/>
          <w:bCs/>
        </w:rPr>
        <w:t>Effort:</w:t>
      </w:r>
      <w:r>
        <w:t xml:space="preserve"> 1 day to diagnose; 2–5 days to repair if the location head needs retraining. </w:t>
      </w:r>
      <w:r>
        <w:rPr>
          <w:b/>
          <w:bCs/>
        </w:rPr>
        <w:t>Tier: blocking.</w:t>
      </w:r>
    </w:p>
    <w:p w14:paraId="76553E57" w14:textId="77777777" w:rsidR="00970EED" w:rsidRDefault="009D3203">
      <w:r>
        <w:pict w14:anchorId="5B085596">
          <v:rect id="_x0000_i1028" style="width:0;height:1.5pt" o:hralign="center" o:hrstd="t" o:hr="t"/>
        </w:pict>
      </w:r>
    </w:p>
    <w:p w14:paraId="3F45791B" w14:textId="77777777" w:rsidR="00970EED" w:rsidRDefault="009D3203">
      <w:pPr>
        <w:pStyle w:val="Heading1"/>
      </w:pPr>
      <w:bookmarkStart w:id="14" w:name="serious"/>
      <w:bookmarkEnd w:id="2"/>
      <w:bookmarkEnd w:id="9"/>
      <w:bookmarkEnd w:id="13"/>
      <w:r>
        <w:lastRenderedPageBreak/>
        <w:t>SERIOUS</w:t>
      </w:r>
    </w:p>
    <w:p w14:paraId="6743D10E" w14:textId="77777777" w:rsidR="00970EED" w:rsidRDefault="009D3203">
      <w:pPr>
        <w:pStyle w:val="Heading2"/>
      </w:pPr>
      <w:bookmarkStart w:id="15" w:name="Xff388c814f3c77784cf21c5e77a13263705b298"/>
      <w:r>
        <w:t>R1 — Re-simulate under corrected line parameters</w:t>
      </w:r>
    </w:p>
    <w:p w14:paraId="2FB7F488" w14:textId="77777777" w:rsidR="00970EED" w:rsidRDefault="009D3203">
      <w:pPr>
        <w:pStyle w:val="FirstParagraph"/>
      </w:pPr>
      <w:r>
        <w:rPr>
          <w:b/>
          <w:bCs/>
        </w:rPr>
        <w:t>Where:</w:t>
      </w:r>
      <w:r>
        <w:t xml:space="preserve"> Chapter Three §3.3.1</w:t>
      </w:r>
    </w:p>
    <w:p w14:paraId="3F2CD535" w14:textId="77777777" w:rsidR="00970EED" w:rsidRDefault="009D3203">
      <w:pPr>
        <w:pStyle w:val="Heading3"/>
      </w:pPr>
      <w:bookmarkStart w:id="16" w:name="what-is-wrong-2"/>
      <w:r>
        <w:t>What is wrong</w:t>
      </w:r>
    </w:p>
    <w:p w14:paraId="35FC16E4" w14:textId="77777777" w:rsidR="00970EED" w:rsidRDefault="009D3203">
      <w:pPr>
        <w:pStyle w:val="FirstParagraph"/>
      </w:pPr>
      <w:r>
        <w:t>Four parameters in Table 3.2 were wrong, two by orders of magnitude. They are now corrected in the text:</w:t>
      </w:r>
    </w:p>
    <w:tbl>
      <w:tblPr>
        <w:tblStyle w:val="Table"/>
        <w:tblW w:w="0" w:type="auto"/>
        <w:tblLook w:val="0020" w:firstRow="1" w:lastRow="0" w:firstColumn="0" w:lastColumn="0" w:noHBand="0" w:noVBand="0"/>
      </w:tblPr>
      <w:tblGrid>
        <w:gridCol w:w="3409"/>
        <w:gridCol w:w="1456"/>
        <w:gridCol w:w="1556"/>
        <w:gridCol w:w="1231"/>
      </w:tblGrid>
      <w:tr w:rsidR="00970EED" w14:paraId="0F7670B4" w14:textId="77777777" w:rsidTr="00970EED">
        <w:trPr>
          <w:cnfStyle w:val="100000000000" w:firstRow="1" w:lastRow="0" w:firstColumn="0" w:lastColumn="0" w:oddVBand="0" w:evenVBand="0" w:oddHBand="0" w:evenHBand="0" w:firstRowFirstColumn="0" w:firstRowLastColumn="0" w:lastRowFirstColumn="0" w:lastRowLastColumn="0"/>
          <w:tblHeader/>
        </w:trPr>
        <w:tc>
          <w:tcPr>
            <w:tcW w:w="0" w:type="auto"/>
          </w:tcPr>
          <w:p w14:paraId="2306EAFE" w14:textId="77777777" w:rsidR="00970EED" w:rsidRDefault="009D3203">
            <w:pPr>
              <w:pStyle w:val="Compact"/>
            </w:pPr>
            <w:r>
              <w:t>Parameter</w:t>
            </w:r>
          </w:p>
        </w:tc>
        <w:tc>
          <w:tcPr>
            <w:tcW w:w="0" w:type="auto"/>
          </w:tcPr>
          <w:p w14:paraId="5B71D4A9" w14:textId="77777777" w:rsidR="00970EED" w:rsidRDefault="009D3203">
            <w:pPr>
              <w:pStyle w:val="Compact"/>
            </w:pPr>
            <w:r>
              <w:t>Was</w:t>
            </w:r>
          </w:p>
        </w:tc>
        <w:tc>
          <w:tcPr>
            <w:tcW w:w="0" w:type="auto"/>
          </w:tcPr>
          <w:p w14:paraId="38F82EB0" w14:textId="77777777" w:rsidR="00970EED" w:rsidRDefault="009D3203">
            <w:pPr>
              <w:pStyle w:val="Compact"/>
            </w:pPr>
            <w:r>
              <w:t>Now</w:t>
            </w:r>
          </w:p>
        </w:tc>
        <w:tc>
          <w:tcPr>
            <w:tcW w:w="0" w:type="auto"/>
          </w:tcPr>
          <w:p w14:paraId="2423E0DE" w14:textId="77777777" w:rsidR="00970EED" w:rsidRDefault="009D3203">
            <w:pPr>
              <w:pStyle w:val="Compact"/>
            </w:pPr>
            <w:r>
              <w:t>Error</w:t>
            </w:r>
          </w:p>
        </w:tc>
      </w:tr>
      <w:tr w:rsidR="00970EED" w14:paraId="5F68DAF2" w14:textId="77777777">
        <w:tc>
          <w:tcPr>
            <w:tcW w:w="0" w:type="auto"/>
          </w:tcPr>
          <w:p w14:paraId="4DCE6AE1" w14:textId="77777777" w:rsidR="00970EED" w:rsidRDefault="009D3203">
            <w:pPr>
              <w:pStyle w:val="Compact"/>
            </w:pPr>
            <w:r>
              <w:t>Positive-sequence reactance X₁</w:t>
            </w:r>
          </w:p>
        </w:tc>
        <w:tc>
          <w:tcPr>
            <w:tcW w:w="0" w:type="auto"/>
          </w:tcPr>
          <w:p w14:paraId="02E70A24" w14:textId="77777777" w:rsidR="00970EED" w:rsidRDefault="009D3203">
            <w:pPr>
              <w:pStyle w:val="Compact"/>
            </w:pPr>
            <w:r>
              <w:t>0.003 Ω/km</w:t>
            </w:r>
          </w:p>
        </w:tc>
        <w:tc>
          <w:tcPr>
            <w:tcW w:w="0" w:type="auto"/>
          </w:tcPr>
          <w:p w14:paraId="747CB6BB" w14:textId="77777777" w:rsidR="00970EED" w:rsidRDefault="009D3203">
            <w:pPr>
              <w:pStyle w:val="Compact"/>
            </w:pPr>
            <w:r>
              <w:t>0.390 Ω/km</w:t>
            </w:r>
          </w:p>
        </w:tc>
        <w:tc>
          <w:tcPr>
            <w:tcW w:w="0" w:type="auto"/>
          </w:tcPr>
          <w:p w14:paraId="6F7B11DA" w14:textId="77777777" w:rsidR="00970EED" w:rsidRDefault="009D3203">
            <w:pPr>
              <w:pStyle w:val="Compact"/>
            </w:pPr>
            <w:r>
              <w:t>130×</w:t>
            </w:r>
          </w:p>
        </w:tc>
      </w:tr>
      <w:tr w:rsidR="00970EED" w14:paraId="4FE0ED9F" w14:textId="77777777">
        <w:tc>
          <w:tcPr>
            <w:tcW w:w="0" w:type="auto"/>
          </w:tcPr>
          <w:p w14:paraId="54A44E67" w14:textId="77777777" w:rsidR="00970EED" w:rsidRDefault="009D3203">
            <w:pPr>
              <w:pStyle w:val="Compact"/>
            </w:pPr>
            <w:r>
              <w:t>Zero-sequence reactance X₀</w:t>
            </w:r>
          </w:p>
        </w:tc>
        <w:tc>
          <w:tcPr>
            <w:tcW w:w="0" w:type="auto"/>
          </w:tcPr>
          <w:p w14:paraId="3E60B31D" w14:textId="77777777" w:rsidR="00970EED" w:rsidRDefault="009D3203">
            <w:pPr>
              <w:pStyle w:val="Compact"/>
            </w:pPr>
            <w:r>
              <w:t>0.006 Ω/km</w:t>
            </w:r>
          </w:p>
        </w:tc>
        <w:tc>
          <w:tcPr>
            <w:tcW w:w="0" w:type="auto"/>
          </w:tcPr>
          <w:p w14:paraId="1EC43661" w14:textId="77777777" w:rsidR="00970EED" w:rsidRDefault="009D3203">
            <w:pPr>
              <w:pStyle w:val="Compact"/>
            </w:pPr>
            <w:r>
              <w:t>1.352 Ω/km</w:t>
            </w:r>
          </w:p>
        </w:tc>
        <w:tc>
          <w:tcPr>
            <w:tcW w:w="0" w:type="auto"/>
          </w:tcPr>
          <w:p w14:paraId="6866EEB8" w14:textId="77777777" w:rsidR="00970EED" w:rsidRDefault="009D3203">
            <w:pPr>
              <w:pStyle w:val="Compact"/>
            </w:pPr>
            <w:r>
              <w:t>225×</w:t>
            </w:r>
          </w:p>
        </w:tc>
      </w:tr>
      <w:tr w:rsidR="00970EED" w14:paraId="46BC99AC" w14:textId="77777777">
        <w:tc>
          <w:tcPr>
            <w:tcW w:w="0" w:type="auto"/>
          </w:tcPr>
          <w:p w14:paraId="0308D25E" w14:textId="77777777" w:rsidR="00970EED" w:rsidRDefault="009D3203">
            <w:pPr>
              <w:pStyle w:val="Compact"/>
            </w:pPr>
            <w:r>
              <w:t>Capacitance</w:t>
            </w:r>
          </w:p>
        </w:tc>
        <w:tc>
          <w:tcPr>
            <w:tcW w:w="0" w:type="auto"/>
          </w:tcPr>
          <w:p w14:paraId="047B1F51" w14:textId="77777777" w:rsidR="00970EED" w:rsidRDefault="009D3203">
            <w:pPr>
              <w:pStyle w:val="Compact"/>
            </w:pPr>
            <w:r>
              <w:t>12.74 F/km</w:t>
            </w:r>
          </w:p>
        </w:tc>
        <w:tc>
          <w:tcPr>
            <w:tcW w:w="0" w:type="auto"/>
          </w:tcPr>
          <w:p w14:paraId="026D1EA1" w14:textId="77777777" w:rsidR="00970EED" w:rsidRDefault="009D3203">
            <w:pPr>
              <w:pStyle w:val="Compact"/>
            </w:pPr>
            <w:r>
              <w:t>12.74 nF/km</w:t>
            </w:r>
          </w:p>
        </w:tc>
        <w:tc>
          <w:tcPr>
            <w:tcW w:w="0" w:type="auto"/>
          </w:tcPr>
          <w:p w14:paraId="2F3CB370" w14:textId="77777777" w:rsidR="00970EED" w:rsidRDefault="009D3203">
            <w:pPr>
              <w:pStyle w:val="Compact"/>
            </w:pPr>
            <w:r>
              <w:t>10⁹ (unit)</w:t>
            </w:r>
          </w:p>
        </w:tc>
      </w:tr>
      <w:tr w:rsidR="00970EED" w14:paraId="41735D1D" w14:textId="77777777">
        <w:tc>
          <w:tcPr>
            <w:tcW w:w="0" w:type="auto"/>
          </w:tcPr>
          <w:p w14:paraId="4C603818" w14:textId="77777777" w:rsidR="00970EED" w:rsidRDefault="009D3203">
            <w:pPr>
              <w:pStyle w:val="Compact"/>
            </w:pPr>
            <w:r>
              <w:t>Fault level</w:t>
            </w:r>
          </w:p>
        </w:tc>
        <w:tc>
          <w:tcPr>
            <w:tcW w:w="0" w:type="auto"/>
          </w:tcPr>
          <w:p w14:paraId="2254DE0B" w14:textId="77777777" w:rsidR="00970EED" w:rsidRDefault="009D3203">
            <w:pPr>
              <w:pStyle w:val="Compact"/>
            </w:pPr>
            <w:r>
              <w:t>3000 kVA</w:t>
            </w:r>
          </w:p>
        </w:tc>
        <w:tc>
          <w:tcPr>
            <w:tcW w:w="0" w:type="auto"/>
          </w:tcPr>
          <w:p w14:paraId="2CD6FFFF" w14:textId="77777777" w:rsidR="00970EED" w:rsidRDefault="009D3203">
            <w:pPr>
              <w:pStyle w:val="Compact"/>
            </w:pPr>
            <w:r>
              <w:t>3000 MVA</w:t>
            </w:r>
          </w:p>
        </w:tc>
        <w:tc>
          <w:tcPr>
            <w:tcW w:w="0" w:type="auto"/>
          </w:tcPr>
          <w:p w14:paraId="4F27B5B9" w14:textId="77777777" w:rsidR="00970EED" w:rsidRDefault="009D3203">
            <w:pPr>
              <w:pStyle w:val="Compact"/>
            </w:pPr>
            <w:r>
              <w:t>10³ (unit)</w:t>
            </w:r>
          </w:p>
        </w:tc>
      </w:tr>
    </w:tbl>
    <w:p w14:paraId="01C7F263" w14:textId="77777777" w:rsidR="00970EED" w:rsidRDefault="009D3203">
      <w:pPr>
        <w:pStyle w:val="BodyText"/>
      </w:pPr>
      <w:r>
        <w:t>Fault currents, the relay’s impedance trajectory, and the apparent-impedance location estimate all derive from these.</w:t>
      </w:r>
    </w:p>
    <w:p w14:paraId="6EAA7310" w14:textId="77777777" w:rsidR="00970EED" w:rsidRDefault="009D3203">
      <w:pPr>
        <w:pStyle w:val="Heading3"/>
      </w:pPr>
      <w:bookmarkStart w:id="17" w:name="why-editing-cannot-fix-it-2"/>
      <w:bookmarkEnd w:id="16"/>
      <w:r>
        <w:t>Why editing cannot fix it</w:t>
      </w:r>
    </w:p>
    <w:p w14:paraId="1C0D2860" w14:textId="77777777" w:rsidR="00970EED" w:rsidRDefault="009D3203">
      <w:pPr>
        <w:pStyle w:val="FirstParagraph"/>
      </w:pPr>
      <w:r>
        <w:t>Correcting the table does not correct results computed from the erroneous values. Only re-simulation does.</w:t>
      </w:r>
    </w:p>
    <w:p w14:paraId="3FD2A326" w14:textId="77777777" w:rsidR="00970EED" w:rsidRDefault="009D3203">
      <w:pPr>
        <w:pStyle w:val="Heading3"/>
      </w:pPr>
      <w:bookmarkStart w:id="18" w:name="what-this-does-and-does-not-threaten"/>
      <w:bookmarkEnd w:id="17"/>
      <w:r>
        <w:t>What this does and does not threaten</w:t>
      </w:r>
    </w:p>
    <w:p w14:paraId="0EC9AC18" w14:textId="77777777" w:rsidR="00970EED" w:rsidRDefault="009D3203">
      <w:pPr>
        <w:pStyle w:val="FirstParagraph"/>
      </w:pPr>
      <w:r>
        <w:rPr>
          <w:b/>
          <w:bCs/>
        </w:rPr>
        <w:t>Likely to survive:</w:t>
      </w:r>
      <w:r>
        <w:t xml:space="preserve"> </w:t>
      </w:r>
      <w:r>
        <w:t>the relative ordering of models. Every model saw the same data, so a defect affecting all of them equally does not change which performs better. The H₂ null finding, the robustness ordering, and the hybrid PINN’s advantage on three-phase faults should all hold.</w:t>
      </w:r>
    </w:p>
    <w:p w14:paraId="69DBCC8A" w14:textId="77777777" w:rsidR="00970EED" w:rsidRDefault="009D3203">
      <w:pPr>
        <w:pStyle w:val="BodyText"/>
      </w:pPr>
      <w:r>
        <w:rPr>
          <w:b/>
          <w:bCs/>
        </w:rPr>
        <w:t>Likely to shift:</w:t>
      </w:r>
      <w:r>
        <w:t xml:space="preserve"> absolute accuracies, decision latencies, and — most importantly — </w:t>
      </w:r>
      <w:r>
        <w:rPr>
          <w:b/>
          <w:bCs/>
        </w:rPr>
        <w:t>the relay baseline</w:t>
      </w:r>
      <w:r>
        <w:t>. The distance relay operates directly on impedance. With X₁ understated by 130×, the modelled relay was seeing a line that looks almost purely resistive, which is not a transmission line. This may also be the origin of the R2 defect.</w:t>
      </w:r>
    </w:p>
    <w:p w14:paraId="3042B056" w14:textId="77777777" w:rsidR="00970EED" w:rsidRDefault="009D3203">
      <w:pPr>
        <w:pStyle w:val="Heading3"/>
      </w:pPr>
      <w:bookmarkStart w:id="19" w:name="procedure-2"/>
      <w:bookmarkEnd w:id="18"/>
      <w:r>
        <w:t>Procedure</w:t>
      </w:r>
    </w:p>
    <w:p w14:paraId="0973A3CB" w14:textId="77777777" w:rsidR="00970EED" w:rsidRDefault="009D3203">
      <w:pPr>
        <w:pStyle w:val="Compact"/>
        <w:numPr>
          <w:ilvl w:val="0"/>
          <w:numId w:val="6"/>
        </w:numPr>
      </w:pPr>
      <w:r>
        <w:t>Update the Simulink model with the corrected Table 3.2 values.</w:t>
      </w:r>
    </w:p>
    <w:p w14:paraId="345F6057" w14:textId="77777777" w:rsidR="00970EED" w:rsidRDefault="009D3203">
      <w:pPr>
        <w:pStyle w:val="Compact"/>
        <w:numPr>
          <w:ilvl w:val="0"/>
          <w:numId w:val="6"/>
        </w:numPr>
      </w:pPr>
      <w:r>
        <w:t>Verify the model against the cross-checks already in §3.3.1: line charging should come to approximately 30.9 MVAr, and the three-phase fault current to approximately 10.76 kA.</w:t>
      </w:r>
    </w:p>
    <w:p w14:paraId="49FFA8EB" w14:textId="77777777" w:rsidR="00970EED" w:rsidRDefault="009D3203">
      <w:pPr>
        <w:pStyle w:val="Compact"/>
        <w:numPr>
          <w:ilvl w:val="0"/>
          <w:numId w:val="6"/>
        </w:numPr>
      </w:pPr>
      <w:r>
        <w:t>Regenerate the dataset using the corrected scenario matrix (14,400 scenarios, separate no-fault stratum).</w:t>
      </w:r>
    </w:p>
    <w:p w14:paraId="70002BDD" w14:textId="77777777" w:rsidR="00970EED" w:rsidRDefault="009D3203">
      <w:pPr>
        <w:pStyle w:val="Compact"/>
        <w:numPr>
          <w:ilvl w:val="0"/>
          <w:numId w:val="6"/>
        </w:numPr>
      </w:pPr>
      <w:r>
        <w:t>Re-execute all analyses.</w:t>
      </w:r>
    </w:p>
    <w:p w14:paraId="519FBE16" w14:textId="77777777" w:rsidR="00970EED" w:rsidRDefault="009D3203">
      <w:pPr>
        <w:pStyle w:val="Compact"/>
        <w:numPr>
          <w:ilvl w:val="0"/>
          <w:numId w:val="6"/>
        </w:numPr>
      </w:pPr>
      <w:r>
        <w:rPr>
          <w:b/>
          <w:bCs/>
        </w:rPr>
        <w:t>Report the before/after comparison.</w:t>
      </w:r>
      <w:r>
        <w:t xml:space="preserve"> This is not an admission of error — it is evidence of methodological rigour, and it pre-empts the question directly.</w:t>
      </w:r>
    </w:p>
    <w:p w14:paraId="784C351F" w14:textId="77777777" w:rsidR="00970EED" w:rsidRDefault="009D3203">
      <w:pPr>
        <w:pStyle w:val="Heading3"/>
      </w:pPr>
      <w:bookmarkStart w:id="20" w:name="if-time-does-not-permit-re-simulation"/>
      <w:bookmarkEnd w:id="19"/>
      <w:r>
        <w:lastRenderedPageBreak/>
        <w:t>If time does not permit re-simulation</w:t>
      </w:r>
    </w:p>
    <w:p w14:paraId="1E9ECC04" w14:textId="77777777" w:rsidR="00970EED" w:rsidRDefault="009D3203">
      <w:pPr>
        <w:pStyle w:val="FirstParagraph"/>
      </w:pPr>
      <w:r>
        <w:t>State plainly in §3.15 that results were generated under the superseded parameters, give the corrected derivation, and argue the ordering-preservation case above. This is weaker than re-simulating but it is honest, and an examiner will respect a candidly declared limitation far more than a silent one.</w:t>
      </w:r>
    </w:p>
    <w:p w14:paraId="4D0582B4" w14:textId="77777777" w:rsidR="00970EED" w:rsidRDefault="009D3203">
      <w:pPr>
        <w:pStyle w:val="BodyText"/>
      </w:pPr>
      <w:r>
        <w:rPr>
          <w:b/>
          <w:bCs/>
        </w:rPr>
        <w:t>Effort:</w:t>
      </w:r>
      <w:r>
        <w:t xml:space="preserve"> 2–3 weeks including re-training. </w:t>
      </w:r>
      <w:r>
        <w:rPr>
          <w:b/>
          <w:bCs/>
        </w:rPr>
        <w:t>Tier: serious.</w:t>
      </w:r>
    </w:p>
    <w:p w14:paraId="677417A5" w14:textId="77777777" w:rsidR="00970EED" w:rsidRDefault="009D3203">
      <w:r>
        <w:pict w14:anchorId="69C84B6F">
          <v:rect id="_x0000_i1029" style="width:0;height:1.5pt" o:hralign="center" o:hrstd="t" o:hr="t"/>
        </w:pict>
      </w:r>
    </w:p>
    <w:p w14:paraId="6BBBF020" w14:textId="77777777" w:rsidR="00970EED" w:rsidRDefault="009D3203">
      <w:pPr>
        <w:pStyle w:val="Heading2"/>
      </w:pPr>
      <w:bookmarkStart w:id="21" w:name="r5-test-h₃-against-the-relay"/>
      <w:bookmarkEnd w:id="15"/>
      <w:bookmarkEnd w:id="20"/>
      <w:r>
        <w:t>R5 — Test H₃ against the relay</w:t>
      </w:r>
    </w:p>
    <w:p w14:paraId="23F7FE01" w14:textId="77777777" w:rsidR="00970EED" w:rsidRDefault="009D3203">
      <w:pPr>
        <w:pStyle w:val="FirstParagraph"/>
      </w:pPr>
      <w:r>
        <w:rPr>
          <w:b/>
          <w:bCs/>
        </w:rPr>
        <w:t>Where:</w:t>
      </w:r>
      <w:r>
        <w:t xml:space="preserve"> Chapter Four §4.4.3</w:t>
      </w:r>
    </w:p>
    <w:p w14:paraId="7BD821EF" w14:textId="77777777" w:rsidR="00970EED" w:rsidRDefault="009D3203">
      <w:pPr>
        <w:pStyle w:val="Heading3"/>
      </w:pPr>
      <w:bookmarkStart w:id="22" w:name="what-is-wrong-3"/>
      <w:r>
        <w:t>What is wrong</w:t>
      </w:r>
    </w:p>
    <w:p w14:paraId="2D9AC928" w14:textId="77777777" w:rsidR="00970EED" w:rsidRDefault="009D3203">
      <w:pPr>
        <w:pStyle w:val="FirstParagraph"/>
      </w:pPr>
      <w:r>
        <w:t>All twelve latency comparisons were model-against-model. The relay — the comparator named in the hypothesis — appears in none. H₃ is untested.</w:t>
      </w:r>
    </w:p>
    <w:p w14:paraId="2623DCC6" w14:textId="77777777" w:rsidR="00970EED" w:rsidRDefault="009D3203">
      <w:pPr>
        <w:pStyle w:val="Heading3"/>
      </w:pPr>
      <w:bookmarkStart w:id="23" w:name="why-this-is-worth-doing-promptly"/>
      <w:bookmarkEnd w:id="22"/>
      <w:r>
        <w:t>Why this is worth doing promptly</w:t>
      </w:r>
    </w:p>
    <w:p w14:paraId="48D95838" w14:textId="77777777" w:rsidR="00970EED" w:rsidRDefault="009D3203">
      <w:pPr>
        <w:pStyle w:val="FirstParagraph"/>
      </w:pPr>
      <w:r>
        <w:t xml:space="preserve">The descriptive data suggest the test will </w:t>
      </w:r>
      <w:r>
        <w:rPr>
          <w:b/>
          <w:bCs/>
        </w:rPr>
        <w:t>favour the hypothesis</w:t>
      </w:r>
      <w:r>
        <w:t>:</w:t>
      </w:r>
    </w:p>
    <w:tbl>
      <w:tblPr>
        <w:tblStyle w:val="Table"/>
        <w:tblW w:w="0" w:type="auto"/>
        <w:tblLook w:val="0020" w:firstRow="1" w:lastRow="0" w:firstColumn="0" w:lastColumn="0" w:noHBand="0" w:noVBand="0"/>
      </w:tblPr>
      <w:tblGrid>
        <w:gridCol w:w="2149"/>
        <w:gridCol w:w="1890"/>
      </w:tblGrid>
      <w:tr w:rsidR="00970EED" w14:paraId="4006874E" w14:textId="77777777" w:rsidTr="00970EED">
        <w:trPr>
          <w:cnfStyle w:val="100000000000" w:firstRow="1" w:lastRow="0" w:firstColumn="0" w:lastColumn="0" w:oddVBand="0" w:evenVBand="0" w:oddHBand="0" w:evenHBand="0" w:firstRowFirstColumn="0" w:firstRowLastColumn="0" w:lastRowFirstColumn="0" w:lastRowLastColumn="0"/>
          <w:tblHeader/>
        </w:trPr>
        <w:tc>
          <w:tcPr>
            <w:tcW w:w="0" w:type="auto"/>
          </w:tcPr>
          <w:p w14:paraId="551A3056" w14:textId="77777777" w:rsidR="00970EED" w:rsidRDefault="009D3203">
            <w:pPr>
              <w:pStyle w:val="Compact"/>
            </w:pPr>
            <w:r>
              <w:t>Method</w:t>
            </w:r>
          </w:p>
        </w:tc>
        <w:tc>
          <w:tcPr>
            <w:tcW w:w="0" w:type="auto"/>
          </w:tcPr>
          <w:p w14:paraId="68BD44D5" w14:textId="77777777" w:rsidR="00970EED" w:rsidRDefault="009D3203">
            <w:pPr>
              <w:pStyle w:val="Compact"/>
            </w:pPr>
            <w:r>
              <w:t>Decision latency</w:t>
            </w:r>
          </w:p>
        </w:tc>
      </w:tr>
      <w:tr w:rsidR="00970EED" w14:paraId="1A343FD1" w14:textId="77777777">
        <w:tc>
          <w:tcPr>
            <w:tcW w:w="0" w:type="auto"/>
          </w:tcPr>
          <w:p w14:paraId="558192B4" w14:textId="77777777" w:rsidR="00970EED" w:rsidRDefault="009D3203">
            <w:pPr>
              <w:pStyle w:val="Compact"/>
            </w:pPr>
            <w:r>
              <w:t>Conventional relay</w:t>
            </w:r>
          </w:p>
        </w:tc>
        <w:tc>
          <w:tcPr>
            <w:tcW w:w="0" w:type="auto"/>
          </w:tcPr>
          <w:p w14:paraId="66E5D549" w14:textId="77777777" w:rsidR="00970EED" w:rsidRDefault="009D3203">
            <w:pPr>
              <w:pStyle w:val="Compact"/>
            </w:pPr>
            <w:r>
              <w:t>10.000 ms</w:t>
            </w:r>
          </w:p>
        </w:tc>
      </w:tr>
      <w:tr w:rsidR="00970EED" w14:paraId="2C477BC1" w14:textId="77777777">
        <w:tc>
          <w:tcPr>
            <w:tcW w:w="0" w:type="auto"/>
          </w:tcPr>
          <w:p w14:paraId="6180F6C9" w14:textId="77777777" w:rsidR="00970EED" w:rsidRDefault="009D3203">
            <w:pPr>
              <w:pStyle w:val="Compact"/>
            </w:pPr>
            <w:r>
              <w:t>ANN</w:t>
            </w:r>
          </w:p>
        </w:tc>
        <w:tc>
          <w:tcPr>
            <w:tcW w:w="0" w:type="auto"/>
          </w:tcPr>
          <w:p w14:paraId="2B887043" w14:textId="77777777" w:rsidR="00970EED" w:rsidRDefault="009D3203">
            <w:pPr>
              <w:pStyle w:val="Compact"/>
            </w:pPr>
            <w:r>
              <w:t>0.965 ms</w:t>
            </w:r>
          </w:p>
        </w:tc>
      </w:tr>
      <w:tr w:rsidR="00970EED" w14:paraId="3612EE66" w14:textId="77777777">
        <w:tc>
          <w:tcPr>
            <w:tcW w:w="0" w:type="auto"/>
          </w:tcPr>
          <w:p w14:paraId="4D63648B" w14:textId="77777777" w:rsidR="00970EED" w:rsidRDefault="009D3203">
            <w:pPr>
              <w:pStyle w:val="Compact"/>
            </w:pPr>
            <w:r>
              <w:t>Decision Tree</w:t>
            </w:r>
          </w:p>
        </w:tc>
        <w:tc>
          <w:tcPr>
            <w:tcW w:w="0" w:type="auto"/>
          </w:tcPr>
          <w:p w14:paraId="791502A2" w14:textId="77777777" w:rsidR="00970EED" w:rsidRDefault="009D3203">
            <w:pPr>
              <w:pStyle w:val="Compact"/>
            </w:pPr>
            <w:r>
              <w:t>1.006 ms</w:t>
            </w:r>
          </w:p>
        </w:tc>
      </w:tr>
      <w:tr w:rsidR="00970EED" w14:paraId="6B3C022A" w14:textId="77777777">
        <w:tc>
          <w:tcPr>
            <w:tcW w:w="0" w:type="auto"/>
          </w:tcPr>
          <w:p w14:paraId="0F50881D" w14:textId="77777777" w:rsidR="00970EED" w:rsidRDefault="009D3203">
            <w:pPr>
              <w:pStyle w:val="Compact"/>
            </w:pPr>
            <w:r>
              <w:t>RNN</w:t>
            </w:r>
          </w:p>
        </w:tc>
        <w:tc>
          <w:tcPr>
            <w:tcW w:w="0" w:type="auto"/>
          </w:tcPr>
          <w:p w14:paraId="1F8277D6" w14:textId="77777777" w:rsidR="00970EED" w:rsidRDefault="009D3203">
            <w:pPr>
              <w:pStyle w:val="Compact"/>
            </w:pPr>
            <w:r>
              <w:t>1.063 ms</w:t>
            </w:r>
          </w:p>
        </w:tc>
      </w:tr>
      <w:tr w:rsidR="00970EED" w14:paraId="726D220A" w14:textId="77777777">
        <w:tc>
          <w:tcPr>
            <w:tcW w:w="0" w:type="auto"/>
          </w:tcPr>
          <w:p w14:paraId="782BF2A6" w14:textId="77777777" w:rsidR="00970EED" w:rsidRDefault="009D3203">
            <w:pPr>
              <w:pStyle w:val="Compact"/>
            </w:pPr>
            <w:r>
              <w:t>SVM</w:t>
            </w:r>
          </w:p>
        </w:tc>
        <w:tc>
          <w:tcPr>
            <w:tcW w:w="0" w:type="auto"/>
          </w:tcPr>
          <w:p w14:paraId="4908D200" w14:textId="77777777" w:rsidR="00970EED" w:rsidRDefault="009D3203">
            <w:pPr>
              <w:pStyle w:val="Compact"/>
            </w:pPr>
            <w:r>
              <w:t>1.466 ms</w:t>
            </w:r>
          </w:p>
        </w:tc>
      </w:tr>
      <w:tr w:rsidR="00970EED" w14:paraId="256221AD" w14:textId="77777777">
        <w:tc>
          <w:tcPr>
            <w:tcW w:w="0" w:type="auto"/>
          </w:tcPr>
          <w:p w14:paraId="5FBFC3E1" w14:textId="77777777" w:rsidR="00970EED" w:rsidRDefault="009D3203">
            <w:pPr>
              <w:pStyle w:val="Compact"/>
            </w:pPr>
            <w:r>
              <w:t>Hybrid PINN</w:t>
            </w:r>
          </w:p>
        </w:tc>
        <w:tc>
          <w:tcPr>
            <w:tcW w:w="0" w:type="auto"/>
          </w:tcPr>
          <w:p w14:paraId="5ACA7E74" w14:textId="77777777" w:rsidR="00970EED" w:rsidRDefault="009D3203">
            <w:pPr>
              <w:pStyle w:val="Compact"/>
            </w:pPr>
            <w:r>
              <w:t>5.574 ms</w:t>
            </w:r>
          </w:p>
        </w:tc>
      </w:tr>
      <w:tr w:rsidR="00970EED" w14:paraId="7B9CE345" w14:textId="77777777">
        <w:tc>
          <w:tcPr>
            <w:tcW w:w="0" w:type="auto"/>
          </w:tcPr>
          <w:p w14:paraId="40B2B527" w14:textId="77777777" w:rsidR="00970EED" w:rsidRDefault="009D3203">
            <w:pPr>
              <w:pStyle w:val="Compact"/>
            </w:pPr>
            <w:r>
              <w:t>k-NN</w:t>
            </w:r>
          </w:p>
        </w:tc>
        <w:tc>
          <w:tcPr>
            <w:tcW w:w="0" w:type="auto"/>
          </w:tcPr>
          <w:p w14:paraId="22DC61B3" w14:textId="77777777" w:rsidR="00970EED" w:rsidRDefault="009D3203">
            <w:pPr>
              <w:pStyle w:val="Compact"/>
            </w:pPr>
            <w:r>
              <w:t>20.436 ms</w:t>
            </w:r>
          </w:p>
        </w:tc>
      </w:tr>
      <w:tr w:rsidR="00970EED" w14:paraId="5EB76AD5" w14:textId="77777777">
        <w:tc>
          <w:tcPr>
            <w:tcW w:w="0" w:type="auto"/>
          </w:tcPr>
          <w:p w14:paraId="4CC7C6B3" w14:textId="77777777" w:rsidR="00970EED" w:rsidRDefault="009D3203">
            <w:pPr>
              <w:pStyle w:val="Compact"/>
            </w:pPr>
            <w:r>
              <w:t>CNN</w:t>
            </w:r>
          </w:p>
        </w:tc>
        <w:tc>
          <w:tcPr>
            <w:tcW w:w="0" w:type="auto"/>
          </w:tcPr>
          <w:p w14:paraId="271EABF4" w14:textId="77777777" w:rsidR="00970EED" w:rsidRDefault="009D3203">
            <w:pPr>
              <w:pStyle w:val="Compact"/>
            </w:pPr>
            <w:r>
              <w:t>83.972 ms</w:t>
            </w:r>
          </w:p>
        </w:tc>
      </w:tr>
      <w:tr w:rsidR="00970EED" w14:paraId="629FE012" w14:textId="77777777">
        <w:tc>
          <w:tcPr>
            <w:tcW w:w="0" w:type="auto"/>
          </w:tcPr>
          <w:p w14:paraId="3D8A5A40" w14:textId="77777777" w:rsidR="00970EED" w:rsidRDefault="009D3203">
            <w:pPr>
              <w:pStyle w:val="Compact"/>
            </w:pPr>
            <w:r>
              <w:t>LSTM</w:t>
            </w:r>
          </w:p>
        </w:tc>
        <w:tc>
          <w:tcPr>
            <w:tcW w:w="0" w:type="auto"/>
          </w:tcPr>
          <w:p w14:paraId="7FB5202A" w14:textId="77777777" w:rsidR="00970EED" w:rsidRDefault="009D3203">
            <w:pPr>
              <w:pStyle w:val="Compact"/>
            </w:pPr>
            <w:r>
              <w:t>90.230 ms</w:t>
            </w:r>
          </w:p>
        </w:tc>
      </w:tr>
    </w:tbl>
    <w:p w14:paraId="2A63F346" w14:textId="77777777" w:rsidR="00970EED" w:rsidRDefault="009D3203">
      <w:pPr>
        <w:pStyle w:val="BodyText"/>
      </w:pPr>
      <w:r>
        <w:t xml:space="preserve">Five models are faster than the relay, four of them by roughly an order of magnitude. H₃ is likely </w:t>
      </w:r>
      <w:r>
        <w:rPr>
          <w:b/>
          <w:bCs/>
        </w:rPr>
        <w:t>supported for ANN, DT, RNN, SVM and the hybrid PINN</w:t>
      </w:r>
      <w:r>
        <w:t>, and refuted for k-NN, CNN and LSTM.</w:t>
      </w:r>
    </w:p>
    <w:p w14:paraId="57788B03" w14:textId="77777777" w:rsidR="00970EED" w:rsidRDefault="009D3203">
      <w:pPr>
        <w:pStyle w:val="BodyText"/>
      </w:pPr>
      <w:r>
        <w:t>A split result is stronger than a blanket claim. It says something specific: the latency cost of machine learning is architecture-dependent, and the architectures that are fast enough to beat a relay are the simple ones.</w:t>
      </w:r>
    </w:p>
    <w:p w14:paraId="4679CFFA" w14:textId="77777777" w:rsidR="00970EED" w:rsidRDefault="009D3203">
      <w:pPr>
        <w:pStyle w:val="Heading3"/>
      </w:pPr>
      <w:bookmarkStart w:id="24" w:name="procedure-3"/>
      <w:bookmarkEnd w:id="23"/>
      <w:r>
        <w:t>Procedure</w:t>
      </w:r>
    </w:p>
    <w:p w14:paraId="4A2C7426" w14:textId="77777777" w:rsidR="00970EED" w:rsidRDefault="009D3203">
      <w:pPr>
        <w:pStyle w:val="Compact"/>
        <w:numPr>
          <w:ilvl w:val="0"/>
          <w:numId w:val="7"/>
        </w:numPr>
      </w:pPr>
      <w:r>
        <w:t>Extract per-scenario relay decision latency from the simulation logs.</w:t>
      </w:r>
    </w:p>
    <w:p w14:paraId="2670B6D7" w14:textId="77777777" w:rsidR="00970EED" w:rsidRDefault="009D3203">
      <w:pPr>
        <w:pStyle w:val="Compact"/>
        <w:numPr>
          <w:ilvl w:val="0"/>
          <w:numId w:val="7"/>
        </w:numPr>
      </w:pPr>
      <w:r>
        <w:t>Add relay-versus-model rows to the Wilcoxon analysis in §4.4.3.</w:t>
      </w:r>
    </w:p>
    <w:p w14:paraId="4D231233" w14:textId="77777777" w:rsidR="00970EED" w:rsidRDefault="009D3203">
      <w:pPr>
        <w:pStyle w:val="Compact"/>
        <w:numPr>
          <w:ilvl w:val="0"/>
          <w:numId w:val="7"/>
        </w:numPr>
      </w:pPr>
      <w:r>
        <w:t>Apply Holm correction across the family of eight.</w:t>
      </w:r>
    </w:p>
    <w:p w14:paraId="557DFBED" w14:textId="77777777" w:rsidR="00970EED" w:rsidRDefault="009D3203">
      <w:pPr>
        <w:pStyle w:val="Compact"/>
        <w:numPr>
          <w:ilvl w:val="0"/>
          <w:numId w:val="7"/>
        </w:numPr>
      </w:pPr>
      <w:r>
        <w:lastRenderedPageBreak/>
        <w:t>Report the Hodges–Lehmann median difference and rank-biserial correlation for each.</w:t>
      </w:r>
    </w:p>
    <w:p w14:paraId="5D36A549" w14:textId="77777777" w:rsidR="00970EED" w:rsidRDefault="009D3203">
      <w:pPr>
        <w:pStyle w:val="Compact"/>
        <w:numPr>
          <w:ilvl w:val="0"/>
          <w:numId w:val="7"/>
        </w:numPr>
      </w:pPr>
      <w:r>
        <w:t>Retain the model-against-model table as the supplementary finding it already is (Table 4.15).</w:t>
      </w:r>
    </w:p>
    <w:p w14:paraId="146FDAD5" w14:textId="77777777" w:rsidR="00970EED" w:rsidRDefault="009D3203">
      <w:pPr>
        <w:pStyle w:val="Heading3"/>
      </w:pPr>
      <w:bookmarkStart w:id="25" w:name="worth-considering"/>
      <w:bookmarkEnd w:id="24"/>
      <w:r>
        <w:t>Worth considering</w:t>
      </w:r>
    </w:p>
    <w:p w14:paraId="222AD3C7" w14:textId="77777777" w:rsidR="00970EED" w:rsidRDefault="009D3203">
      <w:pPr>
        <w:pStyle w:val="FirstParagraph"/>
      </w:pPr>
      <w:r>
        <w:t>If simulation time permits, add fault locations at 85%, 90% and 95% of the line. Faults beyond Zone 1 reach (80%) are cleared by Zone 2 with a deliberate 0.3–0.5 s delay, while model inference time is unchanged. This would let you report that conventional protection is unbeatable inside Zone 1 and an order of magnitude slower outside it — a considerably more interesting finding than either method simply being faster.</w:t>
      </w:r>
    </w:p>
    <w:p w14:paraId="600B4E2F" w14:textId="77777777" w:rsidR="00970EED" w:rsidRDefault="009D3203">
      <w:pPr>
        <w:pStyle w:val="BodyText"/>
      </w:pPr>
      <w:r>
        <w:rPr>
          <w:b/>
          <w:bCs/>
        </w:rPr>
        <w:t>Effort:</w:t>
      </w:r>
      <w:r>
        <w:t xml:space="preserve"> 2–3 days for the basic test; add one week for the Zone 2 extension. </w:t>
      </w:r>
      <w:r>
        <w:rPr>
          <w:b/>
          <w:bCs/>
        </w:rPr>
        <w:t>Tier: serious.</w:t>
      </w:r>
    </w:p>
    <w:p w14:paraId="2CC3598F" w14:textId="77777777" w:rsidR="00970EED" w:rsidRDefault="009D3203">
      <w:r>
        <w:pict w14:anchorId="4402C966">
          <v:rect id="_x0000_i1030" style="width:0;height:1.5pt" o:hralign="center" o:hrstd="t" o:hr="t"/>
        </w:pict>
      </w:r>
    </w:p>
    <w:p w14:paraId="5D4F9FC9" w14:textId="77777777" w:rsidR="00970EED" w:rsidRDefault="009D3203">
      <w:pPr>
        <w:pStyle w:val="Heading1"/>
      </w:pPr>
      <w:bookmarkStart w:id="26" w:name="expected"/>
      <w:bookmarkEnd w:id="14"/>
      <w:bookmarkEnd w:id="21"/>
      <w:bookmarkEnd w:id="25"/>
      <w:r>
        <w:t>EXPECTED</w:t>
      </w:r>
    </w:p>
    <w:p w14:paraId="52B1BDE1" w14:textId="77777777" w:rsidR="00970EED" w:rsidRDefault="009D3203">
      <w:pPr>
        <w:pStyle w:val="Heading2"/>
      </w:pPr>
      <w:bookmarkStart w:id="27" w:name="r6-regenerate-table-4.3"/>
      <w:r>
        <w:t>R6 — Regenerate Table 4.3</w:t>
      </w:r>
    </w:p>
    <w:p w14:paraId="07CE551B" w14:textId="77777777" w:rsidR="00970EED" w:rsidRDefault="009D3203">
      <w:pPr>
        <w:pStyle w:val="FirstParagraph"/>
      </w:pPr>
      <w:r>
        <w:rPr>
          <w:b/>
          <w:bCs/>
        </w:rPr>
        <w:t>Where:</w:t>
      </w:r>
      <w:r>
        <w:t xml:space="preserve"> Chapter Four §4.3.1</w:t>
      </w:r>
    </w:p>
    <w:p w14:paraId="11A3A3A9" w14:textId="77777777" w:rsidR="00970EED" w:rsidRDefault="009D3203">
      <w:pPr>
        <w:pStyle w:val="BodyText"/>
      </w:pPr>
      <w:r>
        <w:t>Three cells are withheld. The relay accuracy (0.0589) and SVM accuracy (0.09671) are incompatible with their own precision and F1 values; the Decision Tree F1 was recorded without a decimal separator.</w:t>
      </w:r>
    </w:p>
    <w:p w14:paraId="4DCA3C5F" w14:textId="77777777" w:rsidR="00970EED" w:rsidRDefault="009D3203">
      <w:pPr>
        <w:pStyle w:val="BodyText"/>
      </w:pPr>
      <w:r>
        <w:t xml:space="preserve">Do </w:t>
      </w:r>
      <w:r>
        <w:rPr>
          <w:b/>
          <w:bCs/>
        </w:rPr>
        <w:t>not</w:t>
      </w:r>
      <w:r>
        <w:t xml:space="preserve"> </w:t>
      </w:r>
      <w:r>
        <w:t>hand-correct these. The plausible repairs (0.5890, 0.9671, 0.9636) would still need reconciling against the overall-accuracy column, and inserting unverified numbers into a chapter that was just cleaned of exactly that problem is the one move to avoid.</w:t>
      </w:r>
    </w:p>
    <w:p w14:paraId="627AE845" w14:textId="77777777" w:rsidR="00970EED" w:rsidRDefault="009D3203">
      <w:pPr>
        <w:pStyle w:val="BodyText"/>
      </w:pPr>
      <w:r>
        <w:t>Regenerate from the per-scenario results file and apply the marginal-reconciliation screen of §3.8.4 item 3.</w:t>
      </w:r>
    </w:p>
    <w:p w14:paraId="202D7E27" w14:textId="77777777" w:rsidR="00970EED" w:rsidRDefault="009D3203">
      <w:pPr>
        <w:pStyle w:val="BodyText"/>
      </w:pPr>
      <w:r>
        <w:rPr>
          <w:b/>
          <w:bCs/>
        </w:rPr>
        <w:t>Effort:</w:t>
      </w:r>
      <w:r>
        <w:t xml:space="preserve"> half a day, given the results file. </w:t>
      </w:r>
      <w:r>
        <w:rPr>
          <w:b/>
          <w:bCs/>
        </w:rPr>
        <w:t>Tier: expected.</w:t>
      </w:r>
    </w:p>
    <w:p w14:paraId="0C4D64E7" w14:textId="77777777" w:rsidR="00970EED" w:rsidRDefault="009D3203">
      <w:pPr>
        <w:pStyle w:val="Heading2"/>
      </w:pPr>
      <w:bookmarkStart w:id="28" w:name="r7-add-dispersion-to-every-estimate"/>
      <w:bookmarkEnd w:id="27"/>
      <w:r>
        <w:t>R7 — Add dispersion to every estimate</w:t>
      </w:r>
    </w:p>
    <w:p w14:paraId="1024B761" w14:textId="77777777" w:rsidR="00970EED" w:rsidRDefault="009D3203">
      <w:pPr>
        <w:pStyle w:val="FirstParagraph"/>
      </w:pPr>
      <w:r>
        <w:rPr>
          <w:b/>
          <w:bCs/>
        </w:rPr>
        <w:t>Where:</w:t>
      </w:r>
      <w:r>
        <w:t xml:space="preserve"> Chapter Four §4.3.1</w:t>
      </w:r>
    </w:p>
    <w:p w14:paraId="6B9BC653" w14:textId="77777777" w:rsidR="00970EED" w:rsidRDefault="009D3203">
      <w:pPr>
        <w:pStyle w:val="BodyText"/>
      </w:pPr>
      <w:r>
        <w:t>Section 3.8.7 requires a dispersion measure with every point estimate. Table 4.3 currently reports point estimates alone, while Tables 4.4 to 4.7 correctly report mean ± SD.</w:t>
      </w:r>
    </w:p>
    <w:p w14:paraId="52143FEF" w14:textId="77777777" w:rsidR="00970EED" w:rsidRDefault="009D3203">
      <w:pPr>
        <w:pStyle w:val="BodyText"/>
      </w:pPr>
      <w:r>
        <w:t>Export per-fold metrics and add the standard deviation across folds to every cell in Table 4.3. The inconsistency between Table 4.3 and Tables 4.4–4.7 is the kind of thing an examiner notices.</w:t>
      </w:r>
    </w:p>
    <w:p w14:paraId="6DE58F4F" w14:textId="77777777" w:rsidR="00970EED" w:rsidRDefault="009D3203">
      <w:pPr>
        <w:pStyle w:val="BodyText"/>
      </w:pPr>
      <w:r>
        <w:rPr>
          <w:b/>
          <w:bCs/>
        </w:rPr>
        <w:t>Effort:</w:t>
      </w:r>
      <w:r>
        <w:t xml:space="preserve"> half a day. </w:t>
      </w:r>
      <w:r>
        <w:rPr>
          <w:b/>
          <w:bCs/>
        </w:rPr>
        <w:t>Tier: expected.</w:t>
      </w:r>
    </w:p>
    <w:p w14:paraId="1AB7C196" w14:textId="77777777" w:rsidR="00970EED" w:rsidRDefault="009D3203">
      <w:pPr>
        <w:pStyle w:val="Heading2"/>
      </w:pPr>
      <w:bookmarkStart w:id="29" w:name="r9-evidence-the-scenario-level-split"/>
      <w:bookmarkEnd w:id="28"/>
      <w:r>
        <w:lastRenderedPageBreak/>
        <w:t>R9 — Evidence the scenario-level split</w:t>
      </w:r>
    </w:p>
    <w:p w14:paraId="168A62F3" w14:textId="77777777" w:rsidR="00970EED" w:rsidRDefault="009D3203">
      <w:pPr>
        <w:pStyle w:val="FirstParagraph"/>
      </w:pPr>
      <w:r>
        <w:rPr>
          <w:b/>
          <w:bCs/>
        </w:rPr>
        <w:t>Where:</w:t>
      </w:r>
      <w:r>
        <w:t xml:space="preserve"> Chapter Three §3.13; Chapter Four §4.3.3</w:t>
      </w:r>
    </w:p>
    <w:p w14:paraId="5602B461" w14:textId="77777777" w:rsidR="00970EED" w:rsidRDefault="009D3203">
      <w:pPr>
        <w:pStyle w:val="BodyText"/>
      </w:pPr>
      <w:r>
        <w:t>Section 3.8.2 specifies group-aware partitioning. Chapter Four contains no fold composition, no verification that no scenario spans the train/test boundary, and no reconciliation between the K = 7 cross-validation of §3.12.1 and any holdout split. Tables 4.8 and 4.9 report n = 2,235 identically for every fault category, which requires explanation.</w:t>
      </w:r>
    </w:p>
    <w:p w14:paraId="40CEDE9B" w14:textId="77777777" w:rsidR="00970EED" w:rsidRDefault="009D3203">
      <w:pPr>
        <w:pStyle w:val="BodyText"/>
      </w:pPr>
      <w:r>
        <w:t>Report: scenarios per fold; confirmation that no scenario identifier appears in both partitions of any fold; the reconciliation between fold-based and holdout protocols; and why n is identical across categories.</w:t>
      </w:r>
    </w:p>
    <w:p w14:paraId="5B3EB354" w14:textId="77777777" w:rsidR="00970EED" w:rsidRDefault="009D3203">
      <w:pPr>
        <w:pStyle w:val="BodyText"/>
      </w:pPr>
      <w:r>
        <w:t>This matters because leakage protection that is described but not demonstrated is the single most common challenge to any reported accuracy above 95%.</w:t>
      </w:r>
    </w:p>
    <w:p w14:paraId="0F728140" w14:textId="77777777" w:rsidR="00970EED" w:rsidRDefault="009D3203">
      <w:pPr>
        <w:pStyle w:val="BodyText"/>
      </w:pPr>
      <w:r>
        <w:rPr>
          <w:b/>
          <w:bCs/>
        </w:rPr>
        <w:t>Effort:</w:t>
      </w:r>
      <w:r>
        <w:t xml:space="preserve"> 1 day. </w:t>
      </w:r>
      <w:r>
        <w:rPr>
          <w:b/>
          <w:bCs/>
        </w:rPr>
        <w:t>Tier: expected.</w:t>
      </w:r>
    </w:p>
    <w:p w14:paraId="36D51EA9" w14:textId="77777777" w:rsidR="00970EED" w:rsidRDefault="009D3203">
      <w:r>
        <w:pict w14:anchorId="39F5335C">
          <v:rect id="_x0000_i1031" style="width:0;height:1.5pt" o:hralign="center" o:hrstd="t" o:hr="t"/>
        </w:pict>
      </w:r>
    </w:p>
    <w:p w14:paraId="29060BE4" w14:textId="77777777" w:rsidR="00970EED" w:rsidRDefault="009D3203">
      <w:pPr>
        <w:pStyle w:val="Heading1"/>
      </w:pPr>
      <w:bookmarkStart w:id="30" w:name="presentational"/>
      <w:bookmarkEnd w:id="26"/>
      <w:bookmarkEnd w:id="29"/>
      <w:r>
        <w:t>PRESENTATIONAL</w:t>
      </w:r>
    </w:p>
    <w:p w14:paraId="68030324" w14:textId="77777777" w:rsidR="00970EED" w:rsidRDefault="009D3203">
      <w:pPr>
        <w:pStyle w:val="Heading2"/>
      </w:pPr>
      <w:bookmarkStart w:id="31" w:name="r4-enumerate-the-feature-set"/>
      <w:r>
        <w:t>R4 — Enumerate the feature set</w:t>
      </w:r>
    </w:p>
    <w:p w14:paraId="569C69B2" w14:textId="77777777" w:rsidR="00970EED" w:rsidRDefault="009D3203">
      <w:pPr>
        <w:pStyle w:val="FirstParagraph"/>
      </w:pPr>
      <w:r>
        <w:rPr>
          <w:b/>
          <w:bCs/>
        </w:rPr>
        <w:t>Where:</w:t>
      </w:r>
      <w:r>
        <w:t xml:space="preserve"> Chapter Three §3.5.5</w:t>
      </w:r>
    </w:p>
    <w:p w14:paraId="498FC7E7" w14:textId="77777777" w:rsidR="00970EED" w:rsidRDefault="009D3203">
      <w:pPr>
        <w:pStyle w:val="BodyText"/>
      </w:pPr>
      <w:r>
        <w:t>The wavelet claim has been withdrawn (the 1 kHz sampling rate gives a 500 Hz Nyquist limit and cannot support it). What remains is “RMS values, peak magnitude, signal variance, and spectral components,” which is not specific enough to reproduce.</w:t>
      </w:r>
    </w:p>
    <w:p w14:paraId="2BF4B486" w14:textId="77777777" w:rsidR="00970EED" w:rsidRDefault="009D3203">
      <w:pPr>
        <w:pStyle w:val="BodyText"/>
      </w:pPr>
      <w:r>
        <w:t>List every feature, its computation, and the window over which it is computed. If wavelet features are genuinely wanted, the sampling rate must rise to 5–20 kHz and the simulation must be re-run — a decision to take alongside R1, not separately.</w:t>
      </w:r>
    </w:p>
    <w:p w14:paraId="65BE36B8" w14:textId="77777777" w:rsidR="00970EED" w:rsidRDefault="009D3203">
      <w:pPr>
        <w:pStyle w:val="BodyText"/>
      </w:pPr>
      <w:r>
        <w:rPr>
          <w:b/>
          <w:bCs/>
        </w:rPr>
        <w:t>Effort:</w:t>
      </w:r>
      <w:r>
        <w:t xml:space="preserve"> </w:t>
      </w:r>
      <w:r>
        <w:t xml:space="preserve">half a day to document. </w:t>
      </w:r>
      <w:r>
        <w:rPr>
          <w:b/>
          <w:bCs/>
        </w:rPr>
        <w:t>Tier: presentational.</w:t>
      </w:r>
    </w:p>
    <w:p w14:paraId="4D4619F8" w14:textId="77777777" w:rsidR="00970EED" w:rsidRDefault="009D3203">
      <w:pPr>
        <w:pStyle w:val="Heading2"/>
      </w:pPr>
      <w:bookmarkStart w:id="32" w:name="r8-regenerate-the-tost-numerical-output"/>
      <w:bookmarkEnd w:id="31"/>
      <w:r>
        <w:t>R8 — Regenerate the TOST numerical output</w:t>
      </w:r>
    </w:p>
    <w:p w14:paraId="155F12DE" w14:textId="77777777" w:rsidR="00970EED" w:rsidRDefault="009D3203">
      <w:pPr>
        <w:pStyle w:val="FirstParagraph"/>
      </w:pPr>
      <w:r>
        <w:rPr>
          <w:b/>
          <w:bCs/>
        </w:rPr>
        <w:t>Where:</w:t>
      </w:r>
      <w:r>
        <w:t xml:space="preserve"> Chapter Four §4.4.4</w:t>
      </w:r>
    </w:p>
    <w:p w14:paraId="7B6384F8" w14:textId="77777777" w:rsidR="00970EED" w:rsidRDefault="009D3203">
      <w:pPr>
        <w:pStyle w:val="BodyText"/>
      </w:pPr>
      <w:r>
        <w:t>Seven cells carried negative values labelled “equivalent” — for example k-NN on target G at −0.0304. A probability cannot be negative.</w:t>
      </w:r>
    </w:p>
    <w:p w14:paraId="33F11262" w14:textId="77777777" w:rsidR="00970EED" w:rsidRDefault="009D3203">
      <w:pPr>
        <w:pStyle w:val="BodyText"/>
      </w:pPr>
      <w:r>
        <w:t>Table 4.14 currently reports equivalence verdicts only, which is defensible but incomplete. Inspect the TOST routine and report both one-sided probabilities and the 90% confidence interval on each paired difference against the declared ±5.0 pp margin.</w:t>
      </w:r>
    </w:p>
    <w:p w14:paraId="425B0FD8" w14:textId="77777777" w:rsidR="00970EED" w:rsidRDefault="009D3203">
      <w:pPr>
        <w:pStyle w:val="BodyText"/>
      </w:pPr>
      <w:r>
        <w:lastRenderedPageBreak/>
        <w:t>The equivalence verdicts themselves appear sound — the pattern across models is coherent and matches the noise sweep — so this is a reporting fix rather than a result in question.</w:t>
      </w:r>
    </w:p>
    <w:p w14:paraId="3A7BADEE" w14:textId="77777777" w:rsidR="00970EED" w:rsidRDefault="009D3203">
      <w:pPr>
        <w:pStyle w:val="BodyText"/>
      </w:pPr>
      <w:r>
        <w:rPr>
          <w:b/>
          <w:bCs/>
        </w:rPr>
        <w:t>Effort:</w:t>
      </w:r>
      <w:r>
        <w:t xml:space="preserve"> 1 day. </w:t>
      </w:r>
      <w:r>
        <w:rPr>
          <w:b/>
          <w:bCs/>
        </w:rPr>
        <w:t>Tier: presentational.</w:t>
      </w:r>
    </w:p>
    <w:p w14:paraId="35CC62D8" w14:textId="77777777" w:rsidR="00970EED" w:rsidRDefault="009D3203">
      <w:pPr>
        <w:pStyle w:val="Heading2"/>
      </w:pPr>
      <w:bookmarkStart w:id="33" w:name="r10-expand-the-waveform-discussion"/>
      <w:bookmarkEnd w:id="32"/>
      <w:r>
        <w:t>R10 — Expand the waveform discussion</w:t>
      </w:r>
    </w:p>
    <w:p w14:paraId="7CF8DB12" w14:textId="77777777" w:rsidR="00970EED" w:rsidRDefault="009D3203">
      <w:pPr>
        <w:pStyle w:val="FirstParagraph"/>
      </w:pPr>
      <w:r>
        <w:rPr>
          <w:b/>
          <w:bCs/>
        </w:rPr>
        <w:t>Where:</w:t>
      </w:r>
      <w:r>
        <w:t xml:space="preserve"> Chapter Four §4.2.2</w:t>
      </w:r>
    </w:p>
    <w:p w14:paraId="71F9433D" w14:textId="77777777" w:rsidR="00970EED" w:rsidRDefault="009D3203">
      <w:pPr>
        <w:pStyle w:val="BodyText"/>
      </w:pPr>
      <w:r>
        <w:t xml:space="preserve">Twelve figures currently share two sentences. Each fault class needs a paragraph covering: the pre-fault steady state, the inception transient and its decay, the post-fault steady state, the sequence-component signature, and </w:t>
      </w:r>
      <w:r>
        <w:rPr>
          <w:b/>
          <w:bCs/>
        </w:rPr>
        <w:t>which of these features the models exploit</w:t>
      </w:r>
      <w:r>
        <w:t>.</w:t>
      </w:r>
    </w:p>
    <w:p w14:paraId="02956530" w14:textId="77777777" w:rsidR="00970EED" w:rsidRDefault="009D3203">
      <w:pPr>
        <w:pStyle w:val="BodyText"/>
      </w:pPr>
      <w:r>
        <w:t>This section carries more weight than its length suggests — it is the only place where the power engineering connects to the machine learning. An examiner from a protection background will go here first.</w:t>
      </w:r>
    </w:p>
    <w:p w14:paraId="385796D0" w14:textId="77777777" w:rsidR="00970EED" w:rsidRDefault="009D3203">
      <w:pPr>
        <w:pStyle w:val="BodyText"/>
      </w:pPr>
      <w:r>
        <w:t>Also reconcile the 0.017 s relay response quoted in earlier drafts against the 10.000 ms decision latency in Table 4.3.</w:t>
      </w:r>
    </w:p>
    <w:p w14:paraId="13418222" w14:textId="77777777" w:rsidR="00970EED" w:rsidRDefault="009D3203">
      <w:pPr>
        <w:pStyle w:val="BodyText"/>
      </w:pPr>
      <w:r>
        <w:rPr>
          <w:b/>
          <w:bCs/>
        </w:rPr>
        <w:t>Effort:</w:t>
      </w:r>
      <w:r>
        <w:t xml:space="preserve"> 2 days of writing. </w:t>
      </w:r>
      <w:r>
        <w:rPr>
          <w:b/>
          <w:bCs/>
        </w:rPr>
        <w:t>Tier: presentational.</w:t>
      </w:r>
    </w:p>
    <w:p w14:paraId="532A114A" w14:textId="77777777" w:rsidR="00970EED" w:rsidRDefault="009D3203">
      <w:r>
        <w:pict w14:anchorId="0EC01A14">
          <v:rect id="_x0000_i1032" style="width:0;height:1.5pt" o:hralign="center" o:hrstd="t" o:hr="t"/>
        </w:pict>
      </w:r>
    </w:p>
    <w:p w14:paraId="0FE633E7" w14:textId="77777777" w:rsidR="00970EED" w:rsidRDefault="009D3203">
      <w:pPr>
        <w:pStyle w:val="Heading1"/>
      </w:pPr>
      <w:bookmarkStart w:id="34" w:name="sequencing"/>
      <w:bookmarkEnd w:id="30"/>
      <w:bookmarkEnd w:id="33"/>
      <w:r>
        <w:t>SEQUENCING</w:t>
      </w:r>
    </w:p>
    <w:p w14:paraId="0D61ED9A" w14:textId="77777777" w:rsidR="00970EED" w:rsidRDefault="009D3203">
      <w:pPr>
        <w:pStyle w:val="FirstParagraph"/>
      </w:pPr>
      <w:r>
        <w:t>The dependencies matter. R1 invalidates downstream work if done late, and R2/R3/R5 all draw on the same file.</w:t>
      </w:r>
    </w:p>
    <w:p w14:paraId="00E4E7C5" w14:textId="77777777" w:rsidR="00970EED" w:rsidRDefault="009D3203">
      <w:pPr>
        <w:pStyle w:val="SourceCode"/>
      </w:pPr>
      <w:r>
        <w:rPr>
          <w:rStyle w:val="VerbatimChar"/>
        </w:rPr>
        <w:t>Week 1      Locate the per-scenario results file        ← determines everything</w:t>
      </w:r>
      <w:r>
        <w:br/>
      </w:r>
      <w:r>
        <w:rPr>
          <w:rStyle w:val="VerbatimChar"/>
        </w:rPr>
        <w:t xml:space="preserve">            R2  verify relay column, re-run H1</w:t>
      </w:r>
      <w:r>
        <w:br/>
      </w:r>
      <w:r>
        <w:rPr>
          <w:rStyle w:val="VerbatimChar"/>
        </w:rPr>
        <w:t xml:space="preserve">            R3  diagnose location predictor</w:t>
      </w:r>
      <w:r>
        <w:br/>
      </w:r>
      <w:r>
        <w:br/>
      </w:r>
      <w:r>
        <w:rPr>
          <w:rStyle w:val="VerbatimChar"/>
        </w:rPr>
        <w:t>Week 2      R5  H3 against relay</w:t>
      </w:r>
      <w:r>
        <w:br/>
      </w:r>
      <w:r>
        <w:rPr>
          <w:rStyle w:val="VerbatimChar"/>
        </w:rPr>
        <w:t xml:space="preserve">            R6  regenerate Table 4.3</w:t>
      </w:r>
      <w:r>
        <w:br/>
      </w:r>
      <w:r>
        <w:rPr>
          <w:rStyle w:val="VerbatimChar"/>
        </w:rPr>
        <w:t xml:space="preserve">            R7  add dispersion</w:t>
      </w:r>
      <w:r>
        <w:br/>
      </w:r>
      <w:r>
        <w:rPr>
          <w:rStyle w:val="VerbatimChar"/>
        </w:rPr>
        <w:t xml:space="preserve">            R9  evidence the split</w:t>
      </w:r>
      <w:r>
        <w:br/>
      </w:r>
      <w:r>
        <w:rPr>
          <w:rStyle w:val="VerbatimChar"/>
        </w:rPr>
        <w:t xml:space="preserve">            R4  enumerate features</w:t>
      </w:r>
      <w:r>
        <w:br/>
      </w:r>
      <w:r>
        <w:rPr>
          <w:rStyle w:val="VerbatimChar"/>
        </w:rPr>
        <w:t xml:space="preserve">            R8  regenerate TOST output</w:t>
      </w:r>
      <w:r>
        <w:br/>
      </w:r>
      <w:r>
        <w:br/>
      </w:r>
      <w:r>
        <w:rPr>
          <w:rStyle w:val="VerbatimChar"/>
        </w:rPr>
        <w:t>Week 3-5    R1  re-simulate under corrected parameters      ← can start in parallel</w:t>
      </w:r>
      <w:r>
        <w:br/>
      </w:r>
      <w:r>
        <w:rPr>
          <w:rStyle w:val="VerbatimChar"/>
        </w:rPr>
        <w:t xml:space="preserve">            re-train, re-run all analyses</w:t>
      </w:r>
      <w:r>
        <w:br/>
      </w:r>
      <w:r>
        <w:br/>
      </w:r>
      <w:r>
        <w:rPr>
          <w:rStyle w:val="VerbatimChar"/>
        </w:rPr>
        <w:t>Week 6      R10 waveform discussion</w:t>
      </w:r>
      <w:r>
        <w:br/>
      </w:r>
      <w:r>
        <w:rPr>
          <w:rStyle w:val="VerbatimChar"/>
        </w:rPr>
        <w:t xml:space="preserve">            Rewrite Chapter Five against corrected findings</w:t>
      </w:r>
      <w:r>
        <w:br/>
      </w:r>
      <w:r>
        <w:rPr>
          <w:rStyle w:val="VerbatimChar"/>
        </w:rPr>
        <w:t xml:space="preserve">            Final consistency pass</w:t>
      </w:r>
    </w:p>
    <w:p w14:paraId="689C143B" w14:textId="77777777" w:rsidR="00970EED" w:rsidRDefault="009D3203">
      <w:pPr>
        <w:pStyle w:val="FirstParagraph"/>
      </w:pPr>
      <w:r>
        <w:rPr>
          <w:b/>
          <w:bCs/>
        </w:rPr>
        <w:lastRenderedPageBreak/>
        <w:t>Six weeks</w:t>
      </w:r>
      <w:r>
        <w:t xml:space="preserve"> if the results file exists. </w:t>
      </w:r>
      <w:r>
        <w:rPr>
          <w:b/>
          <w:bCs/>
        </w:rPr>
        <w:t>Nine to ten</w:t>
      </w:r>
      <w:r>
        <w:t xml:space="preserve"> if the models must be re-run with per-scenario logging first.</w:t>
      </w:r>
    </w:p>
    <w:p w14:paraId="46C106F5" w14:textId="77777777" w:rsidR="00970EED" w:rsidRDefault="009D3203">
      <w:pPr>
        <w:pStyle w:val="BodyText"/>
      </w:pPr>
      <w:r>
        <w:t>R1 can begin in parallel with Week 1 — correcting the Simulink parameters does not depend on any of the debugging tasks, and starting it early recovers two weeks.</w:t>
      </w:r>
    </w:p>
    <w:p w14:paraId="7634BD0B" w14:textId="77777777" w:rsidR="00970EED" w:rsidRDefault="009D3203">
      <w:r>
        <w:pict w14:anchorId="7AB539F1">
          <v:rect id="_x0000_i1033" style="width:0;height:1.5pt" o:hralign="center" o:hrstd="t" o:hr="t"/>
        </w:pict>
      </w:r>
    </w:p>
    <w:p w14:paraId="6045393E" w14:textId="77777777" w:rsidR="00970EED" w:rsidRDefault="009D3203">
      <w:pPr>
        <w:pStyle w:val="Heading1"/>
      </w:pPr>
      <w:bookmarkStart w:id="35" w:name="what-the-study-already-establishes"/>
      <w:bookmarkEnd w:id="34"/>
      <w:r>
        <w:t>WHAT THE STUDY ALREADY ESTABLISHES</w:t>
      </w:r>
    </w:p>
    <w:p w14:paraId="5AB1EF3D" w14:textId="77777777" w:rsidR="00970EED" w:rsidRDefault="009D3203">
      <w:pPr>
        <w:pStyle w:val="FirstParagraph"/>
      </w:pPr>
      <w:r>
        <w:t>Worth stating plainly, because the pending list is long and it would be easy to conclude the work is in worse shape than it is.</w:t>
      </w:r>
    </w:p>
    <w:p w14:paraId="7733F0B1" w14:textId="77777777" w:rsidR="00970EED" w:rsidRDefault="009D3203">
      <w:pPr>
        <w:pStyle w:val="BodyText"/>
      </w:pPr>
      <w:r>
        <w:t>Two findings are defensible on present evidence and do not depend on any pending item:</w:t>
      </w:r>
    </w:p>
    <w:p w14:paraId="1EA5A7F8" w14:textId="77777777" w:rsidR="00970EED" w:rsidRDefault="009D3203">
      <w:pPr>
        <w:pStyle w:val="BodyText"/>
      </w:pPr>
      <w:r>
        <w:rPr>
          <w:b/>
          <w:bCs/>
        </w:rPr>
        <w:t>Added complexity did not buy accuracy.</w:t>
      </w:r>
      <w:r>
        <w:t xml:space="preserve"> </w:t>
      </w:r>
      <w:r>
        <w:t>Three of 48 pairwise comparisons reached nominal significance; none survived Holm correction. Against training costs spanning 0.09 s for k-NN to 500 s for the hybrid PINN — a factor above 2,000 — this is a useful null result for any utility weighing deployment.</w:t>
      </w:r>
    </w:p>
    <w:p w14:paraId="54299DB3" w14:textId="77777777" w:rsidR="00970EED" w:rsidRDefault="009D3203">
      <w:pPr>
        <w:pStyle w:val="BodyText"/>
      </w:pPr>
      <w:r>
        <w:rPr>
          <w:b/>
          <w:bCs/>
        </w:rPr>
        <w:t>Robustness, not accuracy, discriminates between the models.</w:t>
      </w:r>
      <w:r>
        <w:t xml:space="preserve"> </w:t>
      </w:r>
      <w:r>
        <w:t>LSTM holds equivalence across all four targets to 20% noise; the Decision Tree fails at every level. This reframes model selection as noise tolerance against computational cost, and ties the answer to instrument transformer quality — an actionable conclusion for GRIDCo.</w:t>
      </w:r>
    </w:p>
    <w:p w14:paraId="5B93B63D" w14:textId="77777777" w:rsidR="00970EED" w:rsidRDefault="009D3203">
      <w:pPr>
        <w:pStyle w:val="BodyText"/>
      </w:pPr>
      <w:r>
        <w:t>And one result is more promising than it currently appears in the text:</w:t>
      </w:r>
    </w:p>
    <w:p w14:paraId="4CC336AC" w14:textId="77777777" w:rsidR="00970EED" w:rsidRDefault="009D3203">
      <w:pPr>
        <w:pStyle w:val="BodyText"/>
      </w:pPr>
      <w:r>
        <w:rPr>
          <w:b/>
          <w:bCs/>
        </w:rPr>
        <w:t>The hybrid PINN on symmetric three-phase faults.</w:t>
      </w:r>
      <w:r>
        <w:t xml:space="preserve"> </w:t>
      </w:r>
      <w:r>
        <w:t>It retains 0.8085 accuracy on the A+B+C combination where LSTM falls to 0.086, CNN to 0.111 and the Decision Tree to 0.141. The three-phase fault is the most severe class on a transmission system and the one demanding fastest isolation. A plausible mechanism is available — in a balanced fault the discriminating information lies in inter-phase relationships, which the embedded circuit-law constraints make directly accessible.</w:t>
      </w:r>
    </w:p>
    <w:p w14:paraId="78154FA1" w14:textId="77777777" w:rsidR="00970EED" w:rsidRDefault="009D3203">
      <w:pPr>
        <w:pStyle w:val="BodyText"/>
      </w:pPr>
      <w:r>
        <w:t>That finding is currently one paragraph in §4.6.4. It deserves to be a central claim of Chapter Five.</w:t>
      </w:r>
      <w:bookmarkEnd w:id="35"/>
    </w:p>
    <w:sectPr w:rsidR="00970EE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44E4" w14:textId="77777777" w:rsidR="009D3203" w:rsidRDefault="009D3203">
      <w:pPr>
        <w:spacing w:after="0"/>
      </w:pPr>
      <w:r>
        <w:separator/>
      </w:r>
    </w:p>
  </w:endnote>
  <w:endnote w:type="continuationSeparator" w:id="0">
    <w:p w14:paraId="6445756F" w14:textId="77777777" w:rsidR="009D3203" w:rsidRDefault="009D32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B0F6B" w14:textId="77777777" w:rsidR="009D3203" w:rsidRDefault="009D3203">
      <w:r>
        <w:separator/>
      </w:r>
    </w:p>
  </w:footnote>
  <w:footnote w:type="continuationSeparator" w:id="0">
    <w:p w14:paraId="78A2223A" w14:textId="77777777" w:rsidR="009D3203" w:rsidRDefault="009D3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CA74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BBC92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C26B8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07412490">
    <w:abstractNumId w:val="0"/>
  </w:num>
  <w:num w:numId="2" w16cid:durableId="161240268">
    <w:abstractNumId w:val="1"/>
  </w:num>
  <w:num w:numId="3" w16cid:durableId="78260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9942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1659105">
    <w:abstractNumId w:val="1"/>
  </w:num>
  <w:num w:numId="6" w16cid:durableId="863981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0430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EED"/>
    <w:rsid w:val="005D631E"/>
    <w:rsid w:val="00932F09"/>
    <w:rsid w:val="00970EED"/>
    <w:rsid w:val="009D320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F38D"/>
  <w15:docId w15:val="{F24FCD27-53A3-4B27-92FF-0D28E044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2436</Words>
  <Characters>13888</Characters>
  <Application>Microsoft Office Word</Application>
  <DocSecurity>0</DocSecurity>
  <Lines>115</Lines>
  <Paragraphs>32</Paragraphs>
  <ScaleCrop>false</ScaleCrop>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Cyril Foday-Kailie</dc:creator>
  <cp:keywords/>
  <cp:lastModifiedBy>Cyril Foday-Kailie</cp:lastModifiedBy>
  <cp:revision>2</cp:revision>
  <dcterms:created xsi:type="dcterms:W3CDTF">2026-10-20T19:06:00Z</dcterms:created>
  <dcterms:modified xsi:type="dcterms:W3CDTF">2026-10-20T19:06:00Z</dcterms:modified>
</cp:coreProperties>
</file>