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191B3" w14:textId="1A8C7FD4" w:rsidR="00126E05" w:rsidRDefault="00786D89">
      <w:pPr>
        <w:pStyle w:val="Heading1"/>
      </w:pPr>
      <w:bookmarkStart w:id="0" w:name="Xf6cb1c8cfb171b9b1062f3d90cf046c0a9e73ee"/>
      <w:r>
        <w:t xml:space="preserve">  </w:t>
      </w:r>
      <w:r w:rsidR="00AF07D1">
        <w:t>Dissertation Review Cycle — Summary and Handover</w:t>
      </w:r>
    </w:p>
    <w:p w14:paraId="68EF56DE" w14:textId="77777777" w:rsidR="00126E05" w:rsidRDefault="00AF07D1">
      <w:pPr>
        <w:pStyle w:val="FirstParagraph"/>
      </w:pPr>
      <w:r>
        <w:rPr>
          <w:b/>
          <w:bCs/>
        </w:rPr>
        <w:t>Study:</w:t>
      </w:r>
      <w:r>
        <w:t xml:space="preserve"> ML/DL fault detection, classification and location on the 161 kV Aboadze–New Obuasi transmission line </w:t>
      </w:r>
      <w:r>
        <w:rPr>
          <w:b/>
          <w:bCs/>
        </w:rPr>
        <w:t>Covering:</w:t>
      </w:r>
      <w:r>
        <w:t xml:space="preserve"> two rounds of review, the corrections applied, and the work remaining </w:t>
      </w:r>
      <w:r>
        <w:rPr>
          <w:b/>
          <w:bCs/>
        </w:rPr>
        <w:t>Prepared for:</w:t>
      </w:r>
      <w:r>
        <w:t xml:space="preserve"> the candidate, with supervisory oversight</w:t>
      </w:r>
    </w:p>
    <w:p w14:paraId="40E4707E" w14:textId="77777777" w:rsidR="00126E05" w:rsidRDefault="00AF07D1">
      <w:r>
        <w:pict w14:anchorId="23F72C3D">
          <v:rect id="_x0000_i1025" style="width:0;height:1.5pt" o:hralign="center" o:hrstd="t" o:hr="t"/>
        </w:pict>
      </w:r>
    </w:p>
    <w:p w14:paraId="16BC768E" w14:textId="77777777" w:rsidR="00126E05" w:rsidRDefault="00AF07D1">
      <w:pPr>
        <w:pStyle w:val="Heading2"/>
      </w:pPr>
      <w:bookmarkStart w:id="1" w:name="where-things-stand-in-one-paragraph"/>
      <w:r>
        <w:t>Where things stand, in one paragraph</w:t>
      </w:r>
    </w:p>
    <w:p w14:paraId="571CE4D3" w14:textId="77777777" w:rsidR="00126E05" w:rsidRDefault="00AF07D1">
      <w:pPr>
        <w:pStyle w:val="FirstParagraph"/>
      </w:pPr>
      <w:r>
        <w:t>The dissertation has moved through two review rounds. The first found that Chapter Four’s statistical validation table had not been computed from the study’s data — the chapter said so itself — and that several reported test statistics were mutually incompatible. The candidate then rebuilt Chapter Four with genuine statistical analysis, adopting the recommended test family in full. The second review found that rebuild to be substantial and real work, but discovered three results broken by mechanical defects</w:t>
      </w:r>
      <w:r>
        <w:t xml:space="preserve"> in the data pipeline rather than by anything wrong with the underlying research. A fully corrected working copy of Chapters Three and Four now exists, with 46 corrections applied inline and 10 residual items marked.</w:t>
      </w:r>
      <w:r>
        <w:t xml:space="preserve"> </w:t>
      </w:r>
      <w:r>
        <w:rPr>
          <w:b/>
          <w:bCs/>
        </w:rPr>
        <w:t>Three of those ten are under three days of combined work and are not optional. The rest can be declared as limitations.</w:t>
      </w:r>
    </w:p>
    <w:p w14:paraId="0A83582F" w14:textId="77777777" w:rsidR="00126E05" w:rsidRDefault="00AF07D1">
      <w:r>
        <w:pict w14:anchorId="5C68ECA9">
          <v:rect id="_x0000_i1026" style="width:0;height:1.5pt" o:hralign="center" o:hrstd="t" o:hr="t"/>
        </w:pict>
      </w:r>
    </w:p>
    <w:p w14:paraId="6BDABB45" w14:textId="77777777" w:rsidR="00126E05" w:rsidRDefault="00AF07D1">
      <w:pPr>
        <w:pStyle w:val="Heading1"/>
      </w:pPr>
      <w:bookmarkStart w:id="2" w:name="part-1-what-has-been-accomplished"/>
      <w:bookmarkEnd w:id="0"/>
      <w:bookmarkEnd w:id="1"/>
      <w:r>
        <w:t>PART 1 — WHAT HAS BEEN ACCOMPLISHED</w:t>
      </w:r>
    </w:p>
    <w:p w14:paraId="414F28BF" w14:textId="77777777" w:rsidR="00126E05" w:rsidRDefault="00AF07D1">
      <w:pPr>
        <w:pStyle w:val="Heading2"/>
      </w:pPr>
      <w:bookmarkStart w:id="3" w:name="the-arc-across-the-review-cycle"/>
      <w:r>
        <w:t>The arc across the review cycle</w:t>
      </w:r>
    </w:p>
    <w:p w14:paraId="14DB09C5" w14:textId="77777777" w:rsidR="00126E05" w:rsidRDefault="00AF07D1">
      <w:pPr>
        <w:pStyle w:val="Heading3"/>
      </w:pPr>
      <w:bookmarkStart w:id="4" w:name="round-one-the-original-submission"/>
      <w:r>
        <w:t>Round one — the original submission</w:t>
      </w:r>
    </w:p>
    <w:p w14:paraId="32129100" w14:textId="77777777" w:rsidR="00126E05" w:rsidRDefault="00AF07D1">
      <w:pPr>
        <w:pStyle w:val="FirstParagraph"/>
      </w:pPr>
      <w:r>
        <w:t xml:space="preserve">The first review examined Chapters One through Four and graded findings as fatal, major or minor. The central finding was that Section 4.6 introduced its statistical validation table with the sentence </w:t>
      </w:r>
      <w:r>
        <w:rPr>
          <w:i/>
          <w:iCs/>
        </w:rPr>
        <w:t>“</w:t>
      </w:r>
      <w:r>
        <w:rPr>
          <w:i/>
          <w:iCs/>
        </w:rPr>
        <w:t>The values represent typical statistical outcomes expected from comparative transmission line fault diagnosis studies.”</w:t>
      </w:r>
      <w:r>
        <w:t xml:space="preserve"> The test statistics, p-values, effect sizes and confidence intervals in the study’s central validation table had not been derived from the study’s data.</w:t>
      </w:r>
    </w:p>
    <w:p w14:paraId="0D517CF4" w14:textId="77777777" w:rsidR="00126E05" w:rsidRDefault="00AF07D1">
      <w:pPr>
        <w:pStyle w:val="BodyText"/>
      </w:pPr>
      <w:r>
        <w:t>Supporting evidence confirmed this independently. The reported F value could not equal the square of the reported t for the same two-group comparison. The effect sizes implied two irreconcilable sample sizes — one around 41 per group, the other around 16 total — and neither corresponded to a dataset of 12,000 cases. The confidence intervals contradicted the study’s own performance table, with H₁’s interval of 4.8% to 8.9% sitting against an observed gap of 32.7 points.</w:t>
      </w:r>
    </w:p>
    <w:p w14:paraId="0A3348DA" w14:textId="77777777" w:rsidR="00126E05" w:rsidRDefault="00AF07D1">
      <w:pPr>
        <w:pStyle w:val="BodyText"/>
      </w:pPr>
      <w:r>
        <w:t xml:space="preserve">Four further fatal findings accompanied it: H₃ was reported as accepted while the study’s own data refuted it; H₄ affirmed a null hypothesis on p = 0.087; no robustness data existed </w:t>
      </w:r>
      <w:r>
        <w:lastRenderedPageBreak/>
        <w:t>anywhere in the chapter despite H₄ being adjudicated; and the confusion matrix reconciled with nothing, totalling 11,174 against a test set that should have been 2,400.</w:t>
      </w:r>
    </w:p>
    <w:p w14:paraId="6C7E8D1D" w14:textId="77777777" w:rsidR="00126E05" w:rsidRDefault="00AF07D1">
      <w:pPr>
        <w:pStyle w:val="BodyText"/>
      </w:pPr>
      <w:r>
        <w:t>Deliverables from that round: the validity audit, a supervision guide with teaching scripts, a replacement statistical analysis plan, and working analysis code.</w:t>
      </w:r>
    </w:p>
    <w:p w14:paraId="4DF87B09" w14:textId="77777777" w:rsidR="00126E05" w:rsidRDefault="00AF07D1">
      <w:pPr>
        <w:pStyle w:val="Heading3"/>
      </w:pPr>
      <w:bookmarkStart w:id="5" w:name="round-two-the-candidates-revision"/>
      <w:bookmarkEnd w:id="4"/>
      <w:r>
        <w:t>Round two — the candidate’s revision</w:t>
      </w:r>
    </w:p>
    <w:p w14:paraId="5094D884" w14:textId="77777777" w:rsidR="00126E05" w:rsidRDefault="00AF07D1">
      <w:pPr>
        <w:pStyle w:val="FirstParagraph"/>
      </w:pPr>
      <w:r>
        <w:t>The revised chapters showed real methodological learning. Chapter Three grew 23%, Chapter Four 61%.</w:t>
      </w:r>
    </w:p>
    <w:p w14:paraId="79432E65" w14:textId="77777777" w:rsidR="00126E05" w:rsidRDefault="00AF07D1">
      <w:pPr>
        <w:pStyle w:val="BodyText"/>
      </w:pPr>
      <w:r>
        <w:rPr>
          <w:b/>
          <w:bCs/>
        </w:rPr>
        <w:t>What the candidate got right:</w:t>
      </w:r>
    </w:p>
    <w:tbl>
      <w:tblPr>
        <w:tblStyle w:val="Table"/>
        <w:tblW w:w="5000" w:type="pct"/>
        <w:tblLook w:val="0000" w:firstRow="0" w:lastRow="0" w:firstColumn="0" w:lastColumn="0" w:noHBand="0" w:noVBand="0"/>
      </w:tblPr>
      <w:tblGrid>
        <w:gridCol w:w="2601"/>
        <w:gridCol w:w="6759"/>
      </w:tblGrid>
      <w:tr w:rsidR="00126E05" w14:paraId="71F15C32" w14:textId="77777777">
        <w:tc>
          <w:tcPr>
            <w:tcW w:w="0" w:type="auto"/>
          </w:tcPr>
          <w:p w14:paraId="2157CEDB" w14:textId="77777777" w:rsidR="00126E05" w:rsidRDefault="00AF07D1">
            <w:pPr>
              <w:pStyle w:val="Compact"/>
            </w:pPr>
            <w:r>
              <w:rPr>
                <w:b/>
                <w:bCs/>
              </w:rPr>
              <w:t>Fabricated table removed</w:t>
            </w:r>
          </w:p>
        </w:tc>
        <w:tc>
          <w:tcPr>
            <w:tcW w:w="0" w:type="auto"/>
          </w:tcPr>
          <w:p w14:paraId="40A76C45" w14:textId="77777777" w:rsidR="00126E05" w:rsidRDefault="00AF07D1">
            <w:pPr>
              <w:pStyle w:val="Compact"/>
            </w:pPr>
            <w:r>
              <w:t>Section 4.6 and its contents deleted entirely</w:t>
            </w:r>
          </w:p>
        </w:tc>
      </w:tr>
      <w:tr w:rsidR="00126E05" w14:paraId="70BA9EC8" w14:textId="77777777">
        <w:tc>
          <w:tcPr>
            <w:tcW w:w="0" w:type="auto"/>
          </w:tcPr>
          <w:p w14:paraId="536ACECB" w14:textId="77777777" w:rsidR="00126E05" w:rsidRDefault="00AF07D1">
            <w:pPr>
              <w:pStyle w:val="Compact"/>
            </w:pPr>
            <w:r>
              <w:rPr>
                <w:b/>
                <w:bCs/>
              </w:rPr>
              <w:t>Correct test family adopted</w:t>
            </w:r>
          </w:p>
        </w:tc>
        <w:tc>
          <w:tcPr>
            <w:tcW w:w="0" w:type="auto"/>
          </w:tcPr>
          <w:p w14:paraId="438C197D" w14:textId="77777777" w:rsidR="00126E05" w:rsidRDefault="00AF07D1">
            <w:pPr>
              <w:pStyle w:val="Compact"/>
            </w:pPr>
            <w:r>
              <w:t>McNemar, Cochran’s Q, Wilcoxon with Hodges–Lehmann, TOST equivalence, Friedman with Kendall’s W</w:t>
            </w:r>
          </w:p>
        </w:tc>
      </w:tr>
      <w:tr w:rsidR="00126E05" w14:paraId="38FB7FB3" w14:textId="77777777">
        <w:tc>
          <w:tcPr>
            <w:tcW w:w="0" w:type="auto"/>
          </w:tcPr>
          <w:p w14:paraId="426A5EB5" w14:textId="77777777" w:rsidR="00126E05" w:rsidRDefault="00AF07D1">
            <w:pPr>
              <w:pStyle w:val="Compact"/>
            </w:pPr>
            <w:r>
              <w:rPr>
                <w:b/>
                <w:bCs/>
              </w:rPr>
              <w:t>Robustness data generated</w:t>
            </w:r>
          </w:p>
        </w:tc>
        <w:tc>
          <w:tcPr>
            <w:tcW w:w="0" w:type="auto"/>
          </w:tcPr>
          <w:p w14:paraId="05C02FEE" w14:textId="77777777" w:rsidR="00126E05" w:rsidRDefault="00AF07D1">
            <w:pPr>
              <w:pStyle w:val="Compact"/>
            </w:pPr>
            <w:r>
              <w:t>Four noise-sweep tables, mean ± SD across ten trials at four noise levels per target — the largest data gap in the original, now filled</w:t>
            </w:r>
          </w:p>
        </w:tc>
      </w:tr>
      <w:tr w:rsidR="00126E05" w14:paraId="42DBA83C" w14:textId="77777777">
        <w:tc>
          <w:tcPr>
            <w:tcW w:w="0" w:type="auto"/>
          </w:tcPr>
          <w:p w14:paraId="235EBF62" w14:textId="77777777" w:rsidR="00126E05" w:rsidRDefault="00AF07D1">
            <w:pPr>
              <w:pStyle w:val="Compact"/>
            </w:pPr>
            <w:r>
              <w:rPr>
                <w:b/>
                <w:bCs/>
              </w:rPr>
              <w:t>New analyses added unprompted</w:t>
            </w:r>
          </w:p>
        </w:tc>
        <w:tc>
          <w:tcPr>
            <w:tcW w:w="0" w:type="auto"/>
          </w:tcPr>
          <w:p w14:paraId="04E0E5C7" w14:textId="77777777" w:rsidR="00126E05" w:rsidRDefault="00AF07D1">
            <w:pPr>
              <w:pStyle w:val="Compact"/>
            </w:pPr>
            <w:r>
              <w:t>Training time and model complexity; accuracy by fault multiplicity; accuracy by specific fault combination</w:t>
            </w:r>
          </w:p>
        </w:tc>
      </w:tr>
      <w:tr w:rsidR="00126E05" w14:paraId="2BCBEE30" w14:textId="77777777">
        <w:tc>
          <w:tcPr>
            <w:tcW w:w="0" w:type="auto"/>
          </w:tcPr>
          <w:p w14:paraId="7FD1CE53" w14:textId="77777777" w:rsidR="00126E05" w:rsidRDefault="00AF07D1">
            <w:pPr>
              <w:pStyle w:val="Compact"/>
            </w:pPr>
            <w:r>
              <w:rPr>
                <w:b/>
                <w:bCs/>
              </w:rPr>
              <w:t>§3.8 replaced in full</w:t>
            </w:r>
          </w:p>
        </w:tc>
        <w:tc>
          <w:tcPr>
            <w:tcW w:w="0" w:type="auto"/>
          </w:tcPr>
          <w:p w14:paraId="2EE53FC3" w14:textId="77777777" w:rsidR="00126E05" w:rsidRDefault="00AF07D1">
            <w:pPr>
              <w:pStyle w:val="Compact"/>
            </w:pPr>
            <w:r>
              <w:t>Unit of analysis defined, assumption table present, Holm correction mandated, reporting standards stated</w:t>
            </w:r>
          </w:p>
        </w:tc>
      </w:tr>
      <w:tr w:rsidR="00126E05" w14:paraId="65B3A3B8" w14:textId="77777777">
        <w:tc>
          <w:tcPr>
            <w:tcW w:w="0" w:type="auto"/>
          </w:tcPr>
          <w:p w14:paraId="497D72D1" w14:textId="77777777" w:rsidR="00126E05" w:rsidRDefault="00AF07D1">
            <w:pPr>
              <w:pStyle w:val="Compact"/>
            </w:pPr>
            <w:r>
              <w:rPr>
                <w:b/>
                <w:bCs/>
              </w:rPr>
              <w:t>Six statistical references added</w:t>
            </w:r>
          </w:p>
        </w:tc>
        <w:tc>
          <w:tcPr>
            <w:tcW w:w="0" w:type="auto"/>
          </w:tcPr>
          <w:p w14:paraId="6CAA8B6C" w14:textId="77777777" w:rsidR="00126E05" w:rsidRDefault="00AF07D1">
            <w:pPr>
              <w:pStyle w:val="Compact"/>
            </w:pPr>
            <w:r>
              <w:t>Cochran, Demšar, Dietterich, Holm, Lakens, Nadeau &amp; Bengio</w:t>
            </w:r>
          </w:p>
        </w:tc>
      </w:tr>
      <w:tr w:rsidR="00126E05" w14:paraId="61A656CA" w14:textId="77777777">
        <w:tc>
          <w:tcPr>
            <w:tcW w:w="0" w:type="auto"/>
          </w:tcPr>
          <w:p w14:paraId="379CC2DB" w14:textId="77777777" w:rsidR="00126E05" w:rsidRDefault="00AF07D1">
            <w:pPr>
              <w:pStyle w:val="Compact"/>
            </w:pPr>
            <w:r>
              <w:rPr>
                <w:b/>
                <w:bCs/>
              </w:rPr>
              <w:t>H₅ introduced</w:t>
            </w:r>
          </w:p>
        </w:tc>
        <w:tc>
          <w:tcPr>
            <w:tcW w:w="0" w:type="auto"/>
          </w:tcPr>
          <w:p w14:paraId="13EC0C73" w14:textId="77777777" w:rsidR="00126E05" w:rsidRDefault="00AF07D1">
            <w:pPr>
              <w:pStyle w:val="Compact"/>
            </w:pPr>
            <w:r>
              <w:t>Fault location given a stated hypothesis for the first time</w:t>
            </w:r>
          </w:p>
        </w:tc>
      </w:tr>
    </w:tbl>
    <w:p w14:paraId="455C7A5E" w14:textId="77777777" w:rsidR="00126E05" w:rsidRDefault="00AF07D1">
      <w:pPr>
        <w:pStyle w:val="BodyText"/>
      </w:pPr>
      <w:r>
        <w:t>This is the hard part of the work and it was done. The candidate now demonstrably understands why paired tests, equivalence testing and multiplicity control matter.</w:t>
      </w:r>
    </w:p>
    <w:p w14:paraId="07CF5313" w14:textId="77777777" w:rsidR="00126E05" w:rsidRDefault="00AF07D1">
      <w:pPr>
        <w:pStyle w:val="BodyText"/>
      </w:pPr>
      <w:r>
        <w:rPr>
          <w:b/>
          <w:bCs/>
        </w:rPr>
        <w:t>What the second review then found.</w:t>
      </w:r>
      <w:r>
        <w:t xml:space="preserve"> Three results were broken by mechanical defects:</w:t>
      </w:r>
    </w:p>
    <w:p w14:paraId="37B2BB19" w14:textId="77777777" w:rsidR="00126E05" w:rsidRDefault="00AF07D1">
      <w:pPr>
        <w:numPr>
          <w:ilvl w:val="0"/>
          <w:numId w:val="2"/>
        </w:numPr>
      </w:pPr>
      <w:r>
        <w:rPr>
          <w:b/>
          <w:bCs/>
        </w:rPr>
        <w:t>H₁ reported as not supported</w:t>
      </w:r>
      <w:r>
        <w:t xml:space="preserve"> — Cochran’s Q = 6.6585, p = 0.465, “No significant difference detected among methods.” </w:t>
      </w:r>
      <w:r>
        <w:t>The dissertation’s foundational claim, apparently refuted by its own results chapter. Two pages earlier, Table 4.13 showed the relay at 0.6000 against models at 0.9625 to 1.0000 — a 40-point gap in the opposite direction.</w:t>
      </w:r>
    </w:p>
    <w:p w14:paraId="5EC07497" w14:textId="77777777" w:rsidR="00126E05" w:rsidRDefault="00AF07D1">
      <w:pPr>
        <w:numPr>
          <w:ilvl w:val="0"/>
          <w:numId w:val="2"/>
        </w:numPr>
      </w:pPr>
      <w:r>
        <w:rPr>
          <w:b/>
          <w:bCs/>
        </w:rPr>
        <w:t>H₃ never tested</w:t>
      </w:r>
      <w:r>
        <w:t xml:space="preserve"> — all twelve latency comparisons were model-against-model. The conventional relay, which the hypothesis names, appeared in none of them.</w:t>
      </w:r>
    </w:p>
    <w:p w14:paraId="18459BC6" w14:textId="77777777" w:rsidR="00126E05" w:rsidRDefault="00AF07D1">
      <w:pPr>
        <w:numPr>
          <w:ilvl w:val="0"/>
          <w:numId w:val="2"/>
        </w:numPr>
      </w:pPr>
      <w:r>
        <w:rPr>
          <w:b/>
          <w:bCs/>
        </w:rPr>
        <w:t>H₅ degenerate</w:t>
      </w:r>
      <w:r>
        <w:t xml:space="preserve"> — all 63 pairwise Hodges–Lehmann estimates returned exactly 0.0000 with confidence intervals of [0.0000, 0.0000].</w:t>
      </w:r>
    </w:p>
    <w:p w14:paraId="4175C961" w14:textId="77777777" w:rsidR="00126E05" w:rsidRDefault="00AF07D1">
      <w:pPr>
        <w:pStyle w:val="FirstParagraph"/>
      </w:pPr>
      <w:r>
        <w:t>Plus one carried-over item: Section 3.8.5 mandated Holm correction, and Table 4.23 reported 48 raw p-values with no adjusted column.</w:t>
      </w:r>
    </w:p>
    <w:p w14:paraId="5EBB6EE5" w14:textId="77777777" w:rsidR="00126E05" w:rsidRDefault="00AF07D1">
      <w:pPr>
        <w:pStyle w:val="Heading2"/>
      </w:pPr>
      <w:bookmarkStart w:id="6" w:name="what-was-established-by-computation"/>
      <w:bookmarkEnd w:id="3"/>
      <w:bookmarkEnd w:id="5"/>
      <w:r>
        <w:lastRenderedPageBreak/>
        <w:t>What was established by computation</w:t>
      </w:r>
    </w:p>
    <w:p w14:paraId="579A2D2B" w14:textId="77777777" w:rsidR="00126E05" w:rsidRDefault="00AF07D1">
      <w:pPr>
        <w:pStyle w:val="FirstParagraph"/>
      </w:pPr>
      <w:r>
        <w:t>Several things were settled definitively rather than by judgement:</w:t>
      </w:r>
    </w:p>
    <w:p w14:paraId="50C3ACA0" w14:textId="77777777" w:rsidR="00126E05" w:rsidRDefault="00AF07D1">
      <w:pPr>
        <w:pStyle w:val="BodyText"/>
      </w:pPr>
      <w:r>
        <w:rPr>
          <w:b/>
          <w:bCs/>
        </w:rPr>
        <w:t>The H₁ contradiction is arithmetically impossible, not a close call.</w:t>
      </w:r>
      <w:r>
        <w:t xml:space="preserve"> </w:t>
      </w:r>
      <w:r>
        <w:t>A 40-percentage-point gap on n = 2,235 forces a minimum discordance of 894 scenarios. The most conservative attainable McNemar p-value at that discordance is of order 10⁻²⁶⁹. The reported p = 0.465 cannot have come from the data in the performance table. Odds ratios of exactly 0.0000 across six of seven comparisons indicate an empty discordant cell — the signature of a relay column holding ground-truth labels or a duplicated model column.</w:t>
      </w:r>
    </w:p>
    <w:p w14:paraId="7DC26670" w14:textId="77777777" w:rsidR="00126E05" w:rsidRDefault="00AF07D1">
      <w:pPr>
        <w:pStyle w:val="BodyText"/>
      </w:pPr>
      <w:r>
        <w:rPr>
          <w:b/>
          <w:bCs/>
        </w:rPr>
        <w:t>Applying Holm to H₂ removes every significant result.</w:t>
      </w:r>
      <w:r>
        <w:t xml:space="preserve"> </w:t>
      </w:r>
      <w:r>
        <w:t>Three comparisons reached nominal significance; after correction across the family of 48, none survived. Smallest adjusted p = 0.7488.</w:t>
      </w:r>
    </w:p>
    <w:p w14:paraId="25E0E19B" w14:textId="77777777" w:rsidR="00126E05" w:rsidRDefault="00AF07D1">
      <w:pPr>
        <w:pStyle w:val="BodyText"/>
      </w:pPr>
      <w:r>
        <w:rPr>
          <w:b/>
          <w:bCs/>
        </w:rPr>
        <w:t>The line parameters were derivable from literature.</w:t>
      </w:r>
      <w:r>
        <w:t xml:space="preserve"> </w:t>
      </w:r>
      <w:r>
        <w:t>Using standard formulations with 795 kcmil ACSR geometry: X₁ = 0.390 Ω/km against the stated 0.003 (out by 130×), X₀ = 1.352 Ω/km against 0.006 (out by 225×). The derived X₀/X₁ ratio of 3.46 sits inside the textbook range of 2.5 to 3.5, confirming the derivation. Two unit errors were settled by cross-check: 12.74 nF/km gives line charging of 30.9 MVAr over the route, plausible, where 12.74 F/km gives 10⁹ MVAr; and 3000 MVA gives a fault current of 10.76 kA where 3000 kVA gives 10.8 A, below the line’s own l</w:t>
      </w:r>
      <w:r>
        <w:t>oad current.</w:t>
      </w:r>
    </w:p>
    <w:p w14:paraId="3F3BC828" w14:textId="77777777" w:rsidR="00126E05" w:rsidRDefault="00AF07D1">
      <w:pPr>
        <w:pStyle w:val="BodyText"/>
      </w:pPr>
      <w:r>
        <w:rPr>
          <w:b/>
          <w:bCs/>
        </w:rPr>
        <w:t>One correction to the first review.</w:t>
      </w:r>
      <w:r>
        <w:t xml:space="preserve"> </w:t>
      </w:r>
      <w:r>
        <w:t>The claim that five F1 scores were arithmetically impossible was too strong. The max(P,R) bound holds for a single binary F1 but not for a macro-averaged F1 across classes; the correct ceiling is the arithmetic mean of macro-P and macro-R. Two of the five flagged rows fall within that bound. The finding was downgraded from Major to Minor and reframed as a documentation failure — the averaging scheme is never stated, and under micro-averaging P = R = F1 = accuracy, which several rows violate outright.</w:t>
      </w:r>
    </w:p>
    <w:p w14:paraId="737A7FFE" w14:textId="77777777" w:rsidR="00126E05" w:rsidRDefault="00AF07D1">
      <w:r>
        <w:pict w14:anchorId="404BFAB1">
          <v:rect id="_x0000_i1027" style="width:0;height:1.5pt" o:hralign="center" o:hrstd="t" o:hr="t"/>
        </w:pict>
      </w:r>
    </w:p>
    <w:p w14:paraId="3D8D2ED5" w14:textId="77777777" w:rsidR="00126E05" w:rsidRDefault="00AF07D1">
      <w:pPr>
        <w:pStyle w:val="Heading1"/>
      </w:pPr>
      <w:bookmarkStart w:id="7" w:name="X6682fcb65ae6679b034ac802c2c8ab76eaefd4e"/>
      <w:bookmarkEnd w:id="2"/>
      <w:bookmarkEnd w:id="6"/>
      <w:r>
        <w:t>PART 2 — WHAT WAS UPDATED IN THE DISSERTATION</w:t>
      </w:r>
    </w:p>
    <w:p w14:paraId="6C4A6915" w14:textId="77777777" w:rsidR="00126E05" w:rsidRDefault="00AF07D1">
      <w:pPr>
        <w:pStyle w:val="FirstParagraph"/>
      </w:pPr>
      <w:r>
        <w:t xml:space="preserve">A corrected working copy of Chapters Three and Four now exists as a single 45-page file, built from the candidate’s revised chapters with all corrections applied as dissertation prose. All thirteen figures were extracted and re-embedded. </w:t>
      </w:r>
      <w:r>
        <w:rPr>
          <w:b/>
          <w:bCs/>
        </w:rPr>
        <w:t>46 corrections were applied across four classes.</w:t>
      </w:r>
    </w:p>
    <w:p w14:paraId="7DAE444F" w14:textId="77777777" w:rsidR="00126E05" w:rsidRDefault="00AF07D1">
      <w:pPr>
        <w:pStyle w:val="Heading2"/>
      </w:pPr>
      <w:bookmarkStart w:id="8" w:name="X2370d995bcd11e0ff6222f35da4421aeedf50c2"/>
      <w:r>
        <w:t>Physical parameters re-derived from literature</w:t>
      </w:r>
    </w:p>
    <w:tbl>
      <w:tblPr>
        <w:tblStyle w:val="Table"/>
        <w:tblW w:w="0" w:type="auto"/>
        <w:tblLook w:val="0020" w:firstRow="1" w:lastRow="0" w:firstColumn="0" w:lastColumn="0" w:noHBand="0" w:noVBand="0"/>
      </w:tblPr>
      <w:tblGrid>
        <w:gridCol w:w="3121"/>
        <w:gridCol w:w="1456"/>
        <w:gridCol w:w="1648"/>
      </w:tblGrid>
      <w:tr w:rsidR="00126E05" w14:paraId="46785261" w14:textId="77777777" w:rsidTr="0012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217F8A4E" w14:textId="77777777" w:rsidR="00126E05" w:rsidRDefault="00AF07D1">
            <w:pPr>
              <w:pStyle w:val="Compact"/>
            </w:pPr>
            <w:r>
              <w:t>Parameter</w:t>
            </w:r>
          </w:p>
        </w:tc>
        <w:tc>
          <w:tcPr>
            <w:tcW w:w="0" w:type="auto"/>
          </w:tcPr>
          <w:p w14:paraId="34E992B3" w14:textId="77777777" w:rsidR="00126E05" w:rsidRDefault="00AF07D1">
            <w:pPr>
              <w:pStyle w:val="Compact"/>
            </w:pPr>
            <w:r>
              <w:t>Was</w:t>
            </w:r>
          </w:p>
        </w:tc>
        <w:tc>
          <w:tcPr>
            <w:tcW w:w="0" w:type="auto"/>
          </w:tcPr>
          <w:p w14:paraId="7FADB7FD" w14:textId="77777777" w:rsidR="00126E05" w:rsidRDefault="00AF07D1">
            <w:pPr>
              <w:pStyle w:val="Compact"/>
            </w:pPr>
            <w:r>
              <w:t>Now</w:t>
            </w:r>
          </w:p>
        </w:tc>
      </w:tr>
      <w:tr w:rsidR="00126E05" w14:paraId="0DA78455" w14:textId="77777777">
        <w:tc>
          <w:tcPr>
            <w:tcW w:w="0" w:type="auto"/>
          </w:tcPr>
          <w:p w14:paraId="10FD3B9E" w14:textId="77777777" w:rsidR="00126E05" w:rsidRDefault="00AF07D1">
            <w:pPr>
              <w:pStyle w:val="Compact"/>
            </w:pPr>
            <w:r>
              <w:t>Positive-sequence reactance</w:t>
            </w:r>
          </w:p>
        </w:tc>
        <w:tc>
          <w:tcPr>
            <w:tcW w:w="0" w:type="auto"/>
          </w:tcPr>
          <w:p w14:paraId="5DE4D0D9" w14:textId="77777777" w:rsidR="00126E05" w:rsidRDefault="00AF07D1">
            <w:pPr>
              <w:pStyle w:val="Compact"/>
            </w:pPr>
            <w:r>
              <w:t>0.003 Ω/km</w:t>
            </w:r>
          </w:p>
        </w:tc>
        <w:tc>
          <w:tcPr>
            <w:tcW w:w="0" w:type="auto"/>
          </w:tcPr>
          <w:p w14:paraId="2E2CF45E" w14:textId="77777777" w:rsidR="00126E05" w:rsidRDefault="00AF07D1">
            <w:pPr>
              <w:pStyle w:val="Compact"/>
            </w:pPr>
            <w:r>
              <w:rPr>
                <w:b/>
                <w:bCs/>
              </w:rPr>
              <w:t>0.390 Ω/km</w:t>
            </w:r>
          </w:p>
        </w:tc>
      </w:tr>
      <w:tr w:rsidR="00126E05" w14:paraId="7F7F1720" w14:textId="77777777">
        <w:tc>
          <w:tcPr>
            <w:tcW w:w="0" w:type="auto"/>
          </w:tcPr>
          <w:p w14:paraId="6E8C5D9C" w14:textId="77777777" w:rsidR="00126E05" w:rsidRDefault="00AF07D1">
            <w:pPr>
              <w:pStyle w:val="Compact"/>
            </w:pPr>
            <w:r>
              <w:t>Zero-sequence reactance</w:t>
            </w:r>
          </w:p>
        </w:tc>
        <w:tc>
          <w:tcPr>
            <w:tcW w:w="0" w:type="auto"/>
          </w:tcPr>
          <w:p w14:paraId="19F0145F" w14:textId="77777777" w:rsidR="00126E05" w:rsidRDefault="00AF07D1">
            <w:pPr>
              <w:pStyle w:val="Compact"/>
            </w:pPr>
            <w:r>
              <w:t>0.006 Ω/km</w:t>
            </w:r>
          </w:p>
        </w:tc>
        <w:tc>
          <w:tcPr>
            <w:tcW w:w="0" w:type="auto"/>
          </w:tcPr>
          <w:p w14:paraId="2A4A4D2A" w14:textId="77777777" w:rsidR="00126E05" w:rsidRDefault="00AF07D1">
            <w:pPr>
              <w:pStyle w:val="Compact"/>
            </w:pPr>
            <w:r>
              <w:rPr>
                <w:b/>
                <w:bCs/>
              </w:rPr>
              <w:t>1.352 Ω/km</w:t>
            </w:r>
          </w:p>
        </w:tc>
      </w:tr>
      <w:tr w:rsidR="00126E05" w14:paraId="09B01CB0" w14:textId="77777777">
        <w:tc>
          <w:tcPr>
            <w:tcW w:w="0" w:type="auto"/>
          </w:tcPr>
          <w:p w14:paraId="49A722C8" w14:textId="77777777" w:rsidR="00126E05" w:rsidRDefault="00AF07D1">
            <w:pPr>
              <w:pStyle w:val="Compact"/>
            </w:pPr>
            <w:r>
              <w:t>Zero-sequence resistance</w:t>
            </w:r>
          </w:p>
        </w:tc>
        <w:tc>
          <w:tcPr>
            <w:tcW w:w="0" w:type="auto"/>
          </w:tcPr>
          <w:p w14:paraId="2BEE2BBF" w14:textId="77777777" w:rsidR="00126E05" w:rsidRDefault="00AF07D1">
            <w:pPr>
              <w:pStyle w:val="Compact"/>
            </w:pPr>
            <w:r>
              <w:t>—</w:t>
            </w:r>
          </w:p>
        </w:tc>
        <w:tc>
          <w:tcPr>
            <w:tcW w:w="0" w:type="auto"/>
          </w:tcPr>
          <w:p w14:paraId="6B111719" w14:textId="77777777" w:rsidR="00126E05" w:rsidRDefault="00AF07D1">
            <w:pPr>
              <w:pStyle w:val="Compact"/>
            </w:pPr>
            <w:r>
              <w:rPr>
                <w:b/>
                <w:bCs/>
              </w:rPr>
              <w:t>0.228 Ω/km</w:t>
            </w:r>
          </w:p>
        </w:tc>
      </w:tr>
      <w:tr w:rsidR="00126E05" w14:paraId="00B45F4F" w14:textId="77777777">
        <w:tc>
          <w:tcPr>
            <w:tcW w:w="0" w:type="auto"/>
          </w:tcPr>
          <w:p w14:paraId="44493021" w14:textId="77777777" w:rsidR="00126E05" w:rsidRDefault="00AF07D1">
            <w:pPr>
              <w:pStyle w:val="Compact"/>
            </w:pPr>
            <w:r>
              <w:t>Capacitance</w:t>
            </w:r>
          </w:p>
        </w:tc>
        <w:tc>
          <w:tcPr>
            <w:tcW w:w="0" w:type="auto"/>
          </w:tcPr>
          <w:p w14:paraId="46C83190" w14:textId="77777777" w:rsidR="00126E05" w:rsidRDefault="00AF07D1">
            <w:pPr>
              <w:pStyle w:val="Compact"/>
            </w:pPr>
            <w:r>
              <w:t>12.74 F/km</w:t>
            </w:r>
          </w:p>
        </w:tc>
        <w:tc>
          <w:tcPr>
            <w:tcW w:w="0" w:type="auto"/>
          </w:tcPr>
          <w:p w14:paraId="09223769" w14:textId="77777777" w:rsidR="00126E05" w:rsidRDefault="00AF07D1">
            <w:pPr>
              <w:pStyle w:val="Compact"/>
            </w:pPr>
            <w:r>
              <w:rPr>
                <w:b/>
                <w:bCs/>
              </w:rPr>
              <w:t>12.74 nF/km</w:t>
            </w:r>
          </w:p>
        </w:tc>
      </w:tr>
      <w:tr w:rsidR="00126E05" w14:paraId="6EBF86EF" w14:textId="77777777">
        <w:tc>
          <w:tcPr>
            <w:tcW w:w="0" w:type="auto"/>
          </w:tcPr>
          <w:p w14:paraId="22B91AF7" w14:textId="77777777" w:rsidR="00126E05" w:rsidRDefault="00AF07D1">
            <w:pPr>
              <w:pStyle w:val="Compact"/>
            </w:pPr>
            <w:r>
              <w:lastRenderedPageBreak/>
              <w:t>Fault level</w:t>
            </w:r>
          </w:p>
        </w:tc>
        <w:tc>
          <w:tcPr>
            <w:tcW w:w="0" w:type="auto"/>
          </w:tcPr>
          <w:p w14:paraId="324C313A" w14:textId="77777777" w:rsidR="00126E05" w:rsidRDefault="00AF07D1">
            <w:pPr>
              <w:pStyle w:val="Compact"/>
            </w:pPr>
            <w:r>
              <w:t>3000 kVA</w:t>
            </w:r>
          </w:p>
        </w:tc>
        <w:tc>
          <w:tcPr>
            <w:tcW w:w="0" w:type="auto"/>
          </w:tcPr>
          <w:p w14:paraId="30094597" w14:textId="77777777" w:rsidR="00126E05" w:rsidRDefault="00AF07D1">
            <w:pPr>
              <w:pStyle w:val="Compact"/>
            </w:pPr>
            <w:r>
              <w:rPr>
                <w:b/>
                <w:bCs/>
              </w:rPr>
              <w:t>3000 MVA</w:t>
            </w:r>
          </w:p>
        </w:tc>
      </w:tr>
    </w:tbl>
    <w:p w14:paraId="44A8758C" w14:textId="77777777" w:rsidR="00126E05" w:rsidRDefault="00AF07D1">
      <w:pPr>
        <w:pStyle w:val="BodyText"/>
      </w:pPr>
      <w:r>
        <w:t>The derivation is written into §3.3.1 with both verification cross-checks shown, so the values are defensible rather than asserted.</w:t>
      </w:r>
    </w:p>
    <w:p w14:paraId="0DB261B1" w14:textId="77777777" w:rsidR="00126E05" w:rsidRDefault="00AF07D1">
      <w:pPr>
        <w:pStyle w:val="Heading2"/>
      </w:pPr>
      <w:bookmarkStart w:id="9" w:name="X39a86a56d9691b48ee3cf226a73b8e3b76c5bf5"/>
      <w:bookmarkEnd w:id="8"/>
      <w:r>
        <w:t>Statistical quantities recomputed from reported data</w:t>
      </w:r>
    </w:p>
    <w:p w14:paraId="0F5A7103" w14:textId="77777777" w:rsidR="00126E05" w:rsidRDefault="00AF07D1">
      <w:pPr>
        <w:pStyle w:val="Compact"/>
        <w:numPr>
          <w:ilvl w:val="0"/>
          <w:numId w:val="3"/>
        </w:numPr>
      </w:pPr>
      <w:r>
        <w:t>Holm correction applied to all 48 H₂ comparisons; the adjusted column is now in Table 4.13.</w:t>
      </w:r>
    </w:p>
    <w:p w14:paraId="1BAE2BED" w14:textId="77777777" w:rsidR="00126E05" w:rsidRDefault="00AF07D1">
      <w:pPr>
        <w:pStyle w:val="Compact"/>
        <w:numPr>
          <w:ilvl w:val="0"/>
          <w:numId w:val="3"/>
        </w:numPr>
      </w:pPr>
      <w:r>
        <w:t>Bounded McNemar across all eight models added as Table 4.11, showing H₁ robust at worst-case p below 10⁻¹⁷¹ on the study’s own marginals.</w:t>
      </w:r>
    </w:p>
    <w:p w14:paraId="03D7E08B" w14:textId="77777777" w:rsidR="00126E05" w:rsidRDefault="00AF07D1">
      <w:pPr>
        <w:pStyle w:val="Compact"/>
        <w:numPr>
          <w:ilvl w:val="0"/>
          <w:numId w:val="3"/>
        </w:numPr>
      </w:pPr>
      <w:r>
        <w:t>Three arithmetically impossible cells in the performance table identified and withheld with the reason footnoted.</w:t>
      </w:r>
    </w:p>
    <w:p w14:paraId="0BCDE5E1" w14:textId="77777777" w:rsidR="00126E05" w:rsidRDefault="00AF07D1">
      <w:pPr>
        <w:pStyle w:val="Compact"/>
        <w:numPr>
          <w:ilvl w:val="0"/>
          <w:numId w:val="3"/>
        </w:numPr>
      </w:pPr>
      <w:r>
        <w:t>Cochran’s Q degrees of freedom reconciled: the reported p matches df = 7, so the narrative describing seven models was wrong, not the statistic.</w:t>
      </w:r>
    </w:p>
    <w:p w14:paraId="74F890BF" w14:textId="77777777" w:rsidR="00126E05" w:rsidRDefault="00AF07D1">
      <w:pPr>
        <w:pStyle w:val="Compact"/>
        <w:numPr>
          <w:ilvl w:val="0"/>
          <w:numId w:val="3"/>
        </w:numPr>
      </w:pPr>
      <w:r>
        <w:t>H₂ conclusion rewritten to follow from the corrected analysis.</w:t>
      </w:r>
    </w:p>
    <w:p w14:paraId="7ED5EF70" w14:textId="77777777" w:rsidR="00126E05" w:rsidRDefault="00AF07D1">
      <w:pPr>
        <w:pStyle w:val="Heading2"/>
      </w:pPr>
      <w:bookmarkStart w:id="10" w:name="internal-contradictions-resolved"/>
      <w:bookmarkEnd w:id="9"/>
      <w:r>
        <w:t>Internal contradictions resolved</w:t>
      </w:r>
    </w:p>
    <w:p w14:paraId="704F85DC" w14:textId="77777777" w:rsidR="00126E05" w:rsidRDefault="00AF07D1">
      <w:pPr>
        <w:pStyle w:val="FirstParagraph"/>
      </w:pPr>
      <w:r>
        <w:t>Eighteen in total. The ones that mattered most:</w:t>
      </w:r>
    </w:p>
    <w:tbl>
      <w:tblPr>
        <w:tblStyle w:val="Table"/>
        <w:tblW w:w="5000" w:type="pct"/>
        <w:tblLook w:val="0020" w:firstRow="1" w:lastRow="0" w:firstColumn="0" w:lastColumn="0" w:noHBand="0" w:noVBand="0"/>
      </w:tblPr>
      <w:tblGrid>
        <w:gridCol w:w="3507"/>
        <w:gridCol w:w="5853"/>
      </w:tblGrid>
      <w:tr w:rsidR="00126E05" w14:paraId="0B169534" w14:textId="77777777" w:rsidTr="0012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35CF3199" w14:textId="77777777" w:rsidR="00126E05" w:rsidRDefault="00AF07D1">
            <w:pPr>
              <w:pStyle w:val="Compact"/>
            </w:pPr>
            <w:r>
              <w:t>Contradiction</w:t>
            </w:r>
          </w:p>
        </w:tc>
        <w:tc>
          <w:tcPr>
            <w:tcW w:w="0" w:type="auto"/>
          </w:tcPr>
          <w:p w14:paraId="68AE8AFA" w14:textId="77777777" w:rsidR="00126E05" w:rsidRDefault="00AF07D1">
            <w:pPr>
              <w:pStyle w:val="Compact"/>
            </w:pPr>
            <w:r>
              <w:t>Resolution</w:t>
            </w:r>
          </w:p>
        </w:tc>
      </w:tr>
      <w:tr w:rsidR="00126E05" w14:paraId="74E8EE86" w14:textId="77777777">
        <w:tc>
          <w:tcPr>
            <w:tcW w:w="0" w:type="auto"/>
          </w:tcPr>
          <w:p w14:paraId="7C66B372" w14:textId="77777777" w:rsidR="00126E05" w:rsidRDefault="00AF07D1">
            <w:pPr>
              <w:pStyle w:val="Compact"/>
            </w:pPr>
            <w:r>
              <w:t>20 vs 200 samples per cycle</w:t>
            </w:r>
          </w:p>
        </w:tc>
        <w:tc>
          <w:tcPr>
            <w:tcW w:w="0" w:type="auto"/>
          </w:tcPr>
          <w:p w14:paraId="0AFF082A" w14:textId="77777777" w:rsidR="00126E05" w:rsidRDefault="00AF07D1">
            <w:pPr>
              <w:pStyle w:val="Compact"/>
            </w:pPr>
            <w:r>
              <w:rPr>
                <w:b/>
                <w:bCs/>
              </w:rPr>
              <w:t>20</w:t>
            </w:r>
            <w:r>
              <w:t xml:space="preserve"> — the only value consistent with 1 kHz at 50 Hz</w:t>
            </w:r>
          </w:p>
        </w:tc>
      </w:tr>
      <w:tr w:rsidR="00126E05" w14:paraId="66F6F219" w14:textId="77777777">
        <w:tc>
          <w:tcPr>
            <w:tcW w:w="0" w:type="auto"/>
          </w:tcPr>
          <w:p w14:paraId="27137E85" w14:textId="77777777" w:rsidR="00126E05" w:rsidRDefault="00AF07D1">
            <w:pPr>
              <w:pStyle w:val="Compact"/>
            </w:pPr>
            <w:r>
              <w:t>6 vs 12 cycle window</w:t>
            </w:r>
          </w:p>
        </w:tc>
        <w:tc>
          <w:tcPr>
            <w:tcW w:w="0" w:type="auto"/>
          </w:tcPr>
          <w:p w14:paraId="31E98743" w14:textId="77777777" w:rsidR="00126E05" w:rsidRDefault="00AF07D1">
            <w:pPr>
              <w:pStyle w:val="Compact"/>
            </w:pPr>
            <w:r>
              <w:rPr>
                <w:b/>
                <w:bCs/>
              </w:rPr>
              <w:t>6 cycles</w:t>
            </w:r>
            <w:r>
              <w:t>, matching the stated 1 pre-fault + 5 post-fault</w:t>
            </w:r>
          </w:p>
        </w:tc>
      </w:tr>
      <w:tr w:rsidR="00126E05" w14:paraId="0F660F69" w14:textId="77777777">
        <w:tc>
          <w:tcPr>
            <w:tcW w:w="0" w:type="auto"/>
          </w:tcPr>
          <w:p w14:paraId="2AB2A457" w14:textId="77777777" w:rsidR="00126E05" w:rsidRDefault="00AF07D1">
            <w:pPr>
              <w:pStyle w:val="Compact"/>
            </w:pPr>
            <w:r>
              <w:t>12,000 used three ways</w:t>
            </w:r>
          </w:p>
        </w:tc>
        <w:tc>
          <w:tcPr>
            <w:tcW w:w="0" w:type="auto"/>
          </w:tcPr>
          <w:p w14:paraId="22576FBB" w14:textId="77777777" w:rsidR="00126E05" w:rsidRDefault="00AF07D1">
            <w:pPr>
              <w:pStyle w:val="Compact"/>
            </w:pPr>
            <w:r>
              <w:rPr>
                <w:b/>
                <w:bCs/>
              </w:rPr>
              <w:t>12,000 fault scenarios</w:t>
            </w:r>
            <w:r>
              <w:t xml:space="preserve">, 120 samples per channel; no-fault separated into its own stratum of 2,400 for a real total of </w:t>
            </w:r>
            <w:r>
              <w:rPr>
                <w:b/>
                <w:bCs/>
              </w:rPr>
              <w:t>14,400</w:t>
            </w:r>
          </w:p>
        </w:tc>
      </w:tr>
      <w:tr w:rsidR="00126E05" w14:paraId="075509C4" w14:textId="77777777">
        <w:tc>
          <w:tcPr>
            <w:tcW w:w="0" w:type="auto"/>
          </w:tcPr>
          <w:p w14:paraId="5969E4A4" w14:textId="77777777" w:rsidR="00126E05" w:rsidRDefault="00AF07D1">
            <w:pPr>
              <w:pStyle w:val="Compact"/>
            </w:pPr>
            <w:r>
              <w:t>100 Ω vs 600 Ω resistance</w:t>
            </w:r>
          </w:p>
        </w:tc>
        <w:tc>
          <w:tcPr>
            <w:tcW w:w="0" w:type="auto"/>
          </w:tcPr>
          <w:p w14:paraId="4E755BF1" w14:textId="77777777" w:rsidR="00126E05" w:rsidRDefault="00AF07D1">
            <w:pPr>
              <w:pStyle w:val="Compact"/>
            </w:pPr>
            <w:r>
              <w:rPr>
                <w:b/>
                <w:bCs/>
              </w:rPr>
              <w:t>100 Ω</w:t>
            </w:r>
            <w:r>
              <w:t>; high-impedance claims scoped accordingly</w:t>
            </w:r>
          </w:p>
        </w:tc>
      </w:tr>
      <w:tr w:rsidR="00126E05" w14:paraId="70AA94AD" w14:textId="77777777">
        <w:tc>
          <w:tcPr>
            <w:tcW w:w="0" w:type="auto"/>
          </w:tcPr>
          <w:p w14:paraId="6464562E" w14:textId="77777777" w:rsidR="00126E05" w:rsidRDefault="00AF07D1">
            <w:pPr>
              <w:pStyle w:val="Compact"/>
            </w:pPr>
            <w:r>
              <w:t>Wavelet claimed, RMS/peak/variance implemented</w:t>
            </w:r>
          </w:p>
        </w:tc>
        <w:tc>
          <w:tcPr>
            <w:tcW w:w="0" w:type="auto"/>
          </w:tcPr>
          <w:p w14:paraId="784B0277" w14:textId="77777777" w:rsidR="00126E05" w:rsidRDefault="00AF07D1">
            <w:pPr>
              <w:pStyle w:val="Compact"/>
            </w:pPr>
            <w:r>
              <w:t xml:space="preserve">Wavelet claim </w:t>
            </w:r>
            <w:r>
              <w:rPr>
                <w:b/>
                <w:bCs/>
              </w:rPr>
              <w:t>withdrawn</w:t>
            </w:r>
            <w:r>
              <w:t xml:space="preserve"> — at 1 kHz the Nyquist limit is 500 Hz and cannot support it</w:t>
            </w:r>
          </w:p>
        </w:tc>
      </w:tr>
      <w:tr w:rsidR="00126E05" w14:paraId="0B34F8BA" w14:textId="77777777">
        <w:tc>
          <w:tcPr>
            <w:tcW w:w="0" w:type="auto"/>
          </w:tcPr>
          <w:p w14:paraId="5B169E04" w14:textId="77777777" w:rsidR="00126E05" w:rsidRDefault="00AF07D1">
            <w:pPr>
              <w:pStyle w:val="Compact"/>
            </w:pPr>
            <w:r>
              <w:t>Bayesian optimisation vs grid search</w:t>
            </w:r>
          </w:p>
        </w:tc>
        <w:tc>
          <w:tcPr>
            <w:tcW w:w="0" w:type="auto"/>
          </w:tcPr>
          <w:p w14:paraId="0DB8F252" w14:textId="77777777" w:rsidR="00126E05" w:rsidRDefault="00AF07D1">
            <w:pPr>
              <w:pStyle w:val="Compact"/>
            </w:pPr>
            <w:r>
              <w:rPr>
                <w:b/>
                <w:bCs/>
              </w:rPr>
              <w:t>Grid search</w:t>
            </w:r>
          </w:p>
        </w:tc>
      </w:tr>
      <w:tr w:rsidR="00126E05" w14:paraId="3063DF2D" w14:textId="77777777">
        <w:tc>
          <w:tcPr>
            <w:tcW w:w="0" w:type="auto"/>
          </w:tcPr>
          <w:p w14:paraId="0A36AF3F" w14:textId="77777777" w:rsidR="00126E05" w:rsidRDefault="00AF07D1">
            <w:pPr>
              <w:pStyle w:val="Compact"/>
            </w:pPr>
            <w:r>
              <w:t>LSTM absent from portfolio, present in results</w:t>
            </w:r>
          </w:p>
        </w:tc>
        <w:tc>
          <w:tcPr>
            <w:tcW w:w="0" w:type="auto"/>
          </w:tcPr>
          <w:p w14:paraId="6EEDB5C9" w14:textId="77777777" w:rsidR="00126E05" w:rsidRDefault="00AF07D1">
            <w:pPr>
              <w:pStyle w:val="Compact"/>
            </w:pPr>
            <w:r>
              <w:rPr>
                <w:b/>
                <w:bCs/>
              </w:rPr>
              <w:t>Restored</w:t>
            </w:r>
            <w:r>
              <w:t xml:space="preserve"> to Table 3.5</w:t>
            </w:r>
          </w:p>
        </w:tc>
      </w:tr>
      <w:tr w:rsidR="00126E05" w14:paraId="0A622BC5" w14:textId="77777777">
        <w:tc>
          <w:tcPr>
            <w:tcW w:w="0" w:type="auto"/>
          </w:tcPr>
          <w:p w14:paraId="02757E45" w14:textId="77777777" w:rsidR="00126E05" w:rsidRDefault="00AF07D1">
            <w:pPr>
              <w:pStyle w:val="Compact"/>
            </w:pPr>
            <w:r>
              <w:t>Stacking ensemble in portfolio, never run</w:t>
            </w:r>
          </w:p>
        </w:tc>
        <w:tc>
          <w:tcPr>
            <w:tcW w:w="0" w:type="auto"/>
          </w:tcPr>
          <w:p w14:paraId="7079C407" w14:textId="77777777" w:rsidR="00126E05" w:rsidRDefault="00AF07D1">
            <w:pPr>
              <w:pStyle w:val="Compact"/>
            </w:pPr>
            <w:r>
              <w:rPr>
                <w:b/>
                <w:bCs/>
              </w:rPr>
              <w:t>Removed</w:t>
            </w:r>
            <w:r>
              <w:t>, superiority claim withdrawn</w:t>
            </w:r>
          </w:p>
        </w:tc>
      </w:tr>
      <w:tr w:rsidR="00126E05" w14:paraId="4113FAFD" w14:textId="77777777">
        <w:tc>
          <w:tcPr>
            <w:tcW w:w="0" w:type="auto"/>
          </w:tcPr>
          <w:p w14:paraId="7335EC45" w14:textId="77777777" w:rsidR="00126E05" w:rsidRDefault="00AF07D1">
            <w:pPr>
              <w:pStyle w:val="Compact"/>
            </w:pPr>
            <w:r>
              <w:t>Random Forest regularisation paragraph</w:t>
            </w:r>
          </w:p>
        </w:tc>
        <w:tc>
          <w:tcPr>
            <w:tcW w:w="0" w:type="auto"/>
          </w:tcPr>
          <w:p w14:paraId="76B60CBF" w14:textId="77777777" w:rsidR="00126E05" w:rsidRDefault="00AF07D1">
            <w:pPr>
              <w:pStyle w:val="Compact"/>
            </w:pPr>
            <w:r>
              <w:rPr>
                <w:b/>
                <w:bCs/>
              </w:rPr>
              <w:t>Deleted</w:t>
            </w:r>
            <w:r>
              <w:t xml:space="preserve"> — no Random Forest in the study</w:t>
            </w:r>
          </w:p>
        </w:tc>
      </w:tr>
      <w:tr w:rsidR="00126E05" w14:paraId="7D7805D1" w14:textId="77777777">
        <w:tc>
          <w:tcPr>
            <w:tcW w:w="0" w:type="auto"/>
          </w:tcPr>
          <w:p w14:paraId="3690A2A3" w14:textId="77777777" w:rsidR="00126E05" w:rsidRDefault="00AF07D1">
            <w:pPr>
              <w:pStyle w:val="Compact"/>
            </w:pPr>
            <w:r>
              <w:t>Relay classification accuracy 57.29%</w:t>
            </w:r>
          </w:p>
        </w:tc>
        <w:tc>
          <w:tcPr>
            <w:tcW w:w="0" w:type="auto"/>
          </w:tcPr>
          <w:p w14:paraId="65BC222D" w14:textId="77777777" w:rsidR="00126E05" w:rsidRDefault="00AF07D1">
            <w:pPr>
              <w:pStyle w:val="Compact"/>
            </w:pPr>
            <w:r>
              <w:rPr>
                <w:b/>
                <w:bCs/>
              </w:rPr>
              <w:t>Not applicable</w:t>
            </w:r>
            <w:r>
              <w:t xml:space="preserve"> </w:t>
            </w:r>
            <w:r>
              <w:t>— a distance relay does not perform multi-class classification</w:t>
            </w:r>
          </w:p>
        </w:tc>
      </w:tr>
      <w:tr w:rsidR="00126E05" w14:paraId="3C648BAA" w14:textId="77777777">
        <w:tc>
          <w:tcPr>
            <w:tcW w:w="0" w:type="auto"/>
          </w:tcPr>
          <w:p w14:paraId="00840B3B" w14:textId="77777777" w:rsidR="00126E05" w:rsidRDefault="00AF07D1">
            <w:pPr>
              <w:pStyle w:val="Compact"/>
            </w:pPr>
            <w:r>
              <w:t>TOST margin never declared numerically</w:t>
            </w:r>
          </w:p>
        </w:tc>
        <w:tc>
          <w:tcPr>
            <w:tcW w:w="0" w:type="auto"/>
          </w:tcPr>
          <w:p w14:paraId="64AF83EA" w14:textId="77777777" w:rsidR="00126E05" w:rsidRDefault="00AF07D1">
            <w:pPr>
              <w:pStyle w:val="Compact"/>
            </w:pPr>
            <w:r>
              <w:rPr>
                <w:b/>
                <w:bCs/>
              </w:rPr>
              <w:t>±5.0 percentage points</w:t>
            </w:r>
            <w:r>
              <w:t>, with operational justification</w:t>
            </w:r>
          </w:p>
        </w:tc>
      </w:tr>
      <w:tr w:rsidR="00126E05" w14:paraId="5392A0BF" w14:textId="77777777">
        <w:tc>
          <w:tcPr>
            <w:tcW w:w="0" w:type="auto"/>
          </w:tcPr>
          <w:p w14:paraId="784ECE06" w14:textId="77777777" w:rsidR="00126E05" w:rsidRDefault="00AF07D1">
            <w:pPr>
              <w:pStyle w:val="Compact"/>
            </w:pPr>
            <w:r>
              <w:lastRenderedPageBreak/>
              <w:t>§3.8.7 circular baseline cross-reference</w:t>
            </w:r>
          </w:p>
        </w:tc>
        <w:tc>
          <w:tcPr>
            <w:tcW w:w="0" w:type="auto"/>
          </w:tcPr>
          <w:p w14:paraId="0242B126" w14:textId="77777777" w:rsidR="00126E05" w:rsidRDefault="00AF07D1">
            <w:pPr>
              <w:pStyle w:val="Compact"/>
            </w:pPr>
            <w:r>
              <w:t>Replaced by a full baseline specification</w:t>
            </w:r>
          </w:p>
        </w:tc>
      </w:tr>
    </w:tbl>
    <w:p w14:paraId="3B2DA418" w14:textId="77777777" w:rsidR="00126E05" w:rsidRDefault="00AF07D1">
      <w:pPr>
        <w:pStyle w:val="Heading2"/>
      </w:pPr>
      <w:bookmarkStart w:id="11" w:name="new-sections-written"/>
      <w:bookmarkEnd w:id="10"/>
      <w:r>
        <w:t>New sections written</w:t>
      </w:r>
    </w:p>
    <w:p w14:paraId="60FCFBFE" w14:textId="77777777" w:rsidR="00126E05" w:rsidRDefault="00AF07D1">
      <w:pPr>
        <w:pStyle w:val="Compact"/>
        <w:numPr>
          <w:ilvl w:val="0"/>
          <w:numId w:val="4"/>
        </w:numPr>
      </w:pPr>
      <w:r>
        <w:rPr>
          <w:b/>
          <w:bCs/>
        </w:rPr>
        <w:t>§3.9 Conventional Protection Baseline</w:t>
      </w:r>
      <w:r>
        <w:t xml:space="preserve"> — relay model, zone settings, scoring criteria, and an explicit statement of which measures are not defined for the comparator. This replaces the cross-reference table that pointed at itself.</w:t>
      </w:r>
    </w:p>
    <w:p w14:paraId="645C1FDB" w14:textId="77777777" w:rsidR="00126E05" w:rsidRDefault="00AF07D1">
      <w:pPr>
        <w:pStyle w:val="Compact"/>
        <w:numPr>
          <w:ilvl w:val="0"/>
          <w:numId w:val="4"/>
        </w:numPr>
      </w:pPr>
      <w:r>
        <w:rPr>
          <w:b/>
          <w:bCs/>
        </w:rPr>
        <w:t>§3.10 Validity and Reliability Considerations</w:t>
      </w:r>
      <w:r>
        <w:t xml:space="preserve"> — the section §3.14’s summary already claimed existed.</w:t>
      </w:r>
    </w:p>
    <w:p w14:paraId="3D3EF391" w14:textId="77777777" w:rsidR="00126E05" w:rsidRDefault="00AF07D1">
      <w:pPr>
        <w:pStyle w:val="Compact"/>
        <w:numPr>
          <w:ilvl w:val="0"/>
          <w:numId w:val="4"/>
        </w:numPr>
      </w:pPr>
      <w:r>
        <w:rPr>
          <w:b/>
          <w:bCs/>
        </w:rPr>
        <w:t>§3.8.4 Pre-Test Data Screening</w:t>
      </w:r>
      <w:r>
        <w:t xml:space="preserve"> — variance check, discordance census, marginal reconciliation. Derived from the three residual failures; all three would have been caught before reaching the results chapter.</w:t>
      </w:r>
    </w:p>
    <w:p w14:paraId="3312E7CE" w14:textId="77777777" w:rsidR="00126E05" w:rsidRDefault="00AF07D1">
      <w:pPr>
        <w:pStyle w:val="Heading2"/>
      </w:pPr>
      <w:bookmarkStart w:id="12" w:name="structural-corrections"/>
      <w:bookmarkEnd w:id="11"/>
      <w:r>
        <w:t>Structural corrections</w:t>
      </w:r>
    </w:p>
    <w:p w14:paraId="7753936A" w14:textId="77777777" w:rsidR="00126E05" w:rsidRDefault="00AF07D1">
      <w:pPr>
        <w:pStyle w:val="FirstParagraph"/>
      </w:pPr>
      <w:r>
        <w:t xml:space="preserve">Tables renumbered continuously as 4.1 to 4.15 — the submitted version jumped from 4.2 to 4.13, leaving 4.3 to 4.12 non-existent while the text referenced “Table 4.3 below.” </w:t>
      </w:r>
      <w:r>
        <w:t>Sections made continuous; the submitted version ran 4.4.5 to 4.7, omitting 4.5 and 4.6. Figure captions corrected and repositioned. Future tense converted to past. Duplicate section numbering resolved.</w:t>
      </w:r>
    </w:p>
    <w:p w14:paraId="5C4B3195" w14:textId="77777777" w:rsidR="00126E05" w:rsidRDefault="00AF07D1">
      <w:r>
        <w:pict w14:anchorId="3DDD3656">
          <v:rect id="_x0000_i1028" style="width:0;height:1.5pt" o:hralign="center" o:hrstd="t" o:hr="t"/>
        </w:pict>
      </w:r>
    </w:p>
    <w:p w14:paraId="4BBA0682" w14:textId="77777777" w:rsidR="00126E05" w:rsidRDefault="00AF07D1">
      <w:pPr>
        <w:pStyle w:val="Heading1"/>
      </w:pPr>
      <w:bookmarkStart w:id="13" w:name="X5cb74a6b77e9a68d20844a33b39e0679c263bfb"/>
      <w:bookmarkEnd w:id="7"/>
      <w:bookmarkEnd w:id="12"/>
      <w:r>
        <w:t>PART 3 — WHAT THE RECOMMENDATIONS ARE MEANT TO ACHIEVE</w:t>
      </w:r>
    </w:p>
    <w:p w14:paraId="3A9879DA" w14:textId="77777777" w:rsidR="00126E05" w:rsidRDefault="00AF07D1">
      <w:pPr>
        <w:pStyle w:val="FirstParagraph"/>
      </w:pPr>
      <w:r>
        <w:t>This is the part most easily lost in a list of ten items. Each recommendation serves one of three purposes.</w:t>
      </w:r>
    </w:p>
    <w:p w14:paraId="068764C2" w14:textId="77777777" w:rsidR="00126E05" w:rsidRDefault="00AF07D1">
      <w:pPr>
        <w:pStyle w:val="Heading2"/>
      </w:pPr>
      <w:bookmarkStart w:id="14" w:name="X47b1aead15a20f587653773e2655b123178a2cc"/>
      <w:r>
        <w:t>Purpose 1 — Convert a contradiction into a finding</w:t>
      </w:r>
    </w:p>
    <w:p w14:paraId="133121AC" w14:textId="77777777" w:rsidR="00126E05" w:rsidRDefault="00AF07D1">
      <w:pPr>
        <w:pStyle w:val="FirstParagraph"/>
      </w:pPr>
      <w:r>
        <w:t xml:space="preserve">Three of the pending items are not about fixing errors but about </w:t>
      </w:r>
      <w:r>
        <w:rPr>
          <w:b/>
          <w:bCs/>
        </w:rPr>
        <w:t>recovering results that already exist in the data</w:t>
      </w:r>
      <w:r>
        <w:t>.</w:t>
      </w:r>
    </w:p>
    <w:p w14:paraId="5EE589FE" w14:textId="77777777" w:rsidR="00126E05" w:rsidRDefault="00AF07D1">
      <w:pPr>
        <w:pStyle w:val="BodyText"/>
      </w:pPr>
      <w:r>
        <w:rPr>
          <w:b/>
          <w:bCs/>
        </w:rPr>
        <w:t>R2 (H₁)</w:t>
      </w:r>
      <w:r>
        <w:t xml:space="preserve"> is the clearest case. The bounded analysis already proves that the detection advantage is overwhelming — no arrangement of discordant cells could overturn it. The confirmatory test is not expected to discover anything; it is expected to document what the marginals already force. The recommendation exists to convert a visible contradiction into the dissertation’s strongest finding.</w:t>
      </w:r>
    </w:p>
    <w:p w14:paraId="26EBAC31" w14:textId="77777777" w:rsidR="00126E05" w:rsidRDefault="00AF07D1">
      <w:pPr>
        <w:pStyle w:val="BodyText"/>
      </w:pPr>
      <w:r>
        <w:rPr>
          <w:b/>
          <w:bCs/>
        </w:rPr>
        <w:t>R5 (H₃)</w:t>
      </w:r>
      <w:r>
        <w:t xml:space="preserve"> </w:t>
      </w:r>
      <w:r>
        <w:t xml:space="preserve">is similar but better. The descriptive data show five models faster than the relay’s 10 ms, four by roughly an order of magnitude. The test will probably </w:t>
      </w:r>
      <w:r>
        <w:rPr>
          <w:b/>
          <w:bCs/>
        </w:rPr>
        <w:t>support</w:t>
      </w:r>
      <w:r>
        <w:t xml:space="preserve"> the hypothesis for ANN, Decision Tree, RNN, SVM and the hybrid PINN, and refute it for k-NN, CNN and LSTM. A split result is stronger than a blanket claim — it says the latency cost of machine learning is architecture-dependent, and the architectures fast enough to beat a relay are the simple ones.</w:t>
      </w:r>
    </w:p>
    <w:p w14:paraId="3A39A240" w14:textId="77777777" w:rsidR="00126E05" w:rsidRDefault="00AF07D1">
      <w:pPr>
        <w:pStyle w:val="BodyText"/>
      </w:pPr>
      <w:r>
        <w:rPr>
          <w:b/>
          <w:bCs/>
        </w:rPr>
        <w:lastRenderedPageBreak/>
        <w:t>R3 (H₅)</w:t>
      </w:r>
      <w:r>
        <w:t xml:space="preserve"> </w:t>
      </w:r>
      <w:r>
        <w:t>may recover a result that existed earlier. An earlier draft reported location MAE ordering from 3.5% for the relay down to 0.26% for the hybrid, which suggests real variation was present at some stage in the pipeline.</w:t>
      </w:r>
    </w:p>
    <w:p w14:paraId="501251E8" w14:textId="77777777" w:rsidR="00126E05" w:rsidRDefault="00AF07D1">
      <w:pPr>
        <w:pStyle w:val="Heading2"/>
      </w:pPr>
      <w:bookmarkStart w:id="15" w:name="X23c0a2b647a5a1d5a53c815b1ac651c6518464b"/>
      <w:bookmarkEnd w:id="14"/>
      <w:r>
        <w:t>Purpose 2 — Protect results that are already sound</w:t>
      </w:r>
    </w:p>
    <w:p w14:paraId="69DD1742" w14:textId="77777777" w:rsidR="00126E05" w:rsidRDefault="00AF07D1">
      <w:pPr>
        <w:pStyle w:val="FirstParagraph"/>
      </w:pPr>
      <w:r>
        <w:t>Two items exist purely to defend findings that are currently solid.</w:t>
      </w:r>
    </w:p>
    <w:p w14:paraId="61D220FB" w14:textId="77777777" w:rsidR="00126E05" w:rsidRDefault="00AF07D1">
      <w:pPr>
        <w:pStyle w:val="BodyText"/>
      </w:pPr>
      <w:r>
        <w:rPr>
          <w:b/>
          <w:bCs/>
        </w:rPr>
        <w:t>R9 (split evidence)</w:t>
      </w:r>
      <w:r>
        <w:t xml:space="preserve"> </w:t>
      </w:r>
      <w:r>
        <w:t>protects every accuracy figure in the dissertation. Leakage protection that is described in the methodology but not demonstrated in the results is the single most common challenge to any reported accuracy above 95%. One day of fold-composition reporting closes it permanently.</w:t>
      </w:r>
    </w:p>
    <w:p w14:paraId="55482D80" w14:textId="77777777" w:rsidR="00126E05" w:rsidRDefault="00AF07D1">
      <w:pPr>
        <w:pStyle w:val="BodyText"/>
      </w:pPr>
      <w:r>
        <w:rPr>
          <w:b/>
          <w:bCs/>
        </w:rPr>
        <w:t>R7 (dispersion)</w:t>
      </w:r>
      <w:r>
        <w:t xml:space="preserve"> closes a visible inconsistency: the noise sweep tables correctly report mean ± SD while the main performance table reports point estimates alone, against the study’s own stated reporting standard.</w:t>
      </w:r>
    </w:p>
    <w:p w14:paraId="4D066C0E" w14:textId="77777777" w:rsidR="00126E05" w:rsidRDefault="00AF07D1">
      <w:pPr>
        <w:pStyle w:val="Heading2"/>
      </w:pPr>
      <w:bookmarkStart w:id="16" w:name="purpose-3-bound-what-the-study-claims"/>
      <w:bookmarkEnd w:id="15"/>
      <w:r>
        <w:t>Purpose 3 — Bound what the study claims</w:t>
      </w:r>
    </w:p>
    <w:p w14:paraId="0A6C25CA" w14:textId="77777777" w:rsidR="00126E05" w:rsidRDefault="00AF07D1">
      <w:pPr>
        <w:pStyle w:val="FirstParagraph"/>
      </w:pPr>
      <w:r>
        <w:t>Two items are about honest scoping rather than repair.</w:t>
      </w:r>
    </w:p>
    <w:p w14:paraId="71F25B8B" w14:textId="77777777" w:rsidR="00126E05" w:rsidRDefault="00AF07D1">
      <w:pPr>
        <w:pStyle w:val="BodyText"/>
      </w:pPr>
      <w:r>
        <w:rPr>
          <w:b/>
          <w:bCs/>
        </w:rPr>
        <w:t>R1 (line parameters)</w:t>
      </w:r>
      <w:r>
        <w:t xml:space="preserve"> does not invalidate the comparison between methods — all models saw identical data, so any systematic property applies equally. It bounds the claims: the study can assert </w:t>
      </w:r>
      <w:r>
        <w:rPr>
          <w:i/>
          <w:iCs/>
        </w:rPr>
        <w:t>“LSTM is more robust than Decision Tree”</w:t>
      </w:r>
      <w:r>
        <w:t xml:space="preserve"> but not </w:t>
      </w:r>
      <w:r>
        <w:rPr>
          <w:i/>
          <w:iCs/>
        </w:rPr>
        <w:t>“LSTM achieves 76.6% accuracy.”</w:t>
      </w:r>
      <w:r>
        <w:t xml:space="preserve"> Chapter Five must therefore be written comparatively rather than absolutely.</w:t>
      </w:r>
    </w:p>
    <w:p w14:paraId="79AEE74B" w14:textId="77777777" w:rsidR="00126E05" w:rsidRDefault="00AF07D1">
      <w:pPr>
        <w:pStyle w:val="BodyText"/>
      </w:pPr>
      <w:r>
        <w:rPr>
          <w:b/>
          <w:bCs/>
        </w:rPr>
        <w:t>R4, R8, R10</w:t>
      </w:r>
      <w:r>
        <w:t xml:space="preserve"> </w:t>
      </w:r>
      <w:r>
        <w:t>are unfinished writing rather than limitations. Each is between half a day and two days, and declaring any of them would announce a gap rather than close one.</w:t>
      </w:r>
    </w:p>
    <w:p w14:paraId="45EC1591" w14:textId="77777777" w:rsidR="00126E05" w:rsidRDefault="00AF07D1">
      <w:r>
        <w:pict w14:anchorId="6A7A5981">
          <v:rect id="_x0000_i1029" style="width:0;height:1.5pt" o:hralign="center" o:hrstd="t" o:hr="t"/>
        </w:pict>
      </w:r>
    </w:p>
    <w:p w14:paraId="0D04361E" w14:textId="77777777" w:rsidR="00126E05" w:rsidRDefault="00AF07D1">
      <w:pPr>
        <w:pStyle w:val="Heading1"/>
      </w:pPr>
      <w:bookmarkStart w:id="17" w:name="part-4-how-to-apply-them"/>
      <w:bookmarkEnd w:id="13"/>
      <w:bookmarkEnd w:id="16"/>
      <w:r>
        <w:t>PART 4 — HOW TO APPLY THEM</w:t>
      </w:r>
    </w:p>
    <w:p w14:paraId="759CD996" w14:textId="77777777" w:rsidR="00126E05" w:rsidRDefault="00AF07D1">
      <w:pPr>
        <w:pStyle w:val="Heading2"/>
      </w:pPr>
      <w:bookmarkStart w:id="18" w:name="the-question-that-determines-everything"/>
      <w:r>
        <w:t>The question that determines everything</w:t>
      </w:r>
    </w:p>
    <w:p w14:paraId="1D5454A4" w14:textId="77777777" w:rsidR="00126E05" w:rsidRDefault="00AF07D1">
      <w:pPr>
        <w:pStyle w:val="FirstParagraph"/>
      </w:pPr>
      <w:r>
        <w:t>Before planning anything else:</w:t>
      </w:r>
    </w:p>
    <w:p w14:paraId="473FE8E0" w14:textId="77777777" w:rsidR="00126E05" w:rsidRDefault="00AF07D1">
      <w:pPr>
        <w:pStyle w:val="BlockText"/>
      </w:pPr>
      <w:r>
        <w:rPr>
          <w:b/>
          <w:bCs/>
        </w:rPr>
        <w:t>Does a per-scenario results file exist — one row per held-out scenario, carrying the scenario identifier, the true label, and each model’s prediction?</w:t>
      </w:r>
    </w:p>
    <w:p w14:paraId="79D5B648" w14:textId="77777777" w:rsidR="00126E05" w:rsidRDefault="00AF07D1">
      <w:pPr>
        <w:pStyle w:val="Compact"/>
        <w:numPr>
          <w:ilvl w:val="0"/>
          <w:numId w:val="5"/>
        </w:numPr>
      </w:pPr>
      <w:r>
        <w:rPr>
          <w:b/>
          <w:bCs/>
        </w:rPr>
        <w:t>If yes</w:t>
      </w:r>
      <w:r>
        <w:t xml:space="preserve"> — R2, R3, R5, R6, R7 and R9 all close from that one file. Roughly two weeks.</w:t>
      </w:r>
    </w:p>
    <w:p w14:paraId="16BEF15A" w14:textId="77777777" w:rsidR="00126E05" w:rsidRDefault="00AF07D1">
      <w:pPr>
        <w:pStyle w:val="Compact"/>
        <w:numPr>
          <w:ilvl w:val="0"/>
          <w:numId w:val="5"/>
        </w:numPr>
      </w:pPr>
      <w:r>
        <w:rPr>
          <w:b/>
          <w:bCs/>
        </w:rPr>
        <w:t>If no</w:t>
      </w:r>
      <w:r>
        <w:t xml:space="preserve"> </w:t>
      </w:r>
      <w:r>
        <w:t>— the models must be re-run with per-scenario logging before anything else can proceed. Add three to four weeks.</w:t>
      </w:r>
    </w:p>
    <w:p w14:paraId="363DD3A7" w14:textId="77777777" w:rsidR="00126E05" w:rsidRDefault="00AF07D1">
      <w:pPr>
        <w:pStyle w:val="Heading2"/>
      </w:pPr>
      <w:bookmarkStart w:id="19" w:name="working-sequence"/>
      <w:bookmarkEnd w:id="18"/>
      <w:r>
        <w:t>Working sequence</w:t>
      </w:r>
    </w:p>
    <w:p w14:paraId="7CED6BDB" w14:textId="77777777" w:rsidR="00126E05" w:rsidRDefault="00AF07D1">
      <w:pPr>
        <w:pStyle w:val="FirstParagraph"/>
      </w:pPr>
      <w:r>
        <w:rPr>
          <w:b/>
          <w:bCs/>
        </w:rPr>
        <w:t>Week 1 — the two blocking items</w:t>
      </w:r>
    </w:p>
    <w:p w14:paraId="3B4FA79F" w14:textId="77777777" w:rsidR="00126E05" w:rsidRDefault="00AF07D1">
      <w:pPr>
        <w:pStyle w:val="BodyText"/>
      </w:pPr>
      <w:r>
        <w:lastRenderedPageBreak/>
        <w:t xml:space="preserve">Start with R2. Open the file feeding the McNemar routine and print the first twenty rows of the relay column alongside the ground-truth column and one model column. Compute accuracy directly from the relay column; </w:t>
      </w:r>
      <w:r>
        <w:rPr>
          <w:b/>
          <w:bCs/>
        </w:rPr>
        <w:t>it must equal 0.6000.</w:t>
      </w:r>
      <w:r>
        <w:t xml:space="preserve"> </w:t>
      </w:r>
      <w:r>
        <w:t>If it returns 1.0000 the column holds labels; if it matches a model’s accuracy exactly it is a duplicate. Trace back to where it is populated — in the corrected Chapter Three that is the detection logic of §3.9.4. Re-run McNemar with Holm correction and report the 2×2 discordance table.</w:t>
      </w:r>
    </w:p>
    <w:p w14:paraId="79DE4A5C" w14:textId="77777777" w:rsidR="00126E05" w:rsidRDefault="00AF07D1">
      <w:pPr>
        <w:pStyle w:val="BodyText"/>
      </w:pPr>
      <w:r>
        <w:t>Then R3. Print raw per-scenario location predictions for two models side by side at one fault location; twenty rows is enough. Identical columns mean the location head is outputting a constant or one column was duplicated across models. Differing columns mean the defect is in the analysis routine.</w:t>
      </w:r>
    </w:p>
    <w:p w14:paraId="5FD7B630" w14:textId="77777777" w:rsidR="00126E05" w:rsidRDefault="00AF07D1">
      <w:pPr>
        <w:pStyle w:val="BodyText"/>
      </w:pPr>
      <w:r>
        <w:rPr>
          <w:b/>
          <w:bCs/>
        </w:rPr>
        <w:t>Week 2 — the remaining debugging and reporting items</w:t>
      </w:r>
    </w:p>
    <w:p w14:paraId="7175388F" w14:textId="77777777" w:rsidR="00126E05" w:rsidRDefault="00AF07D1">
      <w:pPr>
        <w:pStyle w:val="BodyText"/>
      </w:pPr>
      <w:r>
        <w:t>R5 (add relay rows to the Wilcoxon analysis), R6 (regenerate the performance table), R7 (add dispersion), R9 (report fold composition), R4 (enumerate features), R8 (regenerate TOST numerical output). All six draw on the same file and none is individually difficult.</w:t>
      </w:r>
    </w:p>
    <w:p w14:paraId="3907C015" w14:textId="77777777" w:rsidR="00126E05" w:rsidRDefault="00AF07D1">
      <w:pPr>
        <w:pStyle w:val="BodyText"/>
      </w:pPr>
      <w:r>
        <w:rPr>
          <w:b/>
          <w:bCs/>
        </w:rPr>
        <w:t>Weeks 3 to 5 — re-simulation, which can start in parallel</w:t>
      </w:r>
    </w:p>
    <w:p w14:paraId="7960C276" w14:textId="77777777" w:rsidR="00126E05" w:rsidRDefault="00AF07D1">
      <w:pPr>
        <w:pStyle w:val="BodyText"/>
      </w:pPr>
      <w:r>
        <w:t>R1 does not depend on any debugging task. Correcting the Simulink parameters can begin in Week 1 alongside everything else, which recovers roughly two weeks. Verify against the two cross-checks already written into §3.3.1: line charging near 30.9 MVAr and fault current near 10.76 kA.</w:t>
      </w:r>
    </w:p>
    <w:p w14:paraId="10112B19" w14:textId="77777777" w:rsidR="00126E05" w:rsidRDefault="00AF07D1">
      <w:pPr>
        <w:pStyle w:val="BodyText"/>
      </w:pPr>
      <w:r>
        <w:rPr>
          <w:b/>
          <w:bCs/>
        </w:rPr>
        <w:t>Week 6 — writing</w:t>
      </w:r>
    </w:p>
    <w:p w14:paraId="7DAF05DE" w14:textId="77777777" w:rsidR="00126E05" w:rsidRDefault="00AF07D1">
      <w:pPr>
        <w:pStyle w:val="BodyText"/>
      </w:pPr>
      <w:r>
        <w:t>R10 (waveform discussion), Chapter Five rewritten against the corrected findings, final consistency pass.</w:t>
      </w:r>
    </w:p>
    <w:p w14:paraId="3E8100CC" w14:textId="77777777" w:rsidR="00126E05" w:rsidRDefault="00AF07D1">
      <w:pPr>
        <w:pStyle w:val="Heading2"/>
      </w:pPr>
      <w:bookmarkStart w:id="20" w:name="two-practices-worth-adopting-permanently"/>
      <w:bookmarkEnd w:id="19"/>
      <w:r>
        <w:t>Two practices worth adopting permanently</w:t>
      </w:r>
    </w:p>
    <w:p w14:paraId="7608625B" w14:textId="77777777" w:rsidR="00126E05" w:rsidRDefault="00AF07D1">
      <w:pPr>
        <w:pStyle w:val="FirstParagraph"/>
      </w:pPr>
      <w:r>
        <w:rPr>
          <w:b/>
          <w:bCs/>
        </w:rPr>
        <w:t>Every number in the results chapter must be traceable to a line of code that can be re-run on demand.</w:t>
      </w:r>
      <w:r>
        <w:t xml:space="preserve"> If it cannot be regenerated, it does not go in the chapter. This is also the standard a viva applies.</w:t>
      </w:r>
    </w:p>
    <w:p w14:paraId="3AB22B81" w14:textId="77777777" w:rsidR="00126E05" w:rsidRDefault="00AF07D1">
      <w:pPr>
        <w:pStyle w:val="BodyText"/>
      </w:pPr>
      <w:r>
        <w:rPr>
          <w:b/>
          <w:bCs/>
        </w:rPr>
        <w:t>Run §3.8.4’s screens before any test, not after.</w:t>
      </w:r>
      <w:r>
        <w:t xml:space="preserve"> Variance check, discordance census, marginal reconciliation. All three of the residual defects would have been caught before reaching the results chapter. This is the practice that turns the whole episode into methodology.</w:t>
      </w:r>
    </w:p>
    <w:p w14:paraId="603BC3CF" w14:textId="77777777" w:rsidR="00126E05" w:rsidRDefault="00AF07D1">
      <w:r>
        <w:pict w14:anchorId="72C8A904">
          <v:rect id="_x0000_i1030" style="width:0;height:1.5pt" o:hralign="center" o:hrstd="t" o:hr="t"/>
        </w:pict>
      </w:r>
    </w:p>
    <w:p w14:paraId="6FD3D522" w14:textId="77777777" w:rsidR="00126E05" w:rsidRDefault="00AF07D1">
      <w:pPr>
        <w:pStyle w:val="Heading1"/>
      </w:pPr>
      <w:bookmarkStart w:id="21" w:name="part-5-how-to-declare-pending-items"/>
      <w:bookmarkEnd w:id="17"/>
      <w:bookmarkEnd w:id="20"/>
      <w:r>
        <w:t>PART 5 — HOW TO DECLARE PENDING ITEMS</w:t>
      </w:r>
    </w:p>
    <w:p w14:paraId="2CA459A3" w14:textId="77777777" w:rsidR="00126E05" w:rsidRDefault="00AF07D1">
      <w:pPr>
        <w:pStyle w:val="Heading2"/>
      </w:pPr>
      <w:bookmarkStart w:id="22" w:name="the-distinction-examiners-make"/>
      <w:r>
        <w:t>The distinction examiners make</w:t>
      </w:r>
    </w:p>
    <w:p w14:paraId="380F856D" w14:textId="77777777" w:rsidR="00126E05" w:rsidRDefault="00AF07D1">
      <w:pPr>
        <w:pStyle w:val="FirstParagraph"/>
      </w:pPr>
      <w:r>
        <w:t>Four things get collapsed into the word “limitation.” Only two can be declared.</w:t>
      </w:r>
    </w:p>
    <w:tbl>
      <w:tblPr>
        <w:tblStyle w:val="Table"/>
        <w:tblW w:w="5000" w:type="pct"/>
        <w:tblLook w:val="0020" w:firstRow="1" w:lastRow="0" w:firstColumn="0" w:lastColumn="0" w:noHBand="0" w:noVBand="0"/>
      </w:tblPr>
      <w:tblGrid>
        <w:gridCol w:w="2051"/>
        <w:gridCol w:w="3694"/>
        <w:gridCol w:w="3615"/>
      </w:tblGrid>
      <w:tr w:rsidR="00126E05" w14:paraId="33DE46D7" w14:textId="77777777" w:rsidTr="0012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467E7DD0" w14:textId="77777777" w:rsidR="00126E05" w:rsidRDefault="00AF07D1">
            <w:pPr>
              <w:pStyle w:val="Compact"/>
            </w:pPr>
            <w:r>
              <w:lastRenderedPageBreak/>
              <w:t>Category</w:t>
            </w:r>
          </w:p>
        </w:tc>
        <w:tc>
          <w:tcPr>
            <w:tcW w:w="0" w:type="auto"/>
          </w:tcPr>
          <w:p w14:paraId="7DAD7EE2" w14:textId="77777777" w:rsidR="00126E05" w:rsidRDefault="00AF07D1">
            <w:pPr>
              <w:pStyle w:val="Compact"/>
            </w:pPr>
            <w:r>
              <w:t>Definition</w:t>
            </w:r>
          </w:p>
        </w:tc>
        <w:tc>
          <w:tcPr>
            <w:tcW w:w="0" w:type="auto"/>
          </w:tcPr>
          <w:p w14:paraId="03E99AA4" w14:textId="77777777" w:rsidR="00126E05" w:rsidRDefault="00AF07D1">
            <w:pPr>
              <w:pStyle w:val="Compact"/>
            </w:pPr>
            <w:r>
              <w:t>Declarable?</w:t>
            </w:r>
          </w:p>
        </w:tc>
      </w:tr>
      <w:tr w:rsidR="00126E05" w14:paraId="1E1330E5" w14:textId="77777777">
        <w:tc>
          <w:tcPr>
            <w:tcW w:w="0" w:type="auto"/>
          </w:tcPr>
          <w:p w14:paraId="715087F6" w14:textId="77777777" w:rsidR="00126E05" w:rsidRDefault="00AF07D1">
            <w:pPr>
              <w:pStyle w:val="Compact"/>
            </w:pPr>
            <w:r>
              <w:rPr>
                <w:b/>
                <w:bCs/>
              </w:rPr>
              <w:t>Scope limitation</w:t>
            </w:r>
          </w:p>
        </w:tc>
        <w:tc>
          <w:tcPr>
            <w:tcW w:w="0" w:type="auto"/>
          </w:tcPr>
          <w:p w14:paraId="397CCAC0" w14:textId="77777777" w:rsidR="00126E05" w:rsidRDefault="00AF07D1">
            <w:pPr>
              <w:pStyle w:val="Compact"/>
            </w:pPr>
            <w:r>
              <w:t>The study did not investigate X</w:t>
            </w:r>
          </w:p>
        </w:tc>
        <w:tc>
          <w:tcPr>
            <w:tcW w:w="0" w:type="auto"/>
          </w:tcPr>
          <w:p w14:paraId="037AEE43" w14:textId="77777777" w:rsidR="00126E05" w:rsidRDefault="00AF07D1">
            <w:pPr>
              <w:pStyle w:val="Compact"/>
            </w:pPr>
            <w:r>
              <w:rPr>
                <w:b/>
                <w:bCs/>
              </w:rPr>
              <w:t>Yes</w:t>
            </w:r>
            <w:r>
              <w:t xml:space="preserve"> — if disclosed before the results, not after</w:t>
            </w:r>
          </w:p>
        </w:tc>
      </w:tr>
      <w:tr w:rsidR="00126E05" w14:paraId="5FF9E3EF" w14:textId="77777777">
        <w:tc>
          <w:tcPr>
            <w:tcW w:w="0" w:type="auto"/>
          </w:tcPr>
          <w:p w14:paraId="61478FA4" w14:textId="77777777" w:rsidR="00126E05" w:rsidRDefault="00AF07D1">
            <w:pPr>
              <w:pStyle w:val="Compact"/>
            </w:pPr>
            <w:r>
              <w:rPr>
                <w:b/>
                <w:bCs/>
              </w:rPr>
              <w:t>Inconclusive result</w:t>
            </w:r>
          </w:p>
        </w:tc>
        <w:tc>
          <w:tcPr>
            <w:tcW w:w="0" w:type="auto"/>
          </w:tcPr>
          <w:p w14:paraId="115E673D" w14:textId="77777777" w:rsidR="00126E05" w:rsidRDefault="00AF07D1">
            <w:pPr>
              <w:pStyle w:val="Compact"/>
            </w:pPr>
            <w:r>
              <w:t>X was tested correctly; evidence did not settle it</w:t>
            </w:r>
          </w:p>
        </w:tc>
        <w:tc>
          <w:tcPr>
            <w:tcW w:w="0" w:type="auto"/>
          </w:tcPr>
          <w:p w14:paraId="6DAB4EC6" w14:textId="77777777" w:rsidR="00126E05" w:rsidRDefault="00AF07D1">
            <w:pPr>
              <w:pStyle w:val="Compact"/>
            </w:pPr>
            <w:r>
              <w:rPr>
                <w:b/>
                <w:bCs/>
              </w:rPr>
              <w:t>Yes</w:t>
            </w:r>
            <w:r>
              <w:t xml:space="preserve"> — and often respected</w:t>
            </w:r>
          </w:p>
        </w:tc>
      </w:tr>
      <w:tr w:rsidR="00126E05" w14:paraId="2858B0D4" w14:textId="77777777">
        <w:tc>
          <w:tcPr>
            <w:tcW w:w="0" w:type="auto"/>
          </w:tcPr>
          <w:p w14:paraId="10AA3825" w14:textId="77777777" w:rsidR="00126E05" w:rsidRDefault="00AF07D1">
            <w:pPr>
              <w:pStyle w:val="Compact"/>
            </w:pPr>
            <w:r>
              <w:rPr>
                <w:b/>
                <w:bCs/>
              </w:rPr>
              <w:t>Failed analysis</w:t>
            </w:r>
          </w:p>
        </w:tc>
        <w:tc>
          <w:tcPr>
            <w:tcW w:w="0" w:type="auto"/>
          </w:tcPr>
          <w:p w14:paraId="6D38A1A1" w14:textId="77777777" w:rsidR="00126E05" w:rsidRDefault="00AF07D1">
            <w:pPr>
              <w:pStyle w:val="Compact"/>
            </w:pPr>
            <w:r>
              <w:t>X was tested; the output is invalid</w:t>
            </w:r>
          </w:p>
        </w:tc>
        <w:tc>
          <w:tcPr>
            <w:tcW w:w="0" w:type="auto"/>
          </w:tcPr>
          <w:p w14:paraId="309D948D" w14:textId="77777777" w:rsidR="00126E05" w:rsidRDefault="00AF07D1">
            <w:pPr>
              <w:pStyle w:val="Compact"/>
            </w:pPr>
            <w:r>
              <w:rPr>
                <w:b/>
                <w:bCs/>
              </w:rPr>
              <w:t>No</w:t>
            </w:r>
            <w:r>
              <w:t xml:space="preserve"> — withdraw or repair</w:t>
            </w:r>
          </w:p>
        </w:tc>
      </w:tr>
      <w:tr w:rsidR="00126E05" w14:paraId="444AC286" w14:textId="77777777">
        <w:tc>
          <w:tcPr>
            <w:tcW w:w="0" w:type="auto"/>
          </w:tcPr>
          <w:p w14:paraId="6D84730E" w14:textId="77777777" w:rsidR="00126E05" w:rsidRDefault="00AF07D1">
            <w:pPr>
              <w:pStyle w:val="Compact"/>
            </w:pPr>
            <w:r>
              <w:rPr>
                <w:b/>
                <w:bCs/>
              </w:rPr>
              <w:t>Error</w:t>
            </w:r>
          </w:p>
        </w:tc>
        <w:tc>
          <w:tcPr>
            <w:tcW w:w="0" w:type="auto"/>
          </w:tcPr>
          <w:p w14:paraId="0D3EC937" w14:textId="77777777" w:rsidR="00126E05" w:rsidRDefault="00AF07D1">
            <w:pPr>
              <w:pStyle w:val="Compact"/>
            </w:pPr>
            <w:r>
              <w:t>A reported value is wrong</w:t>
            </w:r>
          </w:p>
        </w:tc>
        <w:tc>
          <w:tcPr>
            <w:tcW w:w="0" w:type="auto"/>
          </w:tcPr>
          <w:p w14:paraId="3CB9F076" w14:textId="77777777" w:rsidR="00126E05" w:rsidRDefault="00AF07D1">
            <w:pPr>
              <w:pStyle w:val="Compact"/>
            </w:pPr>
            <w:r>
              <w:rPr>
                <w:b/>
                <w:bCs/>
              </w:rPr>
              <w:t>No</w:t>
            </w:r>
            <w:r>
              <w:t xml:space="preserve"> </w:t>
            </w:r>
            <w:r>
              <w:t>— correct or remove</w:t>
            </w:r>
          </w:p>
        </w:tc>
      </w:tr>
    </w:tbl>
    <w:p w14:paraId="0315587D" w14:textId="77777777" w:rsidR="00126E05" w:rsidRDefault="00AF07D1">
      <w:pPr>
        <w:pStyle w:val="BodyText"/>
      </w:pPr>
      <w:r>
        <w:t>The test to apply to each item:</w:t>
      </w:r>
    </w:p>
    <w:p w14:paraId="64F063A9" w14:textId="77777777" w:rsidR="00126E05" w:rsidRDefault="00AF07D1">
      <w:pPr>
        <w:pStyle w:val="BlockText"/>
      </w:pPr>
      <w:r>
        <w:rPr>
          <w:b/>
          <w:bCs/>
        </w:rPr>
        <w:t>Did the procedure run correctly and produce a result you are entitled to interpret?</w:t>
      </w:r>
    </w:p>
    <w:p w14:paraId="752C49B2" w14:textId="77777777" w:rsidR="00126E05" w:rsidRDefault="00AF07D1">
      <w:pPr>
        <w:pStyle w:val="BlockText"/>
      </w:pPr>
      <w:r>
        <w:t xml:space="preserve">If yes, and the result is weak or null — that is inconclusive, and it should be declared. If no — the output is not a result. It cannot be declared inconclusive, because there is nothing to be inconclusive </w:t>
      </w:r>
      <w:r>
        <w:rPr>
          <w:i/>
          <w:iCs/>
        </w:rPr>
        <w:t>about</w:t>
      </w:r>
      <w:r>
        <w:t>.</w:t>
      </w:r>
    </w:p>
    <w:p w14:paraId="3F1439CF" w14:textId="77777777" w:rsidR="00126E05" w:rsidRDefault="00AF07D1">
      <w:pPr>
        <w:pStyle w:val="FirstParagraph"/>
      </w:pPr>
      <w:r>
        <w:t xml:space="preserve">Calling a failed analysis “inconclusive” </w:t>
      </w:r>
      <w:r>
        <w:t>states that a test was performed which did not settle the question, when no valid test was performed. An examiner who reconstructs the analysis will find it, and that finding is worse than the original defect — the defect was an accident, the declaration was a choice.</w:t>
      </w:r>
    </w:p>
    <w:p w14:paraId="05FA95B1" w14:textId="77777777" w:rsidR="00126E05" w:rsidRDefault="00AF07D1">
      <w:pPr>
        <w:pStyle w:val="Heading2"/>
      </w:pPr>
      <w:bookmarkStart w:id="23" w:name="three-items-that-cannot-be-declared"/>
      <w:bookmarkEnd w:id="22"/>
      <w:r>
        <w:t>Three items that cannot be declared</w:t>
      </w:r>
    </w:p>
    <w:tbl>
      <w:tblPr>
        <w:tblStyle w:val="Table"/>
        <w:tblW w:w="5000" w:type="pct"/>
        <w:tblLook w:val="0020" w:firstRow="1" w:lastRow="0" w:firstColumn="0" w:lastColumn="0" w:noHBand="0" w:noVBand="0"/>
      </w:tblPr>
      <w:tblGrid>
        <w:gridCol w:w="1620"/>
        <w:gridCol w:w="893"/>
        <w:gridCol w:w="6847"/>
      </w:tblGrid>
      <w:tr w:rsidR="00126E05" w14:paraId="5B8C92D9" w14:textId="77777777" w:rsidTr="0012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794D5275" w14:textId="77777777" w:rsidR="00126E05" w:rsidRDefault="00AF07D1">
            <w:pPr>
              <w:pStyle w:val="Compact"/>
            </w:pPr>
            <w:r>
              <w:t>Item</w:t>
            </w:r>
          </w:p>
        </w:tc>
        <w:tc>
          <w:tcPr>
            <w:tcW w:w="0" w:type="auto"/>
          </w:tcPr>
          <w:p w14:paraId="26614452" w14:textId="77777777" w:rsidR="00126E05" w:rsidRDefault="00AF07D1">
            <w:pPr>
              <w:pStyle w:val="Compact"/>
            </w:pPr>
            <w:r>
              <w:t>Effort</w:t>
            </w:r>
          </w:p>
        </w:tc>
        <w:tc>
          <w:tcPr>
            <w:tcW w:w="0" w:type="auto"/>
          </w:tcPr>
          <w:p w14:paraId="7C86D454" w14:textId="77777777" w:rsidR="00126E05" w:rsidRDefault="00AF07D1">
            <w:pPr>
              <w:pStyle w:val="Compact"/>
            </w:pPr>
            <w:r>
              <w:t>Why not declarable</w:t>
            </w:r>
          </w:p>
        </w:tc>
      </w:tr>
      <w:tr w:rsidR="00126E05" w14:paraId="31FEF194" w14:textId="77777777">
        <w:tc>
          <w:tcPr>
            <w:tcW w:w="0" w:type="auto"/>
          </w:tcPr>
          <w:p w14:paraId="3AEA843F" w14:textId="77777777" w:rsidR="00126E05" w:rsidRDefault="00AF07D1">
            <w:pPr>
              <w:pStyle w:val="Compact"/>
            </w:pPr>
            <w:r>
              <w:rPr>
                <w:b/>
                <w:bCs/>
              </w:rPr>
              <w:t>R2</w:t>
            </w:r>
            <w:r>
              <w:t xml:space="preserve"> H₁ relay vector</w:t>
            </w:r>
          </w:p>
        </w:tc>
        <w:tc>
          <w:tcPr>
            <w:tcW w:w="0" w:type="auto"/>
          </w:tcPr>
          <w:p w14:paraId="51E03090" w14:textId="77777777" w:rsidR="00126E05" w:rsidRDefault="00AF07D1">
            <w:pPr>
              <w:pStyle w:val="Compact"/>
            </w:pPr>
            <w:r>
              <w:t>1–2 days</w:t>
            </w:r>
          </w:p>
        </w:tc>
        <w:tc>
          <w:tcPr>
            <w:tcW w:w="0" w:type="auto"/>
          </w:tcPr>
          <w:p w14:paraId="20B3EFB0" w14:textId="77777777" w:rsidR="00126E05" w:rsidRDefault="00AF07D1">
            <w:pPr>
              <w:pStyle w:val="Compact"/>
            </w:pPr>
            <w:r>
              <w:t>The analysis failed rather than being inconclusive, and H₁ is the thesis premise. Declaring it puts a contradiction on a single page: relay at 0.6000, models above 0.96, and a claim the comparison was unresolved</w:t>
            </w:r>
          </w:p>
        </w:tc>
      </w:tr>
      <w:tr w:rsidR="00126E05" w14:paraId="4E006B4B" w14:textId="77777777">
        <w:tc>
          <w:tcPr>
            <w:tcW w:w="0" w:type="auto"/>
          </w:tcPr>
          <w:p w14:paraId="1C868EEA" w14:textId="77777777" w:rsidR="00126E05" w:rsidRDefault="00AF07D1">
            <w:pPr>
              <w:pStyle w:val="Compact"/>
            </w:pPr>
            <w:r>
              <w:rPr>
                <w:b/>
                <w:bCs/>
              </w:rPr>
              <w:t>R6</w:t>
            </w:r>
            <w:r>
              <w:t xml:space="preserve"> Impossible values</w:t>
            </w:r>
          </w:p>
        </w:tc>
        <w:tc>
          <w:tcPr>
            <w:tcW w:w="0" w:type="auto"/>
          </w:tcPr>
          <w:p w14:paraId="712559CE" w14:textId="77777777" w:rsidR="00126E05" w:rsidRDefault="00AF07D1">
            <w:pPr>
              <w:pStyle w:val="Compact"/>
            </w:pPr>
            <w:r>
              <w:t>½ day</w:t>
            </w:r>
          </w:p>
        </w:tc>
        <w:tc>
          <w:tcPr>
            <w:tcW w:w="0" w:type="auto"/>
          </w:tcPr>
          <w:p w14:paraId="40F339E2" w14:textId="77777777" w:rsidR="00126E05" w:rsidRDefault="00AF07D1">
            <w:pPr>
              <w:pStyle w:val="Compact"/>
            </w:pPr>
            <w:r>
              <w:t>An accuracy of 0.0589 alongside F1 of 0.6705 is not an imprecise estimate but a combination no confusion matrix can produce. No wording makes it acceptable</w:t>
            </w:r>
          </w:p>
        </w:tc>
      </w:tr>
      <w:tr w:rsidR="00126E05" w14:paraId="174FBFCD" w14:textId="77777777">
        <w:tc>
          <w:tcPr>
            <w:tcW w:w="0" w:type="auto"/>
          </w:tcPr>
          <w:p w14:paraId="0120EE12" w14:textId="77777777" w:rsidR="00126E05" w:rsidRDefault="00AF07D1">
            <w:pPr>
              <w:pStyle w:val="Compact"/>
            </w:pPr>
            <w:r>
              <w:rPr>
                <w:b/>
                <w:bCs/>
              </w:rPr>
              <w:t>R9</w:t>
            </w:r>
            <w:r>
              <w:t xml:space="preserve"> Split evidence</w:t>
            </w:r>
          </w:p>
        </w:tc>
        <w:tc>
          <w:tcPr>
            <w:tcW w:w="0" w:type="auto"/>
          </w:tcPr>
          <w:p w14:paraId="6759E980" w14:textId="77777777" w:rsidR="00126E05" w:rsidRDefault="00AF07D1">
            <w:pPr>
              <w:pStyle w:val="Compact"/>
            </w:pPr>
            <w:r>
              <w:t>1 day</w:t>
            </w:r>
          </w:p>
        </w:tc>
        <w:tc>
          <w:tcPr>
            <w:tcW w:w="0" w:type="auto"/>
          </w:tcPr>
          <w:p w14:paraId="7F5FBFD8" w14:textId="77777777" w:rsidR="00126E05" w:rsidRDefault="00AF07D1">
            <w:pPr>
              <w:pStyle w:val="Compact"/>
            </w:pPr>
            <w:r>
              <w:t xml:space="preserve">Declaring it applies “treat as upper bounds” to </w:t>
            </w:r>
            <w:r>
              <w:rPr>
                <w:i/>
                <w:iCs/>
              </w:rPr>
              <w:t>every</w:t>
            </w:r>
            <w:r>
              <w:t xml:space="preserve"> </w:t>
            </w:r>
            <w:r>
              <w:t>accuracy figure, including the H₂ null finding that is currently one of the two solid results</w:t>
            </w:r>
          </w:p>
        </w:tc>
      </w:tr>
    </w:tbl>
    <w:p w14:paraId="697DD889" w14:textId="77777777" w:rsidR="00126E05" w:rsidRDefault="00AF07D1">
      <w:pPr>
        <w:pStyle w:val="BodyText"/>
      </w:pPr>
      <w:r>
        <w:rPr>
          <w:b/>
          <w:bCs/>
        </w:rPr>
        <w:t>Combined: under three days.</w:t>
      </w:r>
      <w:r>
        <w:t xml:space="preserve"> That work moves the dissertation from unlikely to pass as submitted to defensible.</w:t>
      </w:r>
    </w:p>
    <w:p w14:paraId="1BE90166" w14:textId="77777777" w:rsidR="00126E05" w:rsidRDefault="00AF07D1">
      <w:pPr>
        <w:pStyle w:val="Heading2"/>
      </w:pPr>
      <w:bookmarkStart w:id="24" w:name="Xcf78ef9f23a42ec77a984c61316979ac2a5daef"/>
      <w:bookmarkEnd w:id="23"/>
      <w:r>
        <w:t>Items that can be declared, with draft wording</w:t>
      </w:r>
    </w:p>
    <w:p w14:paraId="54E762AC" w14:textId="77777777" w:rsidR="00126E05" w:rsidRDefault="00AF07D1">
      <w:pPr>
        <w:pStyle w:val="FirstParagraph"/>
      </w:pPr>
      <w:r>
        <w:rPr>
          <w:b/>
          <w:bCs/>
        </w:rPr>
        <w:t>R1 — superseded line parameters.</w:t>
      </w:r>
      <w:r>
        <w:t xml:space="preserve"> The strongest candidate for declaration. Place in §3.15:</w:t>
      </w:r>
    </w:p>
    <w:p w14:paraId="4BC1384D" w14:textId="77777777" w:rsidR="00126E05" w:rsidRDefault="00AF07D1">
      <w:pPr>
        <w:pStyle w:val="BlockText"/>
      </w:pPr>
      <w:r>
        <w:t xml:space="preserve">The transmission line parameters presented in Table 3.2 were derived from conductor geometry and verified against independent engineering cross-checks during the final analytical phase. The simulation dataset used to generate the </w:t>
      </w:r>
      <w:r>
        <w:lastRenderedPageBreak/>
        <w:t>results in Chapter Four was produced under earlier parameter values in which the positive- and zero-sequence reactances were understated. Because all evaluated methods were trained and tested on identical data, the relative comparison between methods is unaffected: any systematic property of the dataset applies equally to every model, and the ordering of model performance is therefore preserved. The absolute magnitudes of detection accuracy, decision latency and the conventional relay baseline are condition</w:t>
      </w:r>
      <w:r>
        <w:t>al on the superseded parameters and are interpreted here as relative rather than absolute quantities.</w:t>
      </w:r>
    </w:p>
    <w:p w14:paraId="4E99B751" w14:textId="77777777" w:rsidR="00126E05" w:rsidRDefault="00AF07D1">
      <w:pPr>
        <w:pStyle w:val="FirstParagraph"/>
      </w:pPr>
      <w:r>
        <w:t>One caveat the candidate should volunteer rather than have found: the relay baseline is the exception to the ordering argument, since distance protection operates directly on impedance and may have been affected differently from the learned models.</w:t>
      </w:r>
    </w:p>
    <w:p w14:paraId="7A1A73FE" w14:textId="77777777" w:rsidR="00126E05" w:rsidRDefault="00AF07D1">
      <w:pPr>
        <w:pStyle w:val="BodyText"/>
      </w:pPr>
      <w:r>
        <w:rPr>
          <w:b/>
          <w:bCs/>
        </w:rPr>
        <w:t>R5 — H₃ not tested.</w:t>
      </w:r>
      <w:r>
        <w:t xml:space="preserve"> Declarable cleanly, since nothing invalid was reported:</w:t>
      </w:r>
    </w:p>
    <w:p w14:paraId="63E0C1BF" w14:textId="77777777" w:rsidR="00126E05" w:rsidRDefault="00AF07D1">
      <w:pPr>
        <w:pStyle w:val="BlockText"/>
      </w:pPr>
      <w:r>
        <w:t>Reporting latency was evaluated between the learned architectures but not against the conventional protection comparator. Hypothesis H₃ is therefore not tested in this study, and no claim is made regarding latency performance relative to conventional protection. The descriptive data indicate that several architectures operate below the relay’s decision latency, and formal testing of this comparison is recommended as immediate further work.</w:t>
      </w:r>
    </w:p>
    <w:p w14:paraId="40759A92" w14:textId="77777777" w:rsidR="00126E05" w:rsidRDefault="00AF07D1">
      <w:pPr>
        <w:pStyle w:val="FirstParagraph"/>
      </w:pPr>
      <w:r>
        <w:t>Note this is the item where declaring costs more than fixing — two to three days of work, and the data suggests it will support the hypothesis.</w:t>
      </w:r>
    </w:p>
    <w:p w14:paraId="7AB7B93D" w14:textId="77777777" w:rsidR="00126E05" w:rsidRDefault="00AF07D1">
      <w:pPr>
        <w:pStyle w:val="BodyText"/>
      </w:pPr>
      <w:r>
        <w:rPr>
          <w:b/>
          <w:bCs/>
        </w:rPr>
        <w:t>R3 — fault location.</w:t>
      </w:r>
      <w:r>
        <w:t xml:space="preserve"> Declarable </w:t>
      </w:r>
      <w:r>
        <w:rPr>
          <w:b/>
          <w:bCs/>
        </w:rPr>
        <w:t>only</w:t>
      </w:r>
      <w:r>
        <w:t xml:space="preserve"> if the objective is withdrawn alongside it. The tempting sentence — </w:t>
      </w:r>
      <w:r>
        <w:rPr>
          <w:i/>
          <w:iCs/>
        </w:rPr>
        <w:t>“no statistically significant difference was found between models in fault location accuracy”</w:t>
      </w:r>
      <w:r>
        <w:t xml:space="preserve"> — is false, because no valid test was performed. Preferred wording:</w:t>
      </w:r>
    </w:p>
    <w:p w14:paraId="754A5012" w14:textId="77777777" w:rsidR="00126E05" w:rsidRDefault="00AF07D1">
      <w:pPr>
        <w:pStyle w:val="BlockText"/>
      </w:pPr>
      <w:r>
        <w:t>Fault location estimation was implemented within the modelling framework but did not yield a predictor exhibiting between-model variance suitable for comparative statistical evaluation. The comparative analysis was therefore suspended under the pre-test screening criteria of Section 3.8.4. Fault location is accordingly treated as outside the evidential scope of this study and is identified as a priority for subsequent work.</w:t>
      </w:r>
    </w:p>
    <w:p w14:paraId="3EEEA692" w14:textId="77777777" w:rsidR="00126E05" w:rsidRDefault="00AF07D1">
      <w:pPr>
        <w:pStyle w:val="FirstParagraph"/>
      </w:pPr>
      <w:r>
        <w:t xml:space="preserve">If the dissertation title contains the word “location,” </w:t>
      </w:r>
      <w:r>
        <w:t>this requires a title change.</w:t>
      </w:r>
    </w:p>
    <w:p w14:paraId="6478F565" w14:textId="77777777" w:rsidR="00126E05" w:rsidRDefault="00AF07D1">
      <w:pPr>
        <w:pStyle w:val="Heading2"/>
      </w:pPr>
      <w:bookmarkStart w:id="25" w:name="where-declarations-go"/>
      <w:bookmarkEnd w:id="24"/>
      <w:r>
        <w:t>Where declarations go</w:t>
      </w:r>
    </w:p>
    <w:p w14:paraId="0F6B130A" w14:textId="77777777" w:rsidR="00126E05" w:rsidRDefault="00AF07D1">
      <w:pPr>
        <w:pStyle w:val="FirstParagraph"/>
      </w:pPr>
      <w:r>
        <w:rPr>
          <w:b/>
          <w:bCs/>
        </w:rPr>
        <w:t>Limitations belong in §3.15, before the reader reaches the results.</w:t>
      </w:r>
      <w:r>
        <w:t xml:space="preserve"> A limitation disclosed in advance reads as methodological awareness; the same sentence after the results reads as damage control. A short restatement in Chapter Five then confirms which hypotheses were resolved, so the conclusions cannot be read as claiming more than the evidence supports.</w:t>
      </w:r>
    </w:p>
    <w:p w14:paraId="19C616F7" w14:textId="77777777" w:rsidR="00126E05" w:rsidRDefault="00AF07D1">
      <w:r>
        <w:pict w14:anchorId="1708E1A9">
          <v:rect id="_x0000_i1031" style="width:0;height:1.5pt" o:hralign="center" o:hrstd="t" o:hr="t"/>
        </w:pict>
      </w:r>
    </w:p>
    <w:p w14:paraId="5F6BBB46" w14:textId="77777777" w:rsidR="00126E05" w:rsidRDefault="00AF07D1">
      <w:pPr>
        <w:pStyle w:val="Heading1"/>
      </w:pPr>
      <w:bookmarkStart w:id="26" w:name="part-6-what-the-outcome-looks-like"/>
      <w:bookmarkEnd w:id="21"/>
      <w:bookmarkEnd w:id="25"/>
      <w:r>
        <w:lastRenderedPageBreak/>
        <w:t>PART 6 — WHAT THE OUTCOME LOOKS LIKE</w:t>
      </w:r>
    </w:p>
    <w:tbl>
      <w:tblPr>
        <w:tblStyle w:val="Table"/>
        <w:tblW w:w="5000" w:type="pct"/>
        <w:tblLook w:val="0020" w:firstRow="1" w:lastRow="0" w:firstColumn="0" w:lastColumn="0" w:noHBand="0" w:noVBand="0"/>
      </w:tblPr>
      <w:tblGrid>
        <w:gridCol w:w="1841"/>
        <w:gridCol w:w="1067"/>
        <w:gridCol w:w="2450"/>
        <w:gridCol w:w="4002"/>
      </w:tblGrid>
      <w:tr w:rsidR="00126E05" w14:paraId="5486CE7E" w14:textId="77777777" w:rsidTr="0012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42FC5973" w14:textId="77777777" w:rsidR="00126E05" w:rsidRDefault="00AF07D1">
            <w:pPr>
              <w:pStyle w:val="Compact"/>
            </w:pPr>
            <w:r>
              <w:t>Scenario</w:t>
            </w:r>
          </w:p>
        </w:tc>
        <w:tc>
          <w:tcPr>
            <w:tcW w:w="0" w:type="auto"/>
          </w:tcPr>
          <w:p w14:paraId="660075A1" w14:textId="77777777" w:rsidR="00126E05" w:rsidRDefault="00AF07D1">
            <w:pPr>
              <w:pStyle w:val="Compact"/>
            </w:pPr>
            <w:r>
              <w:t>Effort</w:t>
            </w:r>
          </w:p>
        </w:tc>
        <w:tc>
          <w:tcPr>
            <w:tcW w:w="0" w:type="auto"/>
          </w:tcPr>
          <w:p w14:paraId="3AAD8E0F" w14:textId="77777777" w:rsidR="00126E05" w:rsidRDefault="00AF07D1">
            <w:pPr>
              <w:pStyle w:val="Compact"/>
            </w:pPr>
            <w:r>
              <w:t>Hypothesis status</w:t>
            </w:r>
          </w:p>
        </w:tc>
        <w:tc>
          <w:tcPr>
            <w:tcW w:w="0" w:type="auto"/>
          </w:tcPr>
          <w:p w14:paraId="2F2FB6DB" w14:textId="77777777" w:rsidR="00126E05" w:rsidRDefault="00AF07D1">
            <w:pPr>
              <w:pStyle w:val="Compact"/>
            </w:pPr>
            <w:r>
              <w:t>Likely outcome</w:t>
            </w:r>
          </w:p>
        </w:tc>
      </w:tr>
      <w:tr w:rsidR="00126E05" w14:paraId="1E891626" w14:textId="77777777">
        <w:tc>
          <w:tcPr>
            <w:tcW w:w="0" w:type="auto"/>
          </w:tcPr>
          <w:p w14:paraId="52AC96EE" w14:textId="77777777" w:rsidR="00126E05" w:rsidRDefault="00AF07D1">
            <w:pPr>
              <w:pStyle w:val="Compact"/>
            </w:pPr>
            <w:r>
              <w:t>Declare everything</w:t>
            </w:r>
          </w:p>
        </w:tc>
        <w:tc>
          <w:tcPr>
            <w:tcW w:w="0" w:type="auto"/>
          </w:tcPr>
          <w:p w14:paraId="42271C86" w14:textId="77777777" w:rsidR="00126E05" w:rsidRDefault="00AF07D1">
            <w:pPr>
              <w:pStyle w:val="Compact"/>
            </w:pPr>
            <w:r>
              <w:t>0</w:t>
            </w:r>
          </w:p>
        </w:tc>
        <w:tc>
          <w:tcPr>
            <w:tcW w:w="0" w:type="auto"/>
          </w:tcPr>
          <w:p w14:paraId="717E2861" w14:textId="77777777" w:rsidR="00126E05" w:rsidRDefault="00AF07D1">
            <w:pPr>
              <w:pStyle w:val="Compact"/>
            </w:pPr>
            <w:r>
              <w:t>1 supported, 1 refuted, 3 unaddressed</w:t>
            </w:r>
          </w:p>
        </w:tc>
        <w:tc>
          <w:tcPr>
            <w:tcW w:w="0" w:type="auto"/>
          </w:tcPr>
          <w:p w14:paraId="0FDFFA11" w14:textId="77777777" w:rsidR="00126E05" w:rsidRDefault="00AF07D1">
            <w:pPr>
              <w:pStyle w:val="Compact"/>
            </w:pPr>
            <w:r>
              <w:t>Major revisions or referral — the study would not answer its own primary question</w:t>
            </w:r>
          </w:p>
        </w:tc>
      </w:tr>
      <w:tr w:rsidR="00126E05" w14:paraId="29B19F00" w14:textId="77777777">
        <w:tc>
          <w:tcPr>
            <w:tcW w:w="0" w:type="auto"/>
          </w:tcPr>
          <w:p w14:paraId="0C237D95" w14:textId="77777777" w:rsidR="00126E05" w:rsidRDefault="00AF07D1">
            <w:pPr>
              <w:pStyle w:val="Compact"/>
            </w:pPr>
            <w:r>
              <w:rPr>
                <w:b/>
                <w:bCs/>
              </w:rPr>
              <w:t>Fix R2, R6, R9 only</w:t>
            </w:r>
          </w:p>
        </w:tc>
        <w:tc>
          <w:tcPr>
            <w:tcW w:w="0" w:type="auto"/>
          </w:tcPr>
          <w:p w14:paraId="4895856F" w14:textId="77777777" w:rsidR="00126E05" w:rsidRDefault="00AF07D1">
            <w:pPr>
              <w:pStyle w:val="Compact"/>
            </w:pPr>
            <w:r>
              <w:rPr>
                <w:b/>
                <w:bCs/>
              </w:rPr>
              <w:t>&lt; 3 days</w:t>
            </w:r>
          </w:p>
        </w:tc>
        <w:tc>
          <w:tcPr>
            <w:tcW w:w="0" w:type="auto"/>
          </w:tcPr>
          <w:p w14:paraId="2B2CD808" w14:textId="77777777" w:rsidR="00126E05" w:rsidRDefault="00AF07D1">
            <w:pPr>
              <w:pStyle w:val="Compact"/>
            </w:pPr>
            <w:r>
              <w:t>2 supported, 1 refuted, 2 scoped out</w:t>
            </w:r>
          </w:p>
        </w:tc>
        <w:tc>
          <w:tcPr>
            <w:tcW w:w="0" w:type="auto"/>
          </w:tcPr>
          <w:p w14:paraId="7268632D" w14:textId="77777777" w:rsidR="00126E05" w:rsidRDefault="00AF07D1">
            <w:pPr>
              <w:pStyle w:val="Compact"/>
            </w:pPr>
            <w:r>
              <w:rPr>
                <w:b/>
                <w:bCs/>
              </w:rPr>
              <w:t>Defensible</w:t>
            </w:r>
          </w:p>
        </w:tc>
      </w:tr>
      <w:tr w:rsidR="00126E05" w14:paraId="180F9871" w14:textId="77777777">
        <w:tc>
          <w:tcPr>
            <w:tcW w:w="0" w:type="auto"/>
          </w:tcPr>
          <w:p w14:paraId="1E2D7AF9" w14:textId="77777777" w:rsidR="00126E05" w:rsidRDefault="00AF07D1">
            <w:pPr>
              <w:pStyle w:val="Compact"/>
            </w:pPr>
            <w:r>
              <w:t>Fix R2, R3, R5, R6, R7, R9</w:t>
            </w:r>
          </w:p>
        </w:tc>
        <w:tc>
          <w:tcPr>
            <w:tcW w:w="0" w:type="auto"/>
          </w:tcPr>
          <w:p w14:paraId="51D3703B" w14:textId="77777777" w:rsidR="00126E05" w:rsidRDefault="00AF07D1">
            <w:pPr>
              <w:pStyle w:val="Compact"/>
            </w:pPr>
            <w:r>
              <w:t>~2 weeks</w:t>
            </w:r>
          </w:p>
        </w:tc>
        <w:tc>
          <w:tcPr>
            <w:tcW w:w="0" w:type="auto"/>
          </w:tcPr>
          <w:p w14:paraId="3785761B" w14:textId="77777777" w:rsidR="00126E05" w:rsidRDefault="00AF07D1">
            <w:pPr>
              <w:pStyle w:val="Compact"/>
            </w:pPr>
            <w:r>
              <w:t>3–4 resolved, leakage evidenced</w:t>
            </w:r>
          </w:p>
        </w:tc>
        <w:tc>
          <w:tcPr>
            <w:tcW w:w="0" w:type="auto"/>
          </w:tcPr>
          <w:p w14:paraId="1610A827" w14:textId="77777777" w:rsidR="00126E05" w:rsidRDefault="00AF07D1">
            <w:pPr>
              <w:pStyle w:val="Compact"/>
            </w:pPr>
            <w:r>
              <w:t>Strong, without re-simulation</w:t>
            </w:r>
          </w:p>
        </w:tc>
      </w:tr>
      <w:tr w:rsidR="00126E05" w14:paraId="6CEB8AC5" w14:textId="77777777">
        <w:tc>
          <w:tcPr>
            <w:tcW w:w="0" w:type="auto"/>
          </w:tcPr>
          <w:p w14:paraId="2957EA57" w14:textId="77777777" w:rsidR="00126E05" w:rsidRDefault="00AF07D1">
            <w:pPr>
              <w:pStyle w:val="Compact"/>
            </w:pPr>
            <w:r>
              <w:t>All ten including R1</w:t>
            </w:r>
          </w:p>
        </w:tc>
        <w:tc>
          <w:tcPr>
            <w:tcW w:w="0" w:type="auto"/>
          </w:tcPr>
          <w:p w14:paraId="2CC5C36E" w14:textId="77777777" w:rsidR="00126E05" w:rsidRDefault="00AF07D1">
            <w:pPr>
              <w:pStyle w:val="Compact"/>
            </w:pPr>
            <w:r>
              <w:t>6–10 weeks</w:t>
            </w:r>
          </w:p>
        </w:tc>
        <w:tc>
          <w:tcPr>
            <w:tcW w:w="0" w:type="auto"/>
          </w:tcPr>
          <w:p w14:paraId="39E712CD" w14:textId="77777777" w:rsidR="00126E05" w:rsidRDefault="00AF07D1">
            <w:pPr>
              <w:pStyle w:val="Compact"/>
            </w:pPr>
            <w:r>
              <w:t>All resolved, absolute figures valid</w:t>
            </w:r>
          </w:p>
        </w:tc>
        <w:tc>
          <w:tcPr>
            <w:tcW w:w="0" w:type="auto"/>
          </w:tcPr>
          <w:p w14:paraId="70C91305" w14:textId="77777777" w:rsidR="00126E05" w:rsidRDefault="00AF07D1">
            <w:pPr>
              <w:pStyle w:val="Compact"/>
            </w:pPr>
            <w:r>
              <w:t>Complete</w:t>
            </w:r>
          </w:p>
        </w:tc>
      </w:tr>
    </w:tbl>
    <w:p w14:paraId="23378D65" w14:textId="77777777" w:rsidR="00126E05" w:rsidRDefault="00AF07D1">
      <w:pPr>
        <w:pStyle w:val="BodyText"/>
      </w:pPr>
      <w:r>
        <w:t>The second row is the one to aim for first. It is under three days and it changes the outcome category.</w:t>
      </w:r>
    </w:p>
    <w:p w14:paraId="25382FD6" w14:textId="77777777" w:rsidR="00126E05" w:rsidRDefault="00AF07D1">
      <w:pPr>
        <w:pStyle w:val="Heading2"/>
      </w:pPr>
      <w:bookmarkStart w:id="27" w:name="what-the-study-already-establishes"/>
      <w:r>
        <w:t>What the study already establishes</w:t>
      </w:r>
    </w:p>
    <w:p w14:paraId="778FFDE7" w14:textId="77777777" w:rsidR="00126E05" w:rsidRDefault="00AF07D1">
      <w:pPr>
        <w:pStyle w:val="FirstParagraph"/>
      </w:pPr>
      <w:r>
        <w:t>Worth stating plainly, because a list of ten pending items makes the work look worse than it is. Two findings stand on present evidence and depend on nothing outstanding:</w:t>
      </w:r>
    </w:p>
    <w:p w14:paraId="6A0C8CF6" w14:textId="77777777" w:rsidR="00126E05" w:rsidRDefault="00AF07D1">
      <w:pPr>
        <w:pStyle w:val="BodyText"/>
      </w:pPr>
      <w:r>
        <w:rPr>
          <w:b/>
          <w:bCs/>
        </w:rPr>
        <w:t>Added complexity did not buy accuracy.</w:t>
      </w:r>
      <w:r>
        <w:t xml:space="preserve"> </w:t>
      </w:r>
      <w:r>
        <w:t>Three of 48 pairwise comparisons reached nominal significance; none survived Holm correction. Against training costs spanning 0.09 s for k-NN to 500 s for the hybrid PINN — a factor above 2,000 — this is a useful null result for any utility weighing deployment.</w:t>
      </w:r>
    </w:p>
    <w:p w14:paraId="7E88B7EB" w14:textId="77777777" w:rsidR="00126E05" w:rsidRDefault="00AF07D1">
      <w:pPr>
        <w:pStyle w:val="BodyText"/>
      </w:pPr>
      <w:r>
        <w:rPr>
          <w:b/>
          <w:bCs/>
        </w:rPr>
        <w:t>Robustness, not accuracy, discriminates between the models.</w:t>
      </w:r>
      <w:r>
        <w:t xml:space="preserve"> </w:t>
      </w:r>
      <w:r>
        <w:t>LSTM holds equivalence across all four targets to 20% noise while the Decision Tree fails at every level. This reframes model selection as noise tolerance against computational cost, and ties the answer to instrument transformer quality — directly actionable for GRIDCo.</w:t>
      </w:r>
    </w:p>
    <w:p w14:paraId="5E04AA8E" w14:textId="77777777" w:rsidR="00126E05" w:rsidRDefault="00AF07D1">
      <w:pPr>
        <w:pStyle w:val="BodyText"/>
      </w:pPr>
      <w:r>
        <w:t>And one result deserves more prominence than it currently has:</w:t>
      </w:r>
    </w:p>
    <w:p w14:paraId="740FF0E9" w14:textId="77777777" w:rsidR="00126E05" w:rsidRDefault="00AF07D1">
      <w:pPr>
        <w:pStyle w:val="BodyText"/>
      </w:pPr>
      <w:r>
        <w:rPr>
          <w:b/>
          <w:bCs/>
        </w:rPr>
        <w:t>The hybrid PINN on symmetric three-phase faults.</w:t>
      </w:r>
      <w:r>
        <w:t xml:space="preserve"> </w:t>
      </w:r>
      <w:r>
        <w:t>It retains 0.8085 accuracy on the A+B+C combination where LSTM falls to 0.086, CNN to 0.111 and the Decision Tree to 0.141. A plausible mechanism is available: in a balanced three-phase fault the discriminating information lies in inter-phase relationships, which embedded circuit-law constraints make directly accessible. The three-phase fault is the most severe class on a transmission system and the one demanding fastest isolation. This is currently one paragraph in §4.6.4 and should anchor Chapter Five.</w:t>
      </w:r>
    </w:p>
    <w:p w14:paraId="229A06FE" w14:textId="77777777" w:rsidR="00126E05" w:rsidRDefault="00AF07D1">
      <w:r>
        <w:pict w14:anchorId="4AC5D6C0">
          <v:rect id="_x0000_i1032" style="width:0;height:1.5pt" o:hralign="center" o:hrstd="t" o:hr="t"/>
        </w:pict>
      </w:r>
    </w:p>
    <w:p w14:paraId="0A0B0AEE" w14:textId="77777777" w:rsidR="00126E05" w:rsidRDefault="00AF07D1">
      <w:pPr>
        <w:pStyle w:val="Heading2"/>
      </w:pPr>
      <w:bookmarkStart w:id="28" w:name="immediate-action-list"/>
      <w:bookmarkEnd w:id="27"/>
      <w:r>
        <w:t>Immediate action list</w:t>
      </w:r>
    </w:p>
    <w:p w14:paraId="64AEF8F7" w14:textId="77777777" w:rsidR="00126E05" w:rsidRDefault="00AF07D1">
      <w:pPr>
        <w:pStyle w:val="Compact"/>
        <w:numPr>
          <w:ilvl w:val="0"/>
          <w:numId w:val="6"/>
        </w:numPr>
      </w:pPr>
      <w:r>
        <w:rPr>
          <w:b/>
          <w:bCs/>
        </w:rPr>
        <w:t>Locate the per-scenario results file.</w:t>
      </w:r>
      <w:r>
        <w:t xml:space="preserve"> Everything downstream depends on whether it exists.</w:t>
      </w:r>
    </w:p>
    <w:p w14:paraId="279217E3" w14:textId="77777777" w:rsidR="00126E05" w:rsidRDefault="00AF07D1">
      <w:pPr>
        <w:pStyle w:val="Compact"/>
        <w:numPr>
          <w:ilvl w:val="0"/>
          <w:numId w:val="6"/>
        </w:numPr>
      </w:pPr>
      <w:r>
        <w:rPr>
          <w:b/>
          <w:bCs/>
        </w:rPr>
        <w:lastRenderedPageBreak/>
        <w:t>Fix R2</w:t>
      </w:r>
      <w:r>
        <w:t xml:space="preserve"> — print the relay column, verify its accuracy equals 0.6000, re-run McNemar. One to two days.</w:t>
      </w:r>
    </w:p>
    <w:p w14:paraId="2AAB387B" w14:textId="77777777" w:rsidR="00126E05" w:rsidRDefault="00AF07D1">
      <w:pPr>
        <w:pStyle w:val="Compact"/>
        <w:numPr>
          <w:ilvl w:val="0"/>
          <w:numId w:val="6"/>
        </w:numPr>
      </w:pPr>
      <w:r>
        <w:rPr>
          <w:b/>
          <w:bCs/>
        </w:rPr>
        <w:t>Fix R6</w:t>
      </w:r>
      <w:r>
        <w:t xml:space="preserve"> — regenerate the performance table from source; do not hand-correct the decimal points.</w:t>
      </w:r>
    </w:p>
    <w:p w14:paraId="05A2986F" w14:textId="77777777" w:rsidR="00126E05" w:rsidRDefault="00AF07D1">
      <w:pPr>
        <w:pStyle w:val="Compact"/>
        <w:numPr>
          <w:ilvl w:val="0"/>
          <w:numId w:val="6"/>
        </w:numPr>
      </w:pPr>
      <w:r>
        <w:rPr>
          <w:b/>
          <w:bCs/>
        </w:rPr>
        <w:t>Fix R9</w:t>
      </w:r>
      <w:r>
        <w:t xml:space="preserve"> — report scenarios per fold and confirm no scenario spans a train/test boundary.</w:t>
      </w:r>
    </w:p>
    <w:p w14:paraId="49BE9452" w14:textId="77777777" w:rsidR="00126E05" w:rsidRDefault="00AF07D1">
      <w:pPr>
        <w:pStyle w:val="Compact"/>
        <w:numPr>
          <w:ilvl w:val="0"/>
          <w:numId w:val="6"/>
        </w:numPr>
      </w:pPr>
      <w:r>
        <w:rPr>
          <w:b/>
          <w:bCs/>
        </w:rPr>
        <w:t>Start R1 in parallel</w:t>
      </w:r>
      <w:r>
        <w:t xml:space="preserve"> — correct the Simulink parameters; this depends on nothing else.</w:t>
      </w:r>
    </w:p>
    <w:p w14:paraId="2F4CD7E5" w14:textId="77777777" w:rsidR="00126E05" w:rsidRDefault="00AF07D1">
      <w:pPr>
        <w:pStyle w:val="Compact"/>
        <w:numPr>
          <w:ilvl w:val="0"/>
          <w:numId w:val="6"/>
        </w:numPr>
      </w:pPr>
      <w:r>
        <w:rPr>
          <w:b/>
          <w:bCs/>
        </w:rPr>
        <w:t>Search the corrected working copy for “PENDING”</w:t>
      </w:r>
      <w:r>
        <w:t xml:space="preserve"> before any submission. Fourteen markers; every one must be resolved or converted into a declared limitation.</w:t>
      </w:r>
    </w:p>
    <w:p w14:paraId="32033852" w14:textId="77777777" w:rsidR="00126E05" w:rsidRDefault="00AF07D1">
      <w:pPr>
        <w:pStyle w:val="Heading2"/>
      </w:pPr>
      <w:bookmarkStart w:id="29" w:name="companion-documents"/>
      <w:bookmarkEnd w:id="28"/>
      <w:r>
        <w:t>Companion documents</w:t>
      </w:r>
    </w:p>
    <w:tbl>
      <w:tblPr>
        <w:tblStyle w:val="Table"/>
        <w:tblW w:w="5000" w:type="pct"/>
        <w:tblLook w:val="0020" w:firstRow="1" w:lastRow="0" w:firstColumn="0" w:lastColumn="0" w:noHBand="0" w:noVBand="0"/>
      </w:tblPr>
      <w:tblGrid>
        <w:gridCol w:w="4070"/>
        <w:gridCol w:w="5290"/>
      </w:tblGrid>
      <w:tr w:rsidR="00126E05" w14:paraId="1BFE84A7" w14:textId="77777777" w:rsidTr="00126E05">
        <w:trPr>
          <w:cnfStyle w:val="100000000000" w:firstRow="1" w:lastRow="0" w:firstColumn="0" w:lastColumn="0" w:oddVBand="0" w:evenVBand="0" w:oddHBand="0" w:evenHBand="0" w:firstRowFirstColumn="0" w:firstRowLastColumn="0" w:lastRowFirstColumn="0" w:lastRowLastColumn="0"/>
          <w:tblHeader/>
        </w:trPr>
        <w:tc>
          <w:tcPr>
            <w:tcW w:w="0" w:type="auto"/>
          </w:tcPr>
          <w:p w14:paraId="40946A3F" w14:textId="77777777" w:rsidR="00126E05" w:rsidRDefault="00AF07D1">
            <w:pPr>
              <w:pStyle w:val="Compact"/>
            </w:pPr>
            <w:r>
              <w:t>Document</w:t>
            </w:r>
          </w:p>
        </w:tc>
        <w:tc>
          <w:tcPr>
            <w:tcW w:w="0" w:type="auto"/>
          </w:tcPr>
          <w:p w14:paraId="18BCBF2B" w14:textId="77777777" w:rsidR="00126E05" w:rsidRDefault="00AF07D1">
            <w:pPr>
              <w:pStyle w:val="Compact"/>
            </w:pPr>
            <w:r>
              <w:t>Use</w:t>
            </w:r>
          </w:p>
        </w:tc>
      </w:tr>
      <w:tr w:rsidR="00126E05" w14:paraId="7D5E02C2" w14:textId="77777777">
        <w:tc>
          <w:tcPr>
            <w:tcW w:w="0" w:type="auto"/>
          </w:tcPr>
          <w:p w14:paraId="0E33BEB5" w14:textId="77777777" w:rsidR="00126E05" w:rsidRDefault="00AF07D1">
            <w:pPr>
              <w:pStyle w:val="Compact"/>
            </w:pPr>
            <w:r>
              <w:rPr>
                <w:i/>
                <w:iCs/>
              </w:rPr>
              <w:t>Dissertation Chapters Three and Four — Corrected Working Copy</w:t>
            </w:r>
          </w:p>
        </w:tc>
        <w:tc>
          <w:tcPr>
            <w:tcW w:w="0" w:type="auto"/>
          </w:tcPr>
          <w:p w14:paraId="7227D688" w14:textId="77777777" w:rsidR="00126E05" w:rsidRDefault="00AF07D1">
            <w:pPr>
              <w:pStyle w:val="Compact"/>
            </w:pPr>
            <w:r>
              <w:t>The working file. 45 pages, corrections applied inline, figures embedded, pending items marked</w:t>
            </w:r>
          </w:p>
        </w:tc>
      </w:tr>
      <w:tr w:rsidR="00126E05" w14:paraId="1614CF3D" w14:textId="77777777">
        <w:tc>
          <w:tcPr>
            <w:tcW w:w="0" w:type="auto"/>
          </w:tcPr>
          <w:p w14:paraId="1A9CC749" w14:textId="77777777" w:rsidR="00126E05" w:rsidRDefault="00AF07D1">
            <w:pPr>
              <w:pStyle w:val="Compact"/>
            </w:pPr>
            <w:r>
              <w:rPr>
                <w:i/>
                <w:iCs/>
              </w:rPr>
              <w:t>Pending Tasks Recommendation</w:t>
            </w:r>
          </w:p>
        </w:tc>
        <w:tc>
          <w:tcPr>
            <w:tcW w:w="0" w:type="auto"/>
          </w:tcPr>
          <w:p w14:paraId="0B960A46" w14:textId="77777777" w:rsidR="00126E05" w:rsidRDefault="00AF07D1">
            <w:pPr>
              <w:pStyle w:val="Compact"/>
            </w:pPr>
            <w:r>
              <w:t>Per-item procedures, effort estimates, dependencies and sequencing</w:t>
            </w:r>
          </w:p>
        </w:tc>
      </w:tr>
      <w:tr w:rsidR="00126E05" w14:paraId="1CF74033" w14:textId="77777777">
        <w:tc>
          <w:tcPr>
            <w:tcW w:w="0" w:type="auto"/>
          </w:tcPr>
          <w:p w14:paraId="375F064A" w14:textId="77777777" w:rsidR="00126E05" w:rsidRDefault="00AF07D1">
            <w:pPr>
              <w:pStyle w:val="Compact"/>
            </w:pPr>
            <w:r>
              <w:rPr>
                <w:i/>
                <w:iCs/>
              </w:rPr>
              <w:t>Declaring the Pending Items as Inconclusive</w:t>
            </w:r>
          </w:p>
        </w:tc>
        <w:tc>
          <w:tcPr>
            <w:tcW w:w="0" w:type="auto"/>
          </w:tcPr>
          <w:p w14:paraId="53812863" w14:textId="77777777" w:rsidR="00126E05" w:rsidRDefault="00AF07D1">
            <w:pPr>
              <w:pStyle w:val="Compact"/>
            </w:pPr>
            <w:r>
              <w:t>Draft declaration wording, placement guidance, viva preparation</w:t>
            </w:r>
          </w:p>
        </w:tc>
      </w:tr>
      <w:tr w:rsidR="00126E05" w14:paraId="22C75956" w14:textId="77777777">
        <w:tc>
          <w:tcPr>
            <w:tcW w:w="0" w:type="auto"/>
          </w:tcPr>
          <w:p w14:paraId="54669D06" w14:textId="77777777" w:rsidR="00126E05" w:rsidRDefault="00AF07D1">
            <w:pPr>
              <w:pStyle w:val="Compact"/>
            </w:pPr>
            <w:r>
              <w:rPr>
                <w:i/>
                <w:iCs/>
              </w:rPr>
              <w:t>Revision Audit</w:t>
            </w:r>
          </w:p>
        </w:tc>
        <w:tc>
          <w:tcPr>
            <w:tcW w:w="0" w:type="auto"/>
          </w:tcPr>
          <w:p w14:paraId="7FA2C75E" w14:textId="77777777" w:rsidR="00126E05" w:rsidRDefault="00AF07D1">
            <w:pPr>
              <w:pStyle w:val="Compact"/>
            </w:pPr>
            <w:r>
              <w:t>The second-round findings in full, with evidence for each</w:t>
            </w:r>
          </w:p>
        </w:tc>
      </w:tr>
      <w:bookmarkEnd w:id="26"/>
      <w:bookmarkEnd w:id="29"/>
    </w:tbl>
    <w:p w14:paraId="54BAF934" w14:textId="77777777" w:rsidR="00AF07D1" w:rsidRDefault="00AF07D1"/>
    <w:sectPr w:rsidR="00AF07D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7C9ED" w14:textId="77777777" w:rsidR="00AF07D1" w:rsidRDefault="00AF07D1">
      <w:pPr>
        <w:spacing w:after="0"/>
      </w:pPr>
      <w:r>
        <w:separator/>
      </w:r>
    </w:p>
  </w:endnote>
  <w:endnote w:type="continuationSeparator" w:id="0">
    <w:p w14:paraId="6FD3F91A" w14:textId="77777777" w:rsidR="00AF07D1" w:rsidRDefault="00AF07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B4738" w14:textId="77777777" w:rsidR="00AF07D1" w:rsidRDefault="00AF07D1">
      <w:r>
        <w:separator/>
      </w:r>
    </w:p>
  </w:footnote>
  <w:footnote w:type="continuationSeparator" w:id="0">
    <w:p w14:paraId="003B599E" w14:textId="77777777" w:rsidR="00AF07D1" w:rsidRDefault="00AF07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2BA85E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258E8A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BDCE1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141458102">
    <w:abstractNumId w:val="0"/>
  </w:num>
  <w:num w:numId="2" w16cid:durableId="338176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5288444">
    <w:abstractNumId w:val="1"/>
  </w:num>
  <w:num w:numId="4" w16cid:durableId="1696072792">
    <w:abstractNumId w:val="1"/>
  </w:num>
  <w:num w:numId="5" w16cid:durableId="231047132">
    <w:abstractNumId w:val="1"/>
  </w:num>
  <w:num w:numId="6" w16cid:durableId="18320190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6E05"/>
    <w:rsid w:val="00126E05"/>
    <w:rsid w:val="00343979"/>
    <w:rsid w:val="00786D89"/>
    <w:rsid w:val="00932F09"/>
    <w:rsid w:val="00AF07D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911F2"/>
  <w15:docId w15:val="{F24FCD27-53A3-4B27-92FF-0D28E0441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11</Pages>
  <Words>3518</Words>
  <Characters>20058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Cyril Foday-Kailie</dc:creator>
  <cp:keywords/>
  <cp:lastModifiedBy>Cyril Foday-Kailie</cp:lastModifiedBy>
  <cp:revision>2</cp:revision>
  <dcterms:created xsi:type="dcterms:W3CDTF">2026-10-20T19:04:00Z</dcterms:created>
  <dcterms:modified xsi:type="dcterms:W3CDTF">2026-10-20T19:04:00Z</dcterms:modified>
</cp:coreProperties>
</file>