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xmlns:a="http://schemas.openxmlformats.org/drawingml/2006/main">
        <w:drawing>
          <wp:anchor distT="0" distB="0" distL="114300" distR="114300" simplePos="0" relativeHeight="251658240" behindDoc="0" locked="0" layoutInCell="1" hidden="0" allowOverlap="1" wp14:anchorId="390CECE3" wp14:editId="3FE896B5">
            <wp:simplePos x="0" y="0"/>
            <wp:positionH relativeFrom="column">
              <wp:posOffset>-529589</wp:posOffset>
            </wp:positionH>
            <wp:positionV relativeFrom="paragraph">
              <wp:posOffset>7620</wp:posOffset>
            </wp:positionV>
            <wp:extent cx="711200" cy="9650730"/>
            <wp:effectExtent l="0" t="0" r="0" b="0"/>
            <wp:wrapNone/>
            <wp:docPr id="2047242955" name="群組 2047242955"/>
            <wp:cNvGraphicFramePr/>
            <a:graphic>
              <a:graphicData uri="http://schemas.microsoft.com/office/word/2010/wordprocessingGroup">
                <wpg:wgp>
                  <wpg:cNvGrpSpPr/>
                  <wpg:grpSpPr>
                    <a:xfrm>
                      <a:off x="0" y="0"/>
                      <a:ext cx="711200" cy="9650730"/>
                      <a:chOff x="4678150" y="0"/>
                      <a:chExt cx="1028225" cy="7560000"/>
                    </a:xfrm>
                  </wpg:grpSpPr>
                  <wpg:grpSp>
                    <wpg:cNvPr id="804363742" name="群組 804363742"/>
                    <wpg:cNvGrpSpPr/>
                    <wpg:grpSpPr>
                      <a:xfrm>
                        <a:off x="4990400" y="0"/>
                        <a:ext cx="711200" cy="7560000"/>
                        <a:chOff x="293" y="2106"/>
                        <a:chExt cx="1120" cy="15198"/>
                      </a:xfrm>
                    </wpg:grpSpPr>
                    <wps:wsp>
                      <wps:cNvPr id="661436957" name="矩形 661436957"/>
                      <wps:cNvSpPr/>
                      <wps:spPr>
                        <a:xfrm>
                          <a:off x="293" y="2106"/>
                          <a:ext cx="1100" cy="15175"/>
                        </a:xfrm>
                        <a:prstGeom prst="rect">
                          <a:avLst/>
                        </a:prstGeom>
                        <a:noFill/>
                        <a:ln>
                          <a:noFill/>
                        </a:ln>
                      </wps:spPr>
                      <wps:txbx>
                        <w:txbxContent>
                          <w:p w:rsidR="006C6409" w:rsidRDefault="006C6409" w14:paraId="1DCF91D3" w14:textId="77777777">
                            <w:pPr>
                              <w:textDirection w:val="btLr"/>
                            </w:pPr>
                          </w:p>
                        </w:txbxContent>
                      </wps:txbx>
                      <wps:bodyPr spcFirstLastPara="1" wrap="square" lIns="91425" tIns="91425" rIns="91425" bIns="91425" anchor="ctr" anchorCtr="0">
                        <a:noAutofit/>
                      </wps:bodyPr>
                    </wps:wsp>
                    <wpg:grpSp>
                      <wpg:cNvPr id="1302127902" name="群組 1302127902"/>
                      <wpg:cNvGrpSpPr/>
                      <wpg:grpSpPr>
                        <a:xfrm>
                          <a:off x="293" y="2106"/>
                          <a:ext cx="1120" cy="15198"/>
                          <a:chOff x="293" y="2106"/>
                          <a:chExt cx="1120" cy="15198"/>
                        </a:xfrm>
                      </wpg:grpSpPr>
                      <wps:wsp>
                        <wps:cNvPr id="1649903230" name="矩形 1649903230"/>
                        <wps:cNvSpPr/>
                        <wps:spPr>
                          <a:xfrm rot="5400000">
                            <a:off x="-348" y="2747"/>
                            <a:ext cx="2272" cy="990"/>
                          </a:xfrm>
                          <a:prstGeom prst="rect">
                            <a:avLst/>
                          </a:prstGeom>
                          <a:solidFill>
                            <a:srgbClr val="FFFFFF"/>
                          </a:solidFill>
                          <a:ln>
                            <a:noFill/>
                          </a:ln>
                        </wps:spPr>
                        <wps:txbx>
                          <w:txbxContent>
                            <w:p w:rsidR="006C6409" w:rsidRDefault="003A7D02" w14:paraId="638B6497" w14:textId="77777777">
                              <w:pPr>
                                <w:ind w:firstLine="120"/>
                                <w:jc w:val="both"/>
                                <w:textDirection w:val="btLr"/>
                              </w:pPr>
                              <w:r>
                                <w:rPr>
                                  <w:rFonts w:ascii="標楷體" w:hAnsi="標楷體" w:eastAsia="標楷體" w:cs="標楷體"/>
                                  <w:color w:val="000000"/>
                                </w:rPr>
                                <w:t>National Taiwan University </w:t>
                              </w:r>
                            </w:p>
                            <w:p w:rsidR="006C6409" w:rsidRDefault="003A7D02" w14:paraId="759ED908" w14:textId="77777777">
                              <w:pPr>
                                <w:ind w:firstLine="120"/>
                                <w:jc w:val="both"/>
                                <w:textDirection w:val="btLr"/>
                              </w:pPr>
                              <w:r>
                                <w:rPr>
                                  <w:rFonts w:ascii="標楷體" w:hAnsi="標楷體" w:eastAsia="標楷體" w:cs="標楷體"/>
                                  <w:color w:val="000000"/>
                                </w:rPr>
                                <w:t>Department of Biomechatronics Engineering</w:t>
                              </w:r>
                              <w:r>
                                <w:rPr>
                                  <w:rFonts w:ascii="標楷體" w:hAnsi="標楷體" w:eastAsia="標楷體" w:cs="標楷體"/>
                                  <w:color w:val="000000"/>
                                  <w:sz w:val="12"/>
                                </w:rPr>
                                <w:t/>
                              </w:r>
                              <w:r>
                                <w:rPr>
                                  <w:rFonts w:ascii="標楷體" w:hAnsi="標楷體" w:eastAsia="標楷體" w:cs="標楷體"/>
                                  <w:color w:val="FF0000"/>
                                  <w:sz w:val="12"/>
                                </w:rPr>
                                <w:t/>
                              </w:r>
                              <w:r>
                                <w:rPr>
                                  <w:rFonts w:ascii="標楷體" w:hAnsi="標楷體" w:eastAsia="標楷體" w:cs="標楷體"/>
                                  <w:color w:val="000000"/>
                                  <w:sz w:val="12"/>
                                </w:rPr>
                                <w:t/>
                              </w:r>
                              <w:r>
                                <w:rPr>
                                  <w:rFonts w:ascii="標楷體" w:hAnsi="標楷體" w:eastAsia="標楷體" w:cs="標楷體"/>
                                  <w:color w:val="000000"/>
                                </w:rPr>
                                <w:t/>
                              </w:r>
                            </w:p>
                          </w:txbxContent>
                        </wps:txbx>
                        <wps:bodyPr spcFirstLastPara="1" wrap="square" lIns="91425" tIns="45700" rIns="91425" bIns="45700" anchor="t" anchorCtr="0">
                          <a:noAutofit/>
                        </wps:bodyPr>
                      </wps:wsp>
                      <wps:wsp>
                        <wps:cNvPr id="2095721715" name="直線單箭頭接點 2095721715"/>
                        <wps:cNvCnPr/>
                        <wps:spPr>
                          <a:xfrm>
                            <a:off x="1413" y="2294"/>
                            <a:ext cx="0" cy="15010"/>
                          </a:xfrm>
                          <a:prstGeom prst="straightConnector1">
                            <a:avLst/>
                          </a:prstGeom>
                          <a:noFill/>
                          <a:ln w="9525" cap="rnd" cmpd="sng">
                            <a:solidFill>
                              <a:srgbClr val="000000"/>
                            </a:solidFill>
                            <a:prstDash val="dot"/>
                            <a:round/>
                            <a:headEnd type="none" w="med" len="med"/>
                            <a:tailEnd type="none" w="med" len="med"/>
                          </a:ln>
                        </wps:spPr>
                        <wps:bodyPr/>
                      </wps:wsp>
                    </wpg:grpSp>
                    <wps:wsp>
                      <wps:cNvPr id="2074722596" name="矩形 2074722596"/>
                      <wps:cNvSpPr/>
                      <wps:spPr>
                        <a:xfrm rot="5400000">
                          <a:off x="-4688" y="9540"/>
                          <a:ext cx="10942" cy="700"/>
                        </a:xfrm>
                        <a:prstGeom prst="rect">
                          <a:avLst/>
                        </a:prstGeom>
                        <a:solidFill>
                          <a:srgbClr val="FFFFFF"/>
                        </a:solidFill>
                        <a:ln>
                          <a:noFill/>
                        </a:ln>
                      </wps:spPr>
                      <wps:txbx>
                        <w:txbxContent>
                          <w:p w:rsidR="006C6409" w:rsidRDefault="003A7D02" w14:paraId="10E1558C" w14:textId="77777777">
                            <w:pPr>
                              <w:spacing w:after="120"/>
                              <w:ind w:firstLine="600"/>
                              <w:textDirection w:val="btLr"/>
                            </w:pPr>
                            <w:proofErr w:type="spellStart"/>
                            <w:r>
                              <w:rPr>
                                <w:rFonts w:ascii="Times New Roman" w:hAnsi="Times New Roman" w:eastAsia="Times New Roman" w:cs="Times New Roman"/>
                                <w:color w:val="000000"/>
                                <w:sz w:val="28"/>
                              </w:rPr>
                              <w:t>Adaptive Control Systems Final Report</w:t>
                            </w:r>
                            <w:proofErr w:type="spellEnd"/>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8"/>
                              </w:rPr>
                              <w:t xml:space="preserve">  </w:t>
                            </w:r>
                            <w:proofErr w:type="spellStart"/>
                            <w:proofErr w:type="gramStart"/>
                            <w:r>
                              <w:rPr>
                                <w:rFonts w:ascii="Times New Roman" w:hAnsi="Times New Roman" w:eastAsia="Times New Roman" w:cs="Times New Roman"/>
                                <w:color w:val="000000"/>
                                <w:sz w:val="28"/>
                              </w:rPr>
                              <w:t>Reinforcement Learning for Bio-Inspired Torque-Based Quadruped Locomotion</w:t>
                            </w:r>
                            <w:proofErr w:type="spellEnd"/>
                            <w:r>
                              <w:rPr>
                                <w:rFonts w:ascii="Times New Roman" w:hAnsi="Times New Roman" w:eastAsia="Times New Roman" w:cs="Times New Roman"/>
                                <w:color w:val="000000"/>
                                <w:sz w:val="28"/>
                              </w:rPr>
                              <w:t xml:space="preserve">  </w:t>
                            </w:r>
                            <w:proofErr w:type="spellStart"/>
                            <w:r>
                              <w:rPr>
                                <w:rFonts w:ascii="Times New Roman" w:hAnsi="Times New Roman" w:eastAsia="Times New Roman" w:cs="Times New Roman"/>
                                <w:color w:val="000000"/>
                                <w:sz w:val="28"/>
                              </w:rPr>
                              <w:t>Li Chuan-Han</w:t>
                            </w:r>
                            <w:proofErr w:type="spellEnd"/>
                            <w:proofErr w:type="gramEnd"/>
                            <w:r>
                              <w:rPr>
                                <w:rFonts w:ascii="Times New Roman" w:hAnsi="Times New Roman" w:eastAsia="Times New Roman" w:cs="Times New Roman"/>
                                <w:color w:val="000000"/>
                                <w:sz w:val="28"/>
                              </w:rPr>
                              <w:t xml:space="preserve">    </w:t>
                            </w:r>
                            <w:r>
                              <w:rPr>
                                <w:rFonts w:ascii="Times New Roman" w:hAnsi="Times New Roman" w:eastAsia="Times New Roman" w:cs="Times New Roman"/>
                                <w:b/>
                                <w:color w:val="000000"/>
                                <w:sz w:val="28"/>
                              </w:rPr>
                              <w:t xml:space="preserve">     </w:t>
                            </w:r>
                          </w:p>
                        </w:txbxContent>
                      </wps:txbx>
                      <wps:bodyPr spcFirstLastPara="1" wrap="square" lIns="0" tIns="0" rIns="0" bIns="0" anchor="t" anchorCtr="0">
                        <a:noAutofit/>
                      </wps:bodyPr>
                    </wps:wsp>
                  </wpg:grpSp>
                </wpg:wgp>
              </a:graphicData>
            </a:graphic>
          </wp:anchor>
        </w:drawing>
      </w:r>
    </w:p>
    <w:p>
      <w:pPr>
        <w:spacing w:after="200" w:before="560"/>
        <w:jc w:val="center"/>
      </w:pPr>
      <w:r>
        <w:rPr>
          <w:rFonts w:ascii="Times New Roman" w:hAnsi="Times New Roman" w:eastAsia="標楷體"/>
          <w:b w:val="0"/>
          <w:sz w:val="26"/>
        </w:rPr>
        <w:t>Department of Biomechatronics Engineering</w:t>
      </w:r>
    </w:p>
    <w:p>
      <w:pPr>
        <w:spacing w:after="200" w:before="40"/>
        <w:jc w:val="center"/>
      </w:pPr>
      <w:r>
        <w:rPr>
          <w:rFonts w:ascii="Times New Roman" w:hAnsi="Times New Roman" w:eastAsia="標楷體"/>
          <w:b w:val="0"/>
          <w:sz w:val="26"/>
        </w:rPr>
        <w:t>College of Bioresources and Agriculture</w:t>
      </w:r>
    </w:p>
    <w:p>
      <w:pPr>
        <w:spacing w:after="200" w:before="40"/>
        <w:jc w:val="center"/>
      </w:pPr>
      <w:r>
        <w:rPr>
          <w:rFonts w:ascii="Times New Roman" w:hAnsi="Times New Roman" w:eastAsia="標楷體"/>
          <w:b w:val="0"/>
          <w:sz w:val="30"/>
        </w:rPr>
        <w:t>National Taiwan University</w:t>
      </w:r>
    </w:p>
    <w:p>
      <w:pPr>
        <w:spacing w:after="200" w:before="40"/>
        <w:jc w:val="center"/>
      </w:pPr>
      <w:r>
        <w:rPr>
          <w:rFonts w:ascii="Times New Roman" w:hAnsi="Times New Roman" w:eastAsia="標楷體"/>
          <w:b w:val="0"/>
          <w:sz w:val="26"/>
        </w:rPr>
        <w:t>Adaptive Control Systems Final Report</w:t>
      </w:r>
    </w:p>
    <w:p>
      <w:pPr>
        <w:spacing w:after="200" w:before="40"/>
        <w:jc w:val="center"/>
      </w:pPr>
      <w:r>
        <w:rPr>
          <w:rFonts w:ascii="Times New Roman" w:hAnsi="Times New Roman" w:eastAsia="標楷體"/>
          <w:b w:val="0"/>
          <w:sz w:val="26"/>
        </w:rPr>
        <w:t>Reinforcement Learning for Bio-Inspired Torque-Based Quadruped Locomotion: A Cross-Simulator Reproduction and Analysis</w:t>
      </w:r>
    </w:p>
    <w:p>
      <w:pPr>
        <w:spacing w:after="200" w:before="40"/>
        <w:jc w:val="center"/>
      </w:pPr>
      <w:r>
        <w:rPr>
          <w:rFonts w:ascii="Times New Roman" w:hAnsi="Times New Roman" w:eastAsia="標楷體"/>
          <w:b w:val="0"/>
          <w:sz w:val="28"/>
        </w:rPr>
        <w:t>Li Chuan-Han</w:t>
      </w:r>
    </w:p>
    <w:p>
      <w:pPr>
        <w:spacing w:after="200" w:before="40"/>
        <w:jc w:val="center"/>
      </w:pPr>
      <w:r>
        <w:rPr>
          <w:rFonts w:ascii="Times New Roman" w:hAnsi="Times New Roman" w:eastAsia="標楷體"/>
          <w:b w:val="0"/>
          <w:sz w:val="26"/>
        </w:rPr>
        <w:t>Student ID: B11611027</w:t>
      </w:r>
    </w:p>
    <w:p>
      <w:pPr>
        <w:spacing w:after="200" w:before="40"/>
        <w:jc w:val="center"/>
      </w:pPr>
      <w:r>
        <w:rPr>
          <w:rFonts w:ascii="Times New Roman" w:hAnsi="Times New Roman" w:eastAsia="標楷體"/>
          <w:b w:val="0"/>
          <w:sz w:val="26"/>
        </w:rPr>
        <w:t>Teacher: Ming-Li Chiang, Assistant Professor</w:t>
      </w:r>
    </w:p>
    <w:p>
      <w:pPr>
        <w:spacing w:after="200" w:before="40"/>
        <w:jc w:val="center"/>
      </w:pPr>
      <w:r>
        <w:rPr>
          <w:rFonts w:ascii="Times New Roman" w:hAnsi="Times New Roman" w:eastAsia="標楷體"/>
          <w:b w:val="0"/>
          <w:sz w:val="28"/>
        </w:rPr>
        <w:t>June, 2026</w:t>
      </w:r>
    </w:p>
    <w:p>
      <w:pPr>
        <w:pageBreakBefore/>
      </w:pPr>
    </w:p>
    <w:p>
      <w:pPr>
        <w:pStyle w:val="Heading1"/>
        <w:jc w:val="left"/>
      </w:pPr>
      <w:r>
        <w:rPr>
          <w:rFonts w:ascii="Times New Roman" w:hAnsi="Times New Roman" w:eastAsia="標楷體"/>
          <w:b/>
          <w:sz w:val="32"/>
        </w:rPr>
        <w:t>Contents</w:t>
      </w:r>
    </w:p>
    <w:p>
      <w:pPr>
        <w:pStyle w:val="ListBullet"/>
      </w:pPr>
      <w:r>
        <w:rPr>
          <w:rFonts w:ascii="Times New Roman" w:hAnsi="Times New Roman" w:eastAsia="標楷體"/>
          <w:b w:val="0"/>
          <w:sz w:val="24"/>
        </w:rPr>
        <w:t>Abstract</w:t>
      </w:r>
    </w:p>
    <w:p>
      <w:pPr>
        <w:pStyle w:val="ListBullet"/>
      </w:pPr>
      <w:r>
        <w:rPr>
          <w:rFonts w:ascii="Times New Roman" w:hAnsi="Times New Roman" w:eastAsia="標楷體"/>
          <w:b w:val="0"/>
          <w:sz w:val="24"/>
        </w:rPr>
        <w:t>Chapter 1. Introduction</w:t>
      </w:r>
    </w:p>
    <w:p>
      <w:pPr>
        <w:pStyle w:val="ListBullet"/>
      </w:pPr>
      <w:r>
        <w:rPr>
          <w:rFonts w:ascii="Times New Roman" w:hAnsi="Times New Roman" w:eastAsia="標楷體"/>
          <w:b w:val="0"/>
          <w:sz w:val="24"/>
        </w:rPr>
        <w:t>Chapter 2. Method: Reinforcement Learning and PPO</w:t>
      </w:r>
    </w:p>
    <w:p>
      <w:pPr>
        <w:pStyle w:val="ListBullet"/>
      </w:pPr>
      <w:r>
        <w:rPr>
          <w:rFonts w:ascii="Times New Roman" w:hAnsi="Times New Roman" w:eastAsia="標楷體"/>
          <w:b w:val="0"/>
          <w:sz w:val="24"/>
        </w:rPr>
        <w:t>Chapter 3. Core Technology: Torque Control and the Bio-Inspired Locomotion Layer</w:t>
      </w:r>
    </w:p>
    <w:p>
      <w:pPr>
        <w:pStyle w:val="ListBullet"/>
      </w:pPr>
      <w:r>
        <w:rPr>
          <w:rFonts w:ascii="Times New Roman" w:hAnsi="Times New Roman" w:eastAsia="標楷體"/>
          <w:b w:val="0"/>
          <w:sz w:val="24"/>
        </w:rPr>
        <w:t>Chapter 4. Practical Implementation I: Reproducing and Analyzing SATA on Isaac Gym</w:t>
      </w:r>
    </w:p>
    <w:p>
      <w:pPr>
        <w:pStyle w:val="ListBullet"/>
      </w:pPr>
      <w:r>
        <w:rPr>
          <w:rFonts w:ascii="Times New Roman" w:hAnsi="Times New Roman" w:eastAsia="標楷體"/>
          <w:b w:val="0"/>
          <w:sz w:val="24"/>
        </w:rPr>
        <w:t>Chapter 5. Practical Implementation II: Cross-Engine Migration to Isaac Lab</w:t>
      </w:r>
    </w:p>
    <w:p>
      <w:pPr>
        <w:pStyle w:val="ListBullet"/>
      </w:pPr>
      <w:r>
        <w:rPr>
          <w:rFonts w:ascii="Times New Roman" w:hAnsi="Times New Roman" w:eastAsia="標楷體"/>
          <w:b w:val="0"/>
          <w:sz w:val="24"/>
        </w:rPr>
        <w:t>Chapter 6. Results and Methodological Rigor</w:t>
      </w:r>
    </w:p>
    <w:p>
      <w:pPr>
        <w:pStyle w:val="ListBullet"/>
      </w:pPr>
      <w:r>
        <w:rPr>
          <w:rFonts w:ascii="Times New Roman" w:hAnsi="Times New Roman" w:eastAsia="標楷體"/>
          <w:b w:val="0"/>
          <w:sz w:val="24"/>
        </w:rPr>
        <w:t>Chapter 7. Conclusion and Reflection</w:t>
      </w:r>
    </w:p>
    <w:p>
      <w:pPr>
        <w:pStyle w:val="ListBullet"/>
      </w:pPr>
      <w:r>
        <w:rPr>
          <w:rFonts w:ascii="Times New Roman" w:hAnsi="Times New Roman" w:eastAsia="標楷體"/>
          <w:b w:val="0"/>
          <w:sz w:val="24"/>
        </w:rPr>
        <w:t>References</w:t>
      </w:r>
    </w:p>
    <w:p>
      <w:pPr>
        <w:pStyle w:val="ListBullet"/>
      </w:pPr>
      <w:r>
        <w:rPr>
          <w:rFonts w:ascii="Times New Roman" w:hAnsi="Times New Roman" w:eastAsia="標楷體"/>
          <w:b w:val="0"/>
          <w:sz w:val="24"/>
        </w:rPr>
        <w:t>Open Source</w:t>
      </w:r>
    </w:p>
    <w:p>
      <w:pPr>
        <w:pStyle w:val="Heading1"/>
        <w:jc w:val="left"/>
      </w:pPr>
      <w:r>
        <w:rPr>
          <w:rFonts w:ascii="Times New Roman" w:hAnsi="Times New Roman" w:eastAsia="標楷體"/>
          <w:b/>
          <w:sz w:val="32"/>
        </w:rPr>
        <w:t>Abstract</w:t>
      </w:r>
    </w:p>
    <w:p>
      <w:r>
        <w:rPr>
          <w:rFonts w:ascii="Times New Roman" w:hAnsi="Times New Roman" w:eastAsia="標楷體"/>
          <w:b w:val="0"/>
          <w:sz w:val="24"/>
        </w:rPr>
        <w:t xml:space="preserve">This report is a </w:t>
      </w:r>
      <w:r>
        <w:rPr>
          <w:rFonts w:ascii="Times New Roman" w:hAnsi="Times New Roman" w:eastAsia="標楷體"/>
          <w:b/>
          <w:sz w:val="24"/>
        </w:rPr>
        <w:t>deep reinforcement learning</w:t>
      </w:r>
      <w:r>
        <w:rPr>
          <w:rFonts w:ascii="Times New Roman" w:hAnsi="Times New Roman" w:eastAsia="標楷體"/>
          <w:b w:val="0"/>
          <w:sz w:val="24"/>
        </w:rPr>
        <w:t xml:space="preserve"> project: it trains and analyzes a quadruped locomotion controller using neural-network policies, the PPO algorithm, and ablation studies. Reinforcement learning controllers for quadruped robots predominantly rely on </w:t>
      </w:r>
      <w:r>
        <w:rPr>
          <w:rFonts w:ascii="Times New Roman" w:hAnsi="Times New Roman" w:eastAsia="標楷體"/>
          <w:b/>
          <w:sz w:val="24"/>
        </w:rPr>
        <w:t>position control</w:t>
      </w:r>
      <w:r>
        <w:rPr>
          <w:rFonts w:ascii="Times New Roman" w:hAnsi="Times New Roman" w:eastAsia="標楷體"/>
          <w:b w:val="0"/>
          <w:sz w:val="24"/>
        </w:rPr>
        <w:t xml:space="preserve">: the policy network outputs target joint angles, which a low-level proportional-derivative (PD) controller then converts into joint torques. Position control is easy to train but produces stiff behavior with insufficient compliance, and it tends to overreact when confronted with unforeseen disturbances. </w:t>
      </w:r>
      <w:r>
        <w:rPr>
          <w:rFonts w:ascii="Times New Roman" w:hAnsi="Times New Roman" w:eastAsia="標楷體"/>
          <w:b/>
          <w:sz w:val="24"/>
        </w:rPr>
        <w:t>Torque control</w:t>
      </w:r>
      <w:r>
        <w:rPr>
          <w:rFonts w:ascii="Times New Roman" w:hAnsi="Times New Roman" w:eastAsia="標楷體"/>
          <w:b w:val="0"/>
          <w:sz w:val="24"/>
        </w:rPr>
        <w:t xml:space="preserve"> commands joint torques directly and is a more compliant alternative, but its action space is highly nonlinear, exploration is inefficient in early training, and it has long been regarded as difficult to train. This report centers on </w:t>
      </w:r>
      <w:r>
        <w:rPr>
          <w:rFonts w:ascii="Times New Roman" w:hAnsi="Times New Roman" w:eastAsia="標楷體"/>
          <w:b/>
          <w:sz w:val="24"/>
        </w:rPr>
        <w:t>Safe and Adaptive Torque-Based Locomotion Policies Inspired by Animal Learning (SATA)</w:t>
      </w:r>
      <w:r>
        <w:rPr>
          <w:rFonts w:ascii="Times New Roman" w:hAnsi="Times New Roman" w:eastAsia="標楷體"/>
          <w:b w:val="0"/>
          <w:sz w:val="24"/>
        </w:rPr>
        <w:t xml:space="preserve"> (arXiv:2502.12674), proposed by Li et al. in 2025 at the marmotlab of the National University of Singapore. We fully reproduce its torque control pipeline on the Unitree Go2 quadruped and analyze it through the lens of questions raised by adaptive and robust control.</w:t>
      </w:r>
    </w:p>
    <w:p>
      <w:r>
        <w:rPr>
          <w:rFonts w:ascii="Times New Roman" w:hAnsi="Times New Roman" w:eastAsia="標楷體"/>
          <w:b w:val="0"/>
          <w:sz w:val="24"/>
        </w:rPr>
        <w:t xml:space="preserve">The implementation in this study spans two stages. In the </w:t>
      </w:r>
      <w:r>
        <w:rPr>
          <w:rFonts w:ascii="Times New Roman" w:hAnsi="Times New Roman" w:eastAsia="標楷體"/>
          <w:b/>
          <w:sz w:val="24"/>
        </w:rPr>
        <w:t>first stage</w:t>
      </w:r>
      <w:r>
        <w:rPr>
          <w:rFonts w:ascii="Times New Roman" w:hAnsi="Times New Roman" w:eastAsia="標楷體"/>
          <w:b w:val="0"/>
          <w:sz w:val="24"/>
        </w:rPr>
        <w:t xml:space="preserve">, we reproduce SATA on the Isaac Gym simulator and conduct a systematic four-phase analysis: reproducing the reference policy (eight random seeds), ablating each of the three bio-inspired mechanisms one at a time, evaluating the hardware feasibility of all forty-eight policies under payload and external-force disturbances, and testing a classical residual compensation term. In the </w:t>
      </w:r>
      <w:r>
        <w:rPr>
          <w:rFonts w:ascii="Times New Roman" w:hAnsi="Times New Roman" w:eastAsia="標楷體"/>
          <w:b/>
          <w:sz w:val="24"/>
        </w:rPr>
        <w:t>second stage</w:t>
      </w:r>
      <w:r>
        <w:rPr>
          <w:rFonts w:ascii="Times New Roman" w:hAnsi="Times New Roman" w:eastAsia="標楷體"/>
          <w:b w:val="0"/>
          <w:sz w:val="24"/>
        </w:rPr>
        <w:t>, we migrate the entire pipeline to NVIDIA's next-generation engine, Isaac Lab, and compare cross-engine fidelity item by item while holding the robot (Go2) fixed as the control variable.</w:t>
      </w:r>
    </w:p>
    <w:p>
      <w:r>
        <w:rPr>
          <w:rFonts w:ascii="Times New Roman" w:hAnsi="Times New Roman" w:eastAsia="標楷體"/>
          <w:b w:val="0"/>
          <w:sz w:val="24"/>
        </w:rPr>
        <w:t xml:space="preserve">This report emphasizes </w:t>
      </w:r>
      <w:r>
        <w:rPr>
          <w:rFonts w:ascii="Times New Roman" w:hAnsi="Times New Roman" w:eastAsia="標楷體"/>
          <w:b/>
          <w:sz w:val="24"/>
        </w:rPr>
        <w:t>hands-on implementation</w:t>
      </w:r>
      <w:r>
        <w:rPr>
          <w:rFonts w:ascii="Times New Roman" w:hAnsi="Times New Roman" w:eastAsia="標楷體"/>
          <w:b w:val="0"/>
          <w:sz w:val="24"/>
        </w:rPr>
        <w:t>: all results were trained, evaluated, and reproduced by us, rather than merely cited from the paper. Both projects are open-sourced (links at the end), and anyone may use, inspect, or build upon them under their respective licenses. We maintain statistical rigor throughout the analysis (at least five seeds per condition, reporting means and sample standard deviations, and using Welch's t-test), and where a phenomenon cannot be confirmed, we honestly leave it as an open question rather than overclaiming.</w:t>
      </w:r>
    </w:p>
    <w:p>
      <w:r>
        <w:rPr>
          <w:rFonts w:ascii="Times New Roman" w:hAnsi="Times New Roman" w:eastAsia="標楷體"/>
          <w:b/>
          <w:sz w:val="24"/>
        </w:rPr>
        <w:t>Keywords</w:t>
      </w:r>
      <w:r>
        <w:rPr>
          <w:rFonts w:ascii="Times New Roman" w:hAnsi="Times New Roman" w:eastAsia="標楷體"/>
          <w:b w:val="0"/>
          <w:sz w:val="24"/>
        </w:rPr>
        <w:t>: Deep Reinforcement Learning, Neural Network Policy, PPO, Torque Control, Bio-Inspired Locomotion, Quadruped, Cross-Engine Reproduction</w:t>
      </w:r>
    </w:p>
    <w:p>
      <w:pPr>
        <w:pStyle w:val="Heading1"/>
        <w:jc w:val="left"/>
      </w:pPr>
      <w:r>
        <w:rPr>
          <w:rFonts w:ascii="Times New Roman" w:hAnsi="Times New Roman" w:eastAsia="標楷體"/>
          <w:b/>
          <w:sz w:val="32"/>
        </w:rPr>
        <w:t>Chapter 1. Introduction</w:t>
      </w:r>
    </w:p>
    <w:p>
      <w:pPr>
        <w:pStyle w:val="Heading2"/>
        <w:jc w:val="left"/>
      </w:pPr>
      <w:r>
        <w:rPr>
          <w:rFonts w:ascii="Times New Roman" w:hAnsi="Times New Roman" w:eastAsia="標楷體"/>
          <w:b/>
          <w:sz w:val="26"/>
        </w:rPr>
        <w:t>1.1 Motivation</w:t>
      </w:r>
    </w:p>
    <w:p>
      <w:r>
        <w:rPr>
          <w:rFonts w:ascii="Times New Roman" w:hAnsi="Times New Roman" w:eastAsia="標楷體"/>
          <w:b w:val="0"/>
          <w:sz w:val="24"/>
        </w:rPr>
        <w:t xml:space="preserve">Enabling quadruped robots to walk robustly over unknown, unstructured terrain is one of the central problems in embodied AI. Most current reinforcement-learning locomotion controllers output </w:t>
      </w:r>
      <w:r>
        <w:rPr>
          <w:rFonts w:ascii="Times New Roman" w:hAnsi="Times New Roman" w:eastAsia="標楷體"/>
          <w:b/>
          <w:sz w:val="24"/>
        </w:rPr>
        <w:t>target joint angles</w:t>
      </w:r>
      <w:r>
        <w:rPr>
          <w:rFonts w:ascii="Times New Roman" w:hAnsi="Times New Roman" w:eastAsia="標楷體"/>
          <w:b w:val="0"/>
          <w:sz w:val="24"/>
        </w:rPr>
        <w:t>, which must then pass through a low-level controller to be converted into torques. The advantage of this position control scheme is stable training; its drawback is stiff behavior: it only ever tries to "track the commanded angle," even when the environment indicates it should yield. For example, a leg that has become stuck is still forced toward its target angle, which limits compliance and dynamic behavior and tends to overreact to sudden disturbances.</w:t>
      </w:r>
    </w:p>
    <w:p>
      <w:r>
        <w:rPr>
          <w:rFonts w:ascii="Times New Roman" w:hAnsi="Times New Roman" w:eastAsia="標楷體"/>
          <w:b w:val="0"/>
          <w:sz w:val="24"/>
        </w:rPr>
        <w:t>Torque control offers the opposite characteristics: by commanding joint torques directly, the robot can "absorb" external forces and recover, much like real muscle. The cost, however, is that it is hard to train. The SATA paper states plainly that the action space of torque control is "highly nonlinear" and that "exploration is inefficient during training," which has made prior torque-based reinforcement learning results fragile and sensitive to hyperparameters.</w:t>
      </w:r>
    </w:p>
    <w:p>
      <w:r>
        <w:rPr>
          <w:rFonts w:ascii="Times New Roman" w:hAnsi="Times New Roman" w:eastAsia="標楷體"/>
          <w:b w:val="0"/>
          <w:sz w:val="24"/>
        </w:rPr>
        <w:t xml:space="preserve">This difficulty is not a vague claim; it can be understood mechanistically. Position control implicitly carries a </w:t>
      </w:r>
      <w:r>
        <w:rPr>
          <w:rFonts w:ascii="Times New Roman" w:hAnsi="Times New Roman" w:eastAsia="標楷體"/>
          <w:b/>
          <w:sz w:val="24"/>
        </w:rPr>
        <w:t>stability safety net</w:t>
      </w:r>
      <w:r>
        <w:rPr>
          <w:rFonts w:ascii="Times New Roman" w:hAnsi="Times New Roman" w:eastAsia="標楷體"/>
          <w:b w:val="0"/>
          <w:sz w:val="24"/>
        </w:rPr>
        <w:t>: once the policy outputs a target angle, the PD controller drives the joint toward that angle, and the PD restoring force itself provides basic postural stability, so that even a random early policy does not immediately diverge. Torque control has no such protection -- the policy commands torque directly, and random early exploration easily produces violent, divergent actions (the robot instantly topples or twitches), from which little useful learning signal can accumulate. Moreover, the mapping from "torque" to "the robot's next state" is far more indirect and nonlinear than from "target angle": the same torque has wildly different consequences at different joint velocities and contact states, making the reward landscape rougher and riddled with local optima. This is precisely where SATA intervenes.</w:t>
      </w:r>
    </w:p>
    <w:p>
      <w:r>
        <w:rPr>
          <w:rFonts w:ascii="Times New Roman" w:hAnsi="Times New Roman" w:eastAsia="標楷體"/>
          <w:b w:val="0"/>
          <w:sz w:val="24"/>
        </w:rPr>
        <w:t xml:space="preserve">The core claim of SATA is this: rather than brute-forcing the training, one should </w:t>
      </w:r>
      <w:r>
        <w:rPr>
          <w:rFonts w:ascii="Times New Roman" w:hAnsi="Times New Roman" w:eastAsia="標楷體"/>
          <w:b/>
          <w:sz w:val="24"/>
        </w:rPr>
        <w:t>"shape" the torque action space using biomechanics</w:t>
      </w:r>
      <w:r>
        <w:rPr>
          <w:rFonts w:ascii="Times New Roman" w:hAnsi="Times New Roman" w:eastAsia="標楷體"/>
          <w:b w:val="0"/>
          <w:sz w:val="24"/>
        </w:rPr>
        <w:t>, making it simultaneously easier to learn and more physically feasible.</w:t>
      </w:r>
    </w:p>
    <w:p>
      <w:pPr>
        <w:pStyle w:val="Heading2"/>
        <w:jc w:val="left"/>
      </w:pPr>
      <w:r>
        <w:rPr>
          <w:rFonts w:ascii="Times New Roman" w:hAnsi="Times New Roman" w:eastAsia="標楷體"/>
          <w:b/>
          <w:sz w:val="26"/>
        </w:rPr>
        <w:t>1.2 Objectives</w:t>
      </w:r>
    </w:p>
    <w:p>
      <w:r>
        <w:rPr>
          <w:rFonts w:ascii="Times New Roman" w:hAnsi="Times New Roman" w:eastAsia="標楷體"/>
          <w:b w:val="0"/>
          <w:sz w:val="24"/>
        </w:rPr>
        <w:t>This report does not propose a new method; it is an implementation-focused reproduction and analysis study with three objectives:</w:t>
      </w:r>
    </w:p>
    <w:p>
      <w:pPr>
        <w:pStyle w:val="ListNumber"/>
      </w:pPr>
      <w:r>
        <w:rPr>
          <w:rFonts w:ascii="Times New Roman" w:hAnsi="Times New Roman" w:eastAsia="標楷體"/>
          <w:b/>
          <w:sz w:val="24"/>
        </w:rPr>
        <w:t>Fully reproduce</w:t>
      </w:r>
      <w:r>
        <w:rPr>
          <w:rFonts w:ascii="Times New Roman" w:hAnsi="Times New Roman" w:eastAsia="標楷體"/>
          <w:b w:val="0"/>
          <w:sz w:val="24"/>
        </w:rPr>
        <w:t xml:space="preserve"> SATA's torque control pipeline in simulation (Isaac Gym + Unitree Go2).</w:t>
      </w:r>
    </w:p>
    <w:p>
      <w:pPr>
        <w:pStyle w:val="ListNumber"/>
      </w:pPr>
      <w:r>
        <w:rPr>
          <w:rFonts w:ascii="Times New Roman" w:hAnsi="Times New Roman" w:eastAsia="標楷體"/>
          <w:b/>
          <w:sz w:val="24"/>
        </w:rPr>
        <w:t>Analyze how the bio-inspired design gives rise to adaptive behavior</w:t>
      </w:r>
      <w:r>
        <w:rPr>
          <w:rFonts w:ascii="Times New Roman" w:hAnsi="Times New Roman" w:eastAsia="標楷體"/>
          <w:b w:val="0"/>
          <w:sz w:val="24"/>
        </w:rPr>
        <w:t xml:space="preserve"> by ablating the biomechanical model, the fatigue feedback, and the growth mechanism one at a time, and quantifying the role of each.</w:t>
      </w:r>
    </w:p>
    <w:p>
      <w:pPr>
        <w:pStyle w:val="ListNumber"/>
      </w:pPr>
      <w:r>
        <w:rPr>
          <w:rFonts w:ascii="Times New Roman" w:hAnsi="Times New Roman" w:eastAsia="標楷體"/>
          <w:b/>
          <w:sz w:val="24"/>
        </w:rPr>
        <w:t>Migrate across engines</w:t>
      </w:r>
      <w:r>
        <w:rPr>
          <w:rFonts w:ascii="Times New Roman" w:hAnsi="Times New Roman" w:eastAsia="標楷體"/>
          <w:b w:val="0"/>
          <w:sz w:val="24"/>
        </w:rPr>
        <w:t xml:space="preserve"> by porting the entire pipeline to Isaac Lab and testing whether "a faithful port still holds after the engine is swapped."</w:t>
      </w:r>
    </w:p>
    <w:p>
      <w:pPr>
        <w:pStyle w:val="Heading2"/>
        <w:jc w:val="left"/>
      </w:pPr>
      <w:r>
        <w:rPr>
          <w:rFonts w:ascii="Times New Roman" w:hAnsi="Times New Roman" w:eastAsia="標楷體"/>
          <w:b/>
          <w:sz w:val="26"/>
        </w:rPr>
        <w:t>1.3 Contribution and Positioning</w:t>
      </w:r>
    </w:p>
    <w:p>
      <w:r>
        <w:rPr>
          <w:rFonts w:ascii="Times New Roman" w:hAnsi="Times New Roman" w:eastAsia="標楷體"/>
          <w:b w:val="0"/>
          <w:sz w:val="24"/>
        </w:rPr>
        <w:t xml:space="preserve">The value of this study lies in </w:t>
      </w:r>
      <w:r>
        <w:rPr>
          <w:rFonts w:ascii="Times New Roman" w:hAnsi="Times New Roman" w:eastAsia="標楷體"/>
          <w:b/>
          <w:sz w:val="24"/>
        </w:rPr>
        <w:t>hands-on implementation and honest analysis</w:t>
      </w:r>
      <w:r>
        <w:rPr>
          <w:rFonts w:ascii="Times New Roman" w:hAnsi="Times New Roman" w:eastAsia="標楷體"/>
          <w:b w:val="0"/>
          <w:sz w:val="24"/>
        </w:rPr>
        <w:t xml:space="preserve">, not in any claim to overturn or surpass the original paper. Specifically: we connect the ablation results through questions posed by control theory, quantifying the role of the bio-inspired mechanisms along the axis of </w:t>
      </w:r>
      <w:r>
        <w:rPr>
          <w:rFonts w:ascii="Times New Roman" w:hAnsi="Times New Roman" w:eastAsia="標楷體"/>
          <w:b/>
          <w:sz w:val="24"/>
        </w:rPr>
        <w:t>hardware feasibility</w:t>
      </w:r>
      <w:r>
        <w:rPr>
          <w:rFonts w:ascii="Times New Roman" w:hAnsi="Times New Roman" w:eastAsia="標楷體"/>
          <w:b w:val="0"/>
          <w:sz w:val="24"/>
        </w:rPr>
        <w:t>; we maintain statistical rigor throughout; and where evidence is insufficient, we honestly leave a phenomenon as an open question. Both projects are open-sourced as evidence of inspectable, repeatable research capability.</w:t>
      </w:r>
    </w:p>
    <w:p>
      <w:pPr>
        <w:jc w:val="center"/>
      </w:pPr>
      <w:r>
        <w:drawing>
          <wp:inline xmlns:a="http://schemas.openxmlformats.org/drawingml/2006/main" xmlns:pic="http://schemas.openxmlformats.org/drawingml/2006/picture">
            <wp:extent cx="4114800" cy="2331720"/>
            <wp:docPr id="2095721716" name="Picture 2095721716"/>
            <wp:cNvGraphicFramePr>
              <a:graphicFrameLocks noChangeAspect="1"/>
            </wp:cNvGraphicFramePr>
            <a:graphic>
              <a:graphicData uri="http://schemas.openxmlformats.org/drawingml/2006/picture">
                <pic:pic>
                  <pic:nvPicPr>
                    <pic:cNvPr id="0" name="fig1_push.png"/>
                    <pic:cNvPicPr/>
                  </pic:nvPicPr>
                  <pic:blipFill>
                    <a:blip r:embed="rId9"/>
                    <a:stretch>
                      <a:fillRect/>
                    </a:stretch>
                  </pic:blipFill>
                  <pic:spPr>
                    <a:xfrm>
                      <a:off x="0" y="0"/>
                      <a:ext cx="4114800" cy="2331720"/>
                    </a:xfrm>
                    <a:prstGeom prst="rect"/>
                  </pic:spPr>
                </pic:pic>
              </a:graphicData>
            </a:graphic>
          </wp:inline>
        </w:drawing>
      </w:r>
    </w:p>
    <w:p>
      <w:pPr>
        <w:jc w:val="center"/>
      </w:pPr>
      <w:r>
        <w:rPr>
          <w:rFonts w:ascii="Times New Roman" w:hAnsi="Times New Roman" w:eastAsia="標楷體"/>
          <w:b w:val="0"/>
          <w:i/>
          <w:sz w:val="20"/>
        </w:rPr>
        <w:t>The instant the SATA reference policy absorbs a lateral external force (from `ev_push.gif`) -- the robot staggers, regains its footing, and recovers its gait, intuitively demonstrating the compliance of torque control. The arrows are annotations overlaid after the fact; the external force is genuinely applied in simulation.</w:t>
      </w:r>
    </w:p>
    <w:p>
      <w:pPr>
        <w:pStyle w:val="Heading1"/>
        <w:jc w:val="left"/>
      </w:pPr>
      <w:r>
        <w:rPr>
          <w:rFonts w:ascii="Times New Roman" w:hAnsi="Times New Roman" w:eastAsia="標楷體"/>
          <w:b/>
          <w:sz w:val="32"/>
        </w:rPr>
        <w:t>Chapter 2. Method: Reinforcement Learning and PPO</w:t>
      </w:r>
    </w:p>
    <w:p>
      <w:r>
        <w:rPr>
          <w:rFonts w:ascii="Times New Roman" w:hAnsi="Times New Roman" w:eastAsia="標楷體"/>
          <w:b w:val="0"/>
          <w:sz w:val="24"/>
        </w:rPr>
        <w:t xml:space="preserve">The core method of this project is </w:t>
      </w:r>
      <w:r>
        <w:rPr>
          <w:rFonts w:ascii="Times New Roman" w:hAnsi="Times New Roman" w:eastAsia="標楷體"/>
          <w:b/>
          <w:sz w:val="24"/>
        </w:rPr>
        <w:t>reinforcement learning (RL)</w:t>
      </w:r>
      <w:r>
        <w:rPr>
          <w:rFonts w:ascii="Times New Roman" w:hAnsi="Times New Roman" w:eastAsia="標楷體"/>
          <w:b w:val="0"/>
          <w:sz w:val="24"/>
        </w:rPr>
        <w:t xml:space="preserve"> -- more precisely, training a neural-network policy with </w:t>
      </w:r>
      <w:r>
        <w:rPr>
          <w:rFonts w:ascii="Times New Roman" w:hAnsi="Times New Roman" w:eastAsia="標楷體"/>
          <w:b/>
          <w:sz w:val="24"/>
        </w:rPr>
        <w:t>Proximal Policy Optimization (PPO)</w:t>
      </w:r>
      <w:r>
        <w:rPr>
          <w:rFonts w:ascii="Times New Roman" w:hAnsi="Times New Roman" w:eastAsia="標楷體"/>
          <w:b w:val="0"/>
          <w:sz w:val="24"/>
        </w:rPr>
        <w:t>. This chapter explains the RL problem formulation, how PPO works, and the network, observation, action, reward, and hyperparameter settings actually used in this study.</w:t>
      </w:r>
    </w:p>
    <w:p>
      <w:pPr>
        <w:pStyle w:val="Heading2"/>
        <w:jc w:val="left"/>
      </w:pPr>
      <w:r>
        <w:rPr>
          <w:rFonts w:ascii="Times New Roman" w:hAnsi="Times New Roman" w:eastAsia="標楷體"/>
          <w:b/>
          <w:sz w:val="26"/>
        </w:rPr>
        <w:t>2.1 The Reinforcement Learning Problem</w:t>
      </w:r>
    </w:p>
    <w:p>
      <w:r>
        <w:rPr>
          <w:rFonts w:ascii="Times New Roman" w:hAnsi="Times New Roman" w:eastAsia="標楷體"/>
          <w:b w:val="0"/>
          <w:sz w:val="24"/>
        </w:rPr>
        <w:t xml:space="preserve">Quadruped locomotion control can be cast as a </w:t>
      </w:r>
      <w:r>
        <w:rPr>
          <w:rFonts w:ascii="Times New Roman" w:hAnsi="Times New Roman" w:eastAsia="標楷體"/>
          <w:b/>
          <w:sz w:val="24"/>
        </w:rPr>
        <w:t>Markov Decision Process (MDP)</w:t>
      </w:r>
      <w:r>
        <w:rPr>
          <w:rFonts w:ascii="Times New Roman" w:hAnsi="Times New Roman" w:eastAsia="標楷體"/>
          <w:b w:val="0"/>
          <w:sz w:val="24"/>
        </w:rPr>
        <w:t xml:space="preserve">: at each time step the agent (the robot policy) observes the current </w:t>
      </w:r>
      <w:r>
        <w:rPr>
          <w:rFonts w:ascii="Times New Roman" w:hAnsi="Times New Roman" w:eastAsia="標楷體"/>
          <w:b/>
          <w:sz w:val="24"/>
        </w:rPr>
        <w:t>state</w:t>
      </w:r>
      <w:r>
        <w:rPr>
          <w:rFonts w:ascii="Times New Roman" w:hAnsi="Times New Roman" w:eastAsia="標楷體"/>
          <w:b w:val="0"/>
          <w:sz w:val="24"/>
        </w:rPr>
        <w:t xml:space="preserve">, outputs an </w:t>
      </w:r>
      <w:r>
        <w:rPr>
          <w:rFonts w:ascii="Times New Roman" w:hAnsi="Times New Roman" w:eastAsia="標楷體"/>
          <w:b/>
          <w:sz w:val="24"/>
        </w:rPr>
        <w:t>action</w:t>
      </w:r>
      <w:r>
        <w:rPr>
          <w:rFonts w:ascii="Times New Roman" w:hAnsi="Times New Roman" w:eastAsia="標楷體"/>
          <w:b w:val="0"/>
          <w:sz w:val="24"/>
        </w:rPr>
        <w:t xml:space="preserve">, the environment transitions to the next state and returns a </w:t>
      </w:r>
      <w:r>
        <w:rPr>
          <w:rFonts w:ascii="Times New Roman" w:hAnsi="Times New Roman" w:eastAsia="標楷體"/>
          <w:b/>
          <w:sz w:val="24"/>
        </w:rPr>
        <w:t>reward</w:t>
      </w:r>
      <w:r>
        <w:rPr>
          <w:rFonts w:ascii="Times New Roman" w:hAnsi="Times New Roman" w:eastAsia="標楷體"/>
          <w:b w:val="0"/>
          <w:sz w:val="24"/>
        </w:rPr>
        <w:t xml:space="preserve">. The learning objective is to find a </w:t>
      </w:r>
      <w:r>
        <w:rPr>
          <w:rFonts w:ascii="Times New Roman" w:hAnsi="Times New Roman" w:eastAsia="標楷體"/>
          <w:b/>
          <w:sz w:val="24"/>
        </w:rPr>
        <w:t>policy</w:t>
      </w:r>
      <w:r>
        <w:rPr>
          <w:rFonts w:ascii="Times New Roman" w:hAnsi="Times New Roman" w:eastAsia="標楷體"/>
          <w:b w:val="0"/>
          <w:sz w:val="24"/>
        </w:rPr>
        <w:t xml:space="preserve"> $\pi$ -- a function mapping states to actions -- that maximizes the expected long-term discounted reward.</w:t>
      </w:r>
    </w:p>
    <w:p>
      <w:r>
        <w:rPr>
          <w:rFonts w:ascii="Times New Roman" w:hAnsi="Times New Roman" w:eastAsia="標楷體"/>
          <w:b w:val="0"/>
          <w:sz w:val="24"/>
        </w:rPr>
        <w:t xml:space="preserve">We use RL rather than a hand-designed control law because the dynamics of a quadruped on rough terrain are highly nonlinear and hard to model analytically; RL lets the policy </w:t>
      </w:r>
      <w:r>
        <w:rPr>
          <w:rFonts w:ascii="Times New Roman" w:hAnsi="Times New Roman" w:eastAsia="標楷體"/>
          <w:b/>
          <w:sz w:val="24"/>
        </w:rPr>
        <w:t>learn directly from large amounts of interaction with the simulated environment</w:t>
      </w:r>
      <w:r>
        <w:rPr>
          <w:rFonts w:ascii="Times New Roman" w:hAnsi="Times New Roman" w:eastAsia="標楷體"/>
          <w:b w:val="0"/>
          <w:sz w:val="24"/>
        </w:rPr>
        <w:t>, without writing down control equations in advance. In this project the state is the robot's proprioception (velocities, orientation, joint states, etc.), the action is the torque command for the twelve joints, and the reward encourages tracking velocity commands while maintaining body height and posture (see 2.4).</w:t>
      </w:r>
    </w:p>
    <w:p>
      <w:pPr>
        <w:pStyle w:val="Heading2"/>
        <w:jc w:val="left"/>
      </w:pPr>
      <w:r>
        <w:rPr>
          <w:rFonts w:ascii="Times New Roman" w:hAnsi="Times New Roman" w:eastAsia="標楷體"/>
          <w:b/>
          <w:sz w:val="26"/>
        </w:rPr>
        <w:t>2.2 The PPO Algorithm</w:t>
      </w:r>
    </w:p>
    <w:p>
      <w:r>
        <w:rPr>
          <w:rFonts w:ascii="Times New Roman" w:hAnsi="Times New Roman" w:eastAsia="標楷體"/>
          <w:b w:val="0"/>
          <w:sz w:val="24"/>
        </w:rPr>
        <w:t xml:space="preserve">PPO is one of the most widely used </w:t>
      </w:r>
      <w:r>
        <w:rPr>
          <w:rFonts w:ascii="Times New Roman" w:hAnsi="Times New Roman" w:eastAsia="標楷體"/>
          <w:b/>
          <w:sz w:val="24"/>
        </w:rPr>
        <w:t>policy-gradient</w:t>
      </w:r>
      <w:r>
        <w:rPr>
          <w:rFonts w:ascii="Times New Roman" w:hAnsi="Times New Roman" w:eastAsia="標楷體"/>
          <w:b w:val="0"/>
          <w:sz w:val="24"/>
        </w:rPr>
        <w:t xml:space="preserve"> algorithms for continuous control and adopts an </w:t>
      </w:r>
      <w:r>
        <w:rPr>
          <w:rFonts w:ascii="Times New Roman" w:hAnsi="Times New Roman" w:eastAsia="標楷體"/>
          <w:b/>
          <w:sz w:val="24"/>
        </w:rPr>
        <w:t>actor-critic</w:t>
      </w:r>
      <w:r>
        <w:rPr>
          <w:rFonts w:ascii="Times New Roman" w:hAnsi="Times New Roman" w:eastAsia="標楷體"/>
          <w:b w:val="0"/>
          <w:sz w:val="24"/>
        </w:rPr>
        <w:t xml:space="preserve"> architecture:</w:t>
      </w:r>
    </w:p>
    <w:p>
      <w:pPr>
        <w:pStyle w:val="ListBullet"/>
      </w:pPr>
      <w:r>
        <w:rPr>
          <w:rFonts w:ascii="Times New Roman" w:hAnsi="Times New Roman" w:eastAsia="標楷體"/>
          <w:b w:val="0"/>
          <w:sz w:val="24"/>
        </w:rPr>
        <w:t xml:space="preserve">The </w:t>
      </w:r>
      <w:r>
        <w:rPr>
          <w:rFonts w:ascii="Times New Roman" w:hAnsi="Times New Roman" w:eastAsia="標楷體"/>
          <w:b/>
          <w:sz w:val="24"/>
        </w:rPr>
        <w:t>actor (policy network)</w:t>
      </w:r>
      <w:r>
        <w:rPr>
          <w:rFonts w:ascii="Times New Roman" w:hAnsi="Times New Roman" w:eastAsia="標楷體"/>
          <w:b w:val="0"/>
          <w:sz w:val="24"/>
        </w:rPr>
        <w:t xml:space="preserve"> outputs a probability distribution over actions (here a diagonal Gaussian whose mean is produced by the network and whose standard deviation is a learnable parameter);</w:t>
      </w:r>
    </w:p>
    <w:p>
      <w:pPr>
        <w:pStyle w:val="ListBullet"/>
      </w:pPr>
      <w:r>
        <w:rPr>
          <w:rFonts w:ascii="Times New Roman" w:hAnsi="Times New Roman" w:eastAsia="標楷體"/>
          <w:b w:val="0"/>
          <w:sz w:val="24"/>
        </w:rPr>
        <w:t xml:space="preserve">The </w:t>
      </w:r>
      <w:r>
        <w:rPr>
          <w:rFonts w:ascii="Times New Roman" w:hAnsi="Times New Roman" w:eastAsia="標楷體"/>
          <w:b/>
          <w:sz w:val="24"/>
        </w:rPr>
        <w:t>critic (value network)</w:t>
      </w:r>
      <w:r>
        <w:rPr>
          <w:rFonts w:ascii="Times New Roman" w:hAnsi="Times New Roman" w:eastAsia="標楷體"/>
          <w:b w:val="0"/>
          <w:sz w:val="24"/>
        </w:rPr>
        <w:t xml:space="preserve"> estimates the value of a state, which is used to compute the </w:t>
      </w:r>
      <w:r>
        <w:rPr>
          <w:rFonts w:ascii="Times New Roman" w:hAnsi="Times New Roman" w:eastAsia="標楷體"/>
          <w:b/>
          <w:sz w:val="24"/>
        </w:rPr>
        <w:t>advantage</w:t>
      </w:r>
      <w:r>
        <w:rPr>
          <w:rFonts w:ascii="Times New Roman" w:hAnsi="Times New Roman" w:eastAsia="標楷體"/>
          <w:b w:val="0"/>
          <w:sz w:val="24"/>
        </w:rPr>
        <w:t xml:space="preserve"> -- how much better a given action is than average. We compute advantages with </w:t>
      </w:r>
      <w:r>
        <w:rPr>
          <w:rFonts w:ascii="Times New Roman" w:hAnsi="Times New Roman" w:eastAsia="標楷體"/>
          <w:b/>
          <w:sz w:val="24"/>
        </w:rPr>
        <w:t>Generalized Advantage Estimation (GAE, $\lambda=0.95$, $\gamma=0.99$)</w:t>
      </w:r>
      <w:r>
        <w:rPr>
          <w:rFonts w:ascii="Times New Roman" w:hAnsi="Times New Roman" w:eastAsia="標楷體"/>
          <w:b w:val="0"/>
          <w:sz w:val="24"/>
        </w:rPr>
        <w:t>.</w:t>
      </w:r>
    </w:p>
    <w:p>
      <w:r>
        <w:rPr>
          <w:rFonts w:ascii="Times New Roman" w:hAnsi="Times New Roman" w:eastAsia="標楷體"/>
          <w:b w:val="0"/>
          <w:sz w:val="24"/>
        </w:rPr>
        <w:t xml:space="preserve">PPO's key innovation is the </w:t>
      </w:r>
      <w:r>
        <w:rPr>
          <w:rFonts w:ascii="Times New Roman" w:hAnsi="Times New Roman" w:eastAsia="標楷體"/>
          <w:b/>
          <w:sz w:val="24"/>
        </w:rPr>
        <w:t>clipped surrogate objective</w:t>
      </w:r>
      <w:r>
        <w:rPr>
          <w:rFonts w:ascii="Times New Roman" w:hAnsi="Times New Roman" w:eastAsia="標楷體"/>
          <w:b w:val="0"/>
          <w:sz w:val="24"/>
        </w:rPr>
        <w:t>: it limits how far the new-to-old policy probability ratio may deviate from 1 (clip range $\epsilon=0.2$) on each update, preventing a single update from being so large that it destroys the learned policy. The loss is</w:t>
      </w:r>
    </w:p>
    <w:p>
      <w:pPr>
        <w:shd w:fill="F2F2F2"/>
      </w:pPr>
      <w:r>
        <w:rPr>
          <w:rFonts w:ascii="Consolas" w:hAnsi="Consolas"/>
          <w:sz w:val="20"/>
        </w:rPr>
        <w:t>L = clipped_surrogate(ε=0.2) + value_loss_coef × value_loss − entropy_coef × entropy</w:t>
      </w:r>
    </w:p>
    <w:p>
      <w:r>
        <w:rPr>
          <w:rFonts w:ascii="Times New Roman" w:hAnsi="Times New Roman" w:eastAsia="標楷體"/>
          <w:b w:val="0"/>
          <w:sz w:val="24"/>
        </w:rPr>
        <w:t xml:space="preserve">where the entropy term (coefficient 0.01) encourages exploration and avoids premature convergence. We also use an </w:t>
      </w:r>
      <w:r>
        <w:rPr>
          <w:rFonts w:ascii="Times New Roman" w:hAnsi="Times New Roman" w:eastAsia="標楷體"/>
          <w:b/>
          <w:sz w:val="24"/>
        </w:rPr>
        <w:t>adaptive learning rate</w:t>
      </w:r>
      <w:r>
        <w:rPr>
          <w:rFonts w:ascii="Times New Roman" w:hAnsi="Times New Roman" w:eastAsia="標楷體"/>
          <w:b w:val="0"/>
          <w:sz w:val="24"/>
        </w:rPr>
        <w:t>: based on the measured KL divergence each iteration compared with a target (desired_kl = 0.01), the learning rate is doubled or halved to keep updates within a stable range.</w:t>
      </w:r>
    </w:p>
    <w:p>
      <w:r>
        <w:rPr>
          <w:rFonts w:ascii="Times New Roman" w:hAnsi="Times New Roman" w:eastAsia="標楷體"/>
          <w:b w:val="0"/>
          <w:sz w:val="22"/>
        </w:rPr>
        <w:t>Why PPO: it strikes a good balance between sample efficiency and stability under massively parallel simulation, and it is the algorithm used by the original SATA work -- reproducing with the same algorithm lets us attribute any differences to the environment or design rather than to the algorithm itself.</w:t>
      </w:r>
    </w:p>
    <w:p>
      <w:pPr>
        <w:pStyle w:val="Heading2"/>
        <w:jc w:val="left"/>
      </w:pPr>
      <w:r>
        <w:rPr>
          <w:rFonts w:ascii="Times New Roman" w:hAnsi="Times New Roman" w:eastAsia="標楷體"/>
          <w:b/>
          <w:sz w:val="26"/>
        </w:rPr>
        <w:t>2.3 Network Architecture and Training Scale</w:t>
      </w:r>
    </w:p>
    <w:p>
      <w:pPr>
        <w:pStyle w:val="ListBullet"/>
      </w:pPr>
      <w:r>
        <w:rPr>
          <w:rFonts w:ascii="Times New Roman" w:hAnsi="Times New Roman" w:eastAsia="標楷體"/>
          <w:b/>
          <w:sz w:val="24"/>
        </w:rPr>
        <w:t>Network</w:t>
      </w:r>
      <w:r>
        <w:rPr>
          <w:rFonts w:ascii="Times New Roman" w:hAnsi="Times New Roman" w:eastAsia="標楷體"/>
          <w:b w:val="0"/>
          <w:sz w:val="24"/>
        </w:rPr>
        <w:t>: both actor and critic are three-layer multilayer perceptrons (MLPs) with hidden layers `[512, 256, 128]` and ELU activations; both share the same 60-dimensional observation (no privileged information). The actor outputs a 12-dimensional Gaussian action (initial standard deviation 1.0). About 400k parameters in total.</w:t>
      </w:r>
    </w:p>
    <w:p>
      <w:pPr>
        <w:pStyle w:val="ListBullet"/>
      </w:pPr>
      <w:r>
        <w:rPr>
          <w:rFonts w:ascii="Times New Roman" w:hAnsi="Times New Roman" w:eastAsia="標楷體"/>
          <w:b/>
          <w:sz w:val="24"/>
        </w:rPr>
        <w:t>Training scale</w:t>
      </w:r>
      <w:r>
        <w:rPr>
          <w:rFonts w:ascii="Times New Roman" w:hAnsi="Times New Roman" w:eastAsia="標楷體"/>
          <w:b w:val="0"/>
          <w:sz w:val="24"/>
        </w:rPr>
        <w:t>: 4096 parallel environments; each iteration collects 24 steps × 4096 environments ≈ 98,000 transitions; each iteration performs 5 epochs × 4 mini-batches = 20 gradient updates. Trained for 3000 iterations, roughly 295 million environment steps. Other hyperparameters: value-loss coefficient 1.0, gradient-norm clip 1.0.</w:t>
      </w:r>
    </w:p>
    <w:p>
      <w:pPr>
        <w:pStyle w:val="Heading2"/>
        <w:jc w:val="left"/>
      </w:pPr>
      <w:r>
        <w:rPr>
          <w:rFonts w:ascii="Times New Roman" w:hAnsi="Times New Roman" w:eastAsia="標楷體"/>
          <w:b/>
          <w:sz w:val="26"/>
        </w:rPr>
        <w:t>2.4 Observation, Action, and Reward Design</w:t>
      </w:r>
    </w:p>
    <w:p>
      <w:r>
        <w:rPr>
          <w:rFonts w:ascii="Times New Roman" w:hAnsi="Times New Roman" w:eastAsia="標楷體"/>
          <w:b/>
          <w:sz w:val="24"/>
        </w:rPr>
        <w:t>Observation (60-dim)</w:t>
      </w:r>
      <w:r>
        <w:rPr>
          <w:rFonts w:ascii="Times New Roman" w:hAnsi="Times New Roman" w:eastAsia="標楷體"/>
          <w:b w:val="0"/>
          <w:sz w:val="24"/>
        </w:rPr>
        <w:t xml:space="preserve"> -- the robot's proprioception, concatenated as follows: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標楷體"/>
                <w:b/>
                <w:sz w:val="20"/>
              </w:rPr>
              <w:t>Index</w:t>
            </w:r>
          </w:p>
        </w:tc>
        <w:tc>
          <w:tcPr>
            <w:tcW w:type="dxa" w:w="4320"/>
          </w:tcPr>
          <w:p>
            <w:r/>
            <w:r>
              <w:rPr>
                <w:rFonts w:ascii="Times New Roman" w:hAnsi="Times New Roman" w:eastAsia="標楷體"/>
                <w:b/>
                <w:sz w:val="20"/>
              </w:rPr>
              <w:t>Content</w:t>
            </w:r>
          </w:p>
        </w:tc>
      </w:tr>
      <w:tr>
        <w:tc>
          <w:tcPr>
            <w:tcW w:type="dxa" w:w="4320"/>
          </w:tcPr>
          <w:p>
            <w:r/>
            <w:r>
              <w:rPr>
                <w:rFonts w:ascii="Times New Roman" w:hAnsi="Times New Roman" w:eastAsia="標楷體"/>
                <w:b w:val="0"/>
                <w:sz w:val="20"/>
              </w:rPr>
              <w:t>0:3</w:t>
            </w:r>
          </w:p>
        </w:tc>
        <w:tc>
          <w:tcPr>
            <w:tcW w:type="dxa" w:w="4320"/>
          </w:tcPr>
          <w:p>
            <w:r/>
            <w:r>
              <w:rPr>
                <w:rFonts w:ascii="Times New Roman" w:hAnsi="Times New Roman" w:eastAsia="標楷體"/>
                <w:b w:val="0"/>
                <w:sz w:val="20"/>
              </w:rPr>
              <w:t>Base linear velocity (body frame)</w:t>
            </w:r>
          </w:p>
        </w:tc>
      </w:tr>
      <w:tr>
        <w:tc>
          <w:tcPr>
            <w:tcW w:type="dxa" w:w="4320"/>
          </w:tcPr>
          <w:p>
            <w:r/>
            <w:r>
              <w:rPr>
                <w:rFonts w:ascii="Times New Roman" w:hAnsi="Times New Roman" w:eastAsia="標楷體"/>
                <w:b w:val="0"/>
                <w:sz w:val="20"/>
              </w:rPr>
              <w:t>3:6</w:t>
            </w:r>
          </w:p>
        </w:tc>
        <w:tc>
          <w:tcPr>
            <w:tcW w:type="dxa" w:w="4320"/>
          </w:tcPr>
          <w:p>
            <w:r/>
            <w:r>
              <w:rPr>
                <w:rFonts w:ascii="Times New Roman" w:hAnsi="Times New Roman" w:eastAsia="標楷體"/>
                <w:b w:val="0"/>
                <w:sz w:val="20"/>
              </w:rPr>
              <w:t>Base angular velocity</w:t>
            </w:r>
          </w:p>
        </w:tc>
      </w:tr>
      <w:tr>
        <w:tc>
          <w:tcPr>
            <w:tcW w:type="dxa" w:w="4320"/>
          </w:tcPr>
          <w:p>
            <w:r/>
            <w:r>
              <w:rPr>
                <w:rFonts w:ascii="Times New Roman" w:hAnsi="Times New Roman" w:eastAsia="標楷體"/>
                <w:b w:val="0"/>
                <w:sz w:val="20"/>
              </w:rPr>
              <w:t>6:9</w:t>
            </w:r>
          </w:p>
        </w:tc>
        <w:tc>
          <w:tcPr>
            <w:tcW w:type="dxa" w:w="4320"/>
          </w:tcPr>
          <w:p>
            <w:r/>
            <w:r>
              <w:rPr>
                <w:rFonts w:ascii="Times New Roman" w:hAnsi="Times New Roman" w:eastAsia="標楷體"/>
                <w:b w:val="0"/>
                <w:sz w:val="20"/>
              </w:rPr>
              <w:t>Projected gravity vector (tilt sensing)</w:t>
            </w:r>
          </w:p>
        </w:tc>
      </w:tr>
      <w:tr>
        <w:tc>
          <w:tcPr>
            <w:tcW w:type="dxa" w:w="4320"/>
          </w:tcPr>
          <w:p>
            <w:r/>
            <w:r>
              <w:rPr>
                <w:rFonts w:ascii="Times New Roman" w:hAnsi="Times New Roman" w:eastAsia="標楷體"/>
                <w:b w:val="0"/>
                <w:sz w:val="20"/>
              </w:rPr>
              <w:t>9:21</w:t>
            </w:r>
          </w:p>
        </w:tc>
        <w:tc>
          <w:tcPr>
            <w:tcW w:type="dxa" w:w="4320"/>
          </w:tcPr>
          <w:p>
            <w:r/>
            <w:r>
              <w:rPr>
                <w:rFonts w:ascii="Times New Roman" w:hAnsi="Times New Roman" w:eastAsia="標楷體"/>
                <w:b w:val="0"/>
                <w:sz w:val="20"/>
              </w:rPr>
              <w:t>Joint angle − default angle (12 DOF)</w:t>
            </w:r>
          </w:p>
        </w:tc>
      </w:tr>
      <w:tr>
        <w:tc>
          <w:tcPr>
            <w:tcW w:type="dxa" w:w="4320"/>
          </w:tcPr>
          <w:p>
            <w:r/>
            <w:r>
              <w:rPr>
                <w:rFonts w:ascii="Times New Roman" w:hAnsi="Times New Roman" w:eastAsia="標楷體"/>
                <w:b w:val="0"/>
                <w:sz w:val="20"/>
              </w:rPr>
              <w:t>21:33</w:t>
            </w:r>
          </w:p>
        </w:tc>
        <w:tc>
          <w:tcPr>
            <w:tcW w:type="dxa" w:w="4320"/>
          </w:tcPr>
          <w:p>
            <w:r/>
            <w:r>
              <w:rPr>
                <w:rFonts w:ascii="Times New Roman" w:hAnsi="Times New Roman" w:eastAsia="標楷體"/>
                <w:b w:val="0"/>
                <w:sz w:val="20"/>
              </w:rPr>
              <w:t>Joint angular velocity (12 DOF)</w:t>
            </w:r>
          </w:p>
        </w:tc>
      </w:tr>
      <w:tr>
        <w:tc>
          <w:tcPr>
            <w:tcW w:type="dxa" w:w="4320"/>
          </w:tcPr>
          <w:p>
            <w:r/>
            <w:r>
              <w:rPr>
                <w:rFonts w:ascii="Times New Roman" w:hAnsi="Times New Roman" w:eastAsia="標楷體"/>
                <w:b w:val="0"/>
                <w:sz w:val="20"/>
              </w:rPr>
              <w:t>33:36</w:t>
            </w:r>
          </w:p>
        </w:tc>
        <w:tc>
          <w:tcPr>
            <w:tcW w:type="dxa" w:w="4320"/>
          </w:tcPr>
          <w:p>
            <w:r/>
            <w:r>
              <w:rPr>
                <w:rFonts w:ascii="Times New Roman" w:hAnsi="Times New Roman" w:eastAsia="標楷體"/>
                <w:b w:val="0"/>
                <w:sz w:val="20"/>
              </w:rPr>
              <w:t>Velocity command $(v_x, v_y, \omega_{yaw})$</w:t>
            </w:r>
          </w:p>
        </w:tc>
      </w:tr>
      <w:tr>
        <w:tc>
          <w:tcPr>
            <w:tcW w:type="dxa" w:w="4320"/>
          </w:tcPr>
          <w:p>
            <w:r/>
            <w:r>
              <w:rPr>
                <w:rFonts w:ascii="Times New Roman" w:hAnsi="Times New Roman" w:eastAsia="標楷體"/>
                <w:b w:val="0"/>
                <w:sz w:val="20"/>
              </w:rPr>
              <w:t>36:48</w:t>
            </w:r>
          </w:p>
        </w:tc>
        <w:tc>
          <w:tcPr>
            <w:tcW w:type="dxa" w:w="4320"/>
          </w:tcPr>
          <w:p>
            <w:r/>
            <w:r>
              <w:rPr>
                <w:rFonts w:ascii="Times New Roman" w:hAnsi="Times New Roman" w:eastAsia="標楷體"/>
                <w:b w:val="0"/>
                <w:sz w:val="20"/>
              </w:rPr>
              <w:t>Applied joint torques (12 DOF)</w:t>
            </w:r>
          </w:p>
        </w:tc>
      </w:tr>
      <w:tr>
        <w:tc>
          <w:tcPr>
            <w:tcW w:type="dxa" w:w="4320"/>
          </w:tcPr>
          <w:p>
            <w:r/>
            <w:r>
              <w:rPr>
                <w:rFonts w:ascii="Times New Roman" w:hAnsi="Times New Roman" w:eastAsia="標楷體"/>
                <w:b w:val="0"/>
                <w:sz w:val="20"/>
              </w:rPr>
              <w:t>48:60</w:t>
            </w:r>
          </w:p>
        </w:tc>
        <w:tc>
          <w:tcPr>
            <w:tcW w:type="dxa" w:w="4320"/>
          </w:tcPr>
          <w:p>
            <w:r/>
            <w:r>
              <w:rPr>
                <w:rFonts w:ascii="Times New Roman" w:hAnsi="Times New Roman" w:eastAsia="標楷體"/>
                <w:b w:val="0"/>
                <w:sz w:val="20"/>
              </w:rPr>
              <w:t>Per-DOF fatigue state (SATA-specific)</w:t>
            </w:r>
          </w:p>
        </w:tc>
      </w:tr>
    </w:tbl>
    <w:p>
      <w:r>
        <w:rPr>
          <w:rFonts w:ascii="Times New Roman" w:hAnsi="Times New Roman" w:eastAsia="標楷體"/>
          <w:b/>
          <w:sz w:val="24"/>
        </w:rPr>
        <w:t>Action (12-dim)</w:t>
      </w:r>
      <w:r>
        <w:rPr>
          <w:rFonts w:ascii="Times New Roman" w:hAnsi="Times New Roman" w:eastAsia="標楷體"/>
          <w:b w:val="0"/>
          <w:sz w:val="24"/>
        </w:rPr>
        <w:t>: torque commands for the twelve joints (applied after the bio-inspired layer of Chapter 3).</w:t>
      </w:r>
    </w:p>
    <w:p>
      <w:r>
        <w:rPr>
          <w:rFonts w:ascii="Times New Roman" w:hAnsi="Times New Roman" w:eastAsia="標楷體"/>
          <w:b/>
          <w:sz w:val="24"/>
        </w:rPr>
        <w:t>Reward function</w:t>
      </w:r>
      <w:r>
        <w:rPr>
          <w:rFonts w:ascii="Times New Roman" w:hAnsi="Times New Roman" w:eastAsia="標楷體"/>
          <w:b w:val="0"/>
          <w:sz w:val="24"/>
        </w:rPr>
        <w:t xml:space="preserve"> -- nine terms (positive terms reward task achievement, negative terms penalize undesirable behavior):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標楷體"/>
                <w:b/>
                <w:sz w:val="20"/>
              </w:rPr>
              <w:t>Term</w:t>
            </w:r>
          </w:p>
        </w:tc>
        <w:tc>
          <w:tcPr>
            <w:tcW w:type="dxa" w:w="2880"/>
          </w:tcPr>
          <w:p>
            <w:r/>
            <w:r>
              <w:rPr>
                <w:rFonts w:ascii="Times New Roman" w:hAnsi="Times New Roman" w:eastAsia="標楷體"/>
                <w:b/>
                <w:sz w:val="20"/>
              </w:rPr>
              <w:t>Weight</w:t>
            </w:r>
          </w:p>
        </w:tc>
        <w:tc>
          <w:tcPr>
            <w:tcW w:type="dxa" w:w="2880"/>
          </w:tcPr>
          <w:p>
            <w:r/>
            <w:r>
              <w:rPr>
                <w:rFonts w:ascii="Times New Roman" w:hAnsi="Times New Roman" w:eastAsia="標楷體"/>
                <w:b/>
                <w:sz w:val="20"/>
              </w:rPr>
              <w:t>Role</w:t>
            </w:r>
          </w:p>
        </w:tc>
      </w:tr>
      <w:tr>
        <w:tc>
          <w:tcPr>
            <w:tcW w:type="dxa" w:w="2880"/>
          </w:tcPr>
          <w:p>
            <w:r/>
            <w:r>
              <w:rPr>
                <w:rFonts w:ascii="Times New Roman" w:hAnsi="Times New Roman" w:eastAsia="標楷體"/>
                <w:b w:val="0"/>
                <w:sz w:val="20"/>
              </w:rPr>
              <w:t>forward</w:t>
            </w:r>
          </w:p>
        </w:tc>
        <w:tc>
          <w:tcPr>
            <w:tcW w:type="dxa" w:w="2880"/>
          </w:tcPr>
          <w:p>
            <w:r/>
            <w:r>
              <w:rPr>
                <w:rFonts w:ascii="Times New Roman" w:hAnsi="Times New Roman" w:eastAsia="標楷體"/>
                <w:b w:val="0"/>
                <w:sz w:val="20"/>
              </w:rPr>
              <w:t>+10</w:t>
            </w:r>
          </w:p>
        </w:tc>
        <w:tc>
          <w:tcPr>
            <w:tcW w:type="dxa" w:w="2880"/>
          </w:tcPr>
          <w:p>
            <w:r/>
            <w:r>
              <w:rPr>
                <w:rFonts w:ascii="Times New Roman" w:hAnsi="Times New Roman" w:eastAsia="標楷體"/>
                <w:b w:val="0"/>
                <w:sz w:val="20"/>
              </w:rPr>
              <w:t>Track forward velocity $v_x$ (exponential of error)</w:t>
            </w:r>
          </w:p>
        </w:tc>
      </w:tr>
      <w:tr>
        <w:tc>
          <w:tcPr>
            <w:tcW w:type="dxa" w:w="2880"/>
          </w:tcPr>
          <w:p>
            <w:r/>
            <w:r>
              <w:rPr>
                <w:rFonts w:ascii="Times New Roman" w:hAnsi="Times New Roman" w:eastAsia="標楷體"/>
                <w:b w:val="0"/>
                <w:sz w:val="20"/>
              </w:rPr>
              <w:t>head_height</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Maintain body height and stay upright</w:t>
            </w:r>
          </w:p>
        </w:tc>
      </w:tr>
      <w:tr>
        <w:tc>
          <w:tcPr>
            <w:tcW w:type="dxa" w:w="2880"/>
          </w:tcPr>
          <w:p>
            <w:r/>
            <w:r>
              <w:rPr>
                <w:rFonts w:ascii="Times New Roman" w:hAnsi="Times New Roman" w:eastAsia="標楷體"/>
                <w:b w:val="0"/>
                <w:sz w:val="20"/>
              </w:rPr>
              <w:t>moving_y</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Track lateral velocity $v_y$</w:t>
            </w:r>
          </w:p>
        </w:tc>
      </w:tr>
      <w:tr>
        <w:tc>
          <w:tcPr>
            <w:tcW w:type="dxa" w:w="2880"/>
          </w:tcPr>
          <w:p>
            <w:r/>
            <w:r>
              <w:rPr>
                <w:rFonts w:ascii="Times New Roman" w:hAnsi="Times New Roman" w:eastAsia="標楷體"/>
                <w:b w:val="0"/>
                <w:sz w:val="20"/>
              </w:rPr>
              <w:t>moving_yaw</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Track yaw rate $\omega_{yaw}$</w:t>
            </w:r>
          </w:p>
        </w:tc>
      </w:tr>
      <w:tr>
        <w:tc>
          <w:tcPr>
            <w:tcW w:type="dxa" w:w="2880"/>
          </w:tcPr>
          <w:p>
            <w:r/>
            <w:r>
              <w:rPr>
                <w:rFonts w:ascii="Times New Roman" w:hAnsi="Times New Roman" w:eastAsia="標楷體"/>
                <w:b w:val="0"/>
                <w:sz w:val="20"/>
              </w:rPr>
              <w:t>soft_dof_pos_limits</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sitting near mechanical joint limits</w:t>
            </w:r>
          </w:p>
        </w:tc>
      </w:tr>
      <w:tr>
        <w:tc>
          <w:tcPr>
            <w:tcW w:type="dxa" w:w="2880"/>
          </w:tcPr>
          <w:p>
            <w:r/>
            <w:r>
              <w:rPr>
                <w:rFonts w:ascii="Times New Roman" w:hAnsi="Times New Roman" w:eastAsia="標楷體"/>
                <w:b w:val="0"/>
                <w:sz w:val="20"/>
              </w:rPr>
              <w:t>motor_fatigue</w:t>
            </w:r>
          </w:p>
        </w:tc>
        <w:tc>
          <w:tcPr>
            <w:tcW w:type="dxa" w:w="2880"/>
          </w:tcPr>
          <w:p>
            <w:r/>
            <w:r>
              <w:rPr>
                <w:rFonts w:ascii="Times New Roman" w:hAnsi="Times New Roman" w:eastAsia="標楷體"/>
                <w:b w:val="0"/>
                <w:sz w:val="20"/>
              </w:rPr>
              <w:t>−0.05</w:t>
            </w:r>
          </w:p>
        </w:tc>
        <w:tc>
          <w:tcPr>
            <w:tcW w:type="dxa" w:w="2880"/>
          </w:tcPr>
          <w:p>
            <w:r/>
            <w:r>
              <w:rPr>
                <w:rFonts w:ascii="Times New Roman" w:hAnsi="Times New Roman" w:eastAsia="標楷體"/>
                <w:b w:val="0"/>
                <w:sz w:val="20"/>
              </w:rPr>
              <w:t>Small penalty on accumulated fatigue</w:t>
            </w:r>
          </w:p>
        </w:tc>
      </w:tr>
      <w:tr>
        <w:tc>
          <w:tcPr>
            <w:tcW w:type="dxa" w:w="2880"/>
          </w:tcPr>
          <w:p>
            <w:r/>
            <w:r>
              <w:rPr>
                <w:rFonts w:ascii="Times New Roman" w:hAnsi="Times New Roman" w:eastAsia="標楷體"/>
                <w:b w:val="0"/>
                <w:sz w:val="20"/>
              </w:rPr>
              <w:t>dof_acc</w:t>
            </w:r>
          </w:p>
        </w:tc>
        <w:tc>
          <w:tcPr>
            <w:tcW w:type="dxa" w:w="2880"/>
          </w:tcPr>
          <w:p>
            <w:r/>
            <w:r>
              <w:rPr>
                <w:rFonts w:ascii="Times New Roman" w:hAnsi="Times New Roman" w:eastAsia="標楷體"/>
                <w:b w:val="0"/>
                <w:sz w:val="20"/>
              </w:rPr>
              <w:t>−1×10⁻⁶</w:t>
            </w:r>
          </w:p>
        </w:tc>
        <w:tc>
          <w:tcPr>
            <w:tcW w:type="dxa" w:w="2880"/>
          </w:tcPr>
          <w:p>
            <w:r/>
            <w:r>
              <w:rPr>
                <w:rFonts w:ascii="Times New Roman" w:hAnsi="Times New Roman" w:eastAsia="標楷體"/>
                <w:b w:val="0"/>
                <w:sz w:val="20"/>
              </w:rPr>
              <w:t>Action smoothness (squared joint acceleration)</w:t>
            </w:r>
          </w:p>
        </w:tc>
      </w:tr>
      <w:tr>
        <w:tc>
          <w:tcPr>
            <w:tcW w:type="dxa" w:w="2880"/>
          </w:tcPr>
          <w:p>
            <w:r/>
            <w:r>
              <w:rPr>
                <w:rFonts w:ascii="Times New Roman" w:hAnsi="Times New Roman" w:eastAsia="標楷體"/>
                <w:b w:val="0"/>
                <w:sz w:val="20"/>
              </w:rPr>
              <w:t>roll</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tipping sideways</w:t>
            </w:r>
          </w:p>
        </w:tc>
      </w:tr>
      <w:tr>
        <w:tc>
          <w:tcPr>
            <w:tcW w:type="dxa" w:w="2880"/>
          </w:tcPr>
          <w:p>
            <w:r/>
            <w:r>
              <w:rPr>
                <w:rFonts w:ascii="Times New Roman" w:hAnsi="Times New Roman" w:eastAsia="標楷體"/>
                <w:b w:val="0"/>
                <w:sz w:val="20"/>
              </w:rPr>
              <w:t>lin_vel_z</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vertical bouncing</w:t>
            </w:r>
          </w:p>
        </w:tc>
      </w:tr>
    </w:tbl>
    <w:p>
      <w:r>
        <w:rPr>
          <w:rFonts w:ascii="Times New Roman" w:hAnsi="Times New Roman" w:eastAsia="標楷體"/>
          <w:b w:val="0"/>
          <w:sz w:val="24"/>
        </w:rPr>
        <w:t>This reward design embodies a core trade-off in RL control: the positive terms define "the desired behavior" (walk correctly), while the negative terms constrain "the cost paid" (do not thrash, do not exceed limits). The ablation analysis in later chapters examines precisely how these terms interact with the bio-inspired mechanisms.</w:t>
      </w:r>
    </w:p>
    <w:p>
      <w:pPr>
        <w:pStyle w:val="Heading1"/>
        <w:jc w:val="left"/>
      </w:pPr>
      <w:r>
        <w:rPr>
          <w:rFonts w:ascii="Times New Roman" w:hAnsi="Times New Roman" w:eastAsia="標楷體"/>
          <w:b/>
          <w:sz w:val="32"/>
        </w:rPr>
        <w:t>Chapter 3. Core Technology: Torque Control and the Bio-Inspired Locomotion Layer</w:t>
      </w:r>
    </w:p>
    <w:p>
      <w:r>
        <w:rPr>
          <w:rFonts w:ascii="Times New Roman" w:hAnsi="Times New Roman" w:eastAsia="標楷體"/>
          <w:b w:val="0"/>
          <w:sz w:val="24"/>
        </w:rPr>
        <w:t>The twelve-dimensional action output by the policy network is not directly equal to the joint torques. At each physics sub-step, the action passes through the following processing (the code resides in `_compute_torques` within `go2_torque.py` of the SATA source). The torque-limit baseline is a uniform 23.5 N·m per degree of freedom (the simulation clipping value).</w:t>
      </w:r>
    </w:p>
    <w:p>
      <w:pPr>
        <w:pStyle w:val="Heading2"/>
        <w:jc w:val="left"/>
      </w:pPr>
      <w:r>
        <w:rPr>
          <w:rFonts w:ascii="Times New Roman" w:hAnsi="Times New Roman" w:eastAsia="標楷體"/>
          <w:b/>
          <w:sz w:val="26"/>
        </w:rPr>
        <w:t>2.1 The Four Stages of the Torque Processing Pipeline</w:t>
      </w:r>
    </w:p>
    <w:p>
      <w:r>
        <w:rPr>
          <w:rFonts w:ascii="Times New Roman" w:hAnsi="Times New Roman" w:eastAsia="標楷體"/>
          <w:b/>
          <w:sz w:val="24"/>
        </w:rPr>
        <w:t>Stage 1: Action scaling.</w:t>
      </w:r>
      <w:r>
        <w:rPr>
          <w:rFonts w:ascii="Times New Roman" w:hAnsi="Times New Roman" w:eastAsia="標楷體"/>
          <w:b w:val="0"/>
          <w:sz w:val="24"/>
        </w:rPr>
        <w:t xml:space="preserve"> The dimensionless action output by the policy is multiplied by a scaling factor (action_scale = 5), amplifying it to the torque scale.</w:t>
      </w:r>
    </w:p>
    <w:p>
      <w:r>
        <w:rPr>
          <w:rFonts w:ascii="Times New Roman" w:hAnsi="Times New Roman" w:eastAsia="標楷體"/>
          <w:b/>
          <w:sz w:val="24"/>
        </w:rPr>
        <w:t>Stage 2: Muscle activation low-pass filter (Activation).</w:t>
      </w:r>
      <w:r>
        <w:rPr>
          <w:rFonts w:ascii="Times New Roman" w:hAnsi="Times New Roman" w:eastAsia="標楷體"/>
          <w:b w:val="0"/>
          <w:sz w:val="24"/>
        </w:rPr>
        <w:t xml:space="preserve"> A first-order exponential moving average (EMA) is applied to the torque signal, updated as "60% from the current command, 40% from the previous step," after first squashing it into the range [-1, 1] with a tanh. The tanh serves two purposes at once: smoothing (modeling the delay of muscle recruitment and avoiding instantaneous jumps of torque between the positive and negative extremes), and a torque ceiling (locking the torque within physical limits). In addition, the system applies a domain randomization called "action dropout" with probability 0.1, which at each step holds the activation at its previous value with that probability.</w:t>
      </w:r>
    </w:p>
    <w:p>
      <w:r>
        <w:rPr>
          <w:rFonts w:ascii="Times New Roman" w:hAnsi="Times New Roman" w:eastAsia="標楷體"/>
          <w:b/>
          <w:sz w:val="24"/>
        </w:rPr>
        <w:t>Stage 3: Hill force-velocity model (Hill model).</w:t>
      </w:r>
      <w:r>
        <w:rPr>
          <w:rFonts w:ascii="Times New Roman" w:hAnsi="Times New Roman" w:eastAsia="標楷體"/>
          <w:b w:val="0"/>
          <w:sz w:val="24"/>
        </w:rPr>
        <w:t xml:space="preserve"> The formula is</w:t>
      </w:r>
    </w:p>
    <w:p>
      <w:pPr>
        <w:shd w:fill="F2F2F2"/>
      </w:pPr>
      <w:r>
        <w:rPr>
          <w:rFonts w:ascii="Consolas" w:hAnsi="Consolas"/>
          <w:sz w:val="20"/>
        </w:rPr>
        <w:t>torque = activation × torque_limit × (1 − sign(activation) × joint_angular_velocity / angular_velocity_limit)</w:t>
      </w:r>
    </w:p>
    <w:p>
      <w:r>
        <w:rPr>
          <w:rFonts w:ascii="Times New Roman" w:hAnsi="Times New Roman" w:eastAsia="標楷體"/>
          <w:b w:val="0"/>
          <w:sz w:val="24"/>
        </w:rPr>
        <w:t>Its mechanism is an inverse force-velocity relationship: when the joint moves at high speed in the same direction, the available torque drops; in the decelerating direction it is unconstrained. This design derives from Hill's (1938) muscle force-velocity law -- the faster a muscle contracts, the less force it can produce. SATA borrows this relationship so the policy cannot forcibly command maximum torque at high speed; it is therefore a "physically grounded saturation limit" rather than an arbitrary clip.</w:t>
      </w:r>
    </w:p>
    <w:p>
      <w:r>
        <w:rPr>
          <w:rFonts w:ascii="Times New Roman" w:hAnsi="Times New Roman" w:eastAsia="標楷體"/>
          <w:b/>
          <w:sz w:val="24"/>
        </w:rPr>
        <w:t>Stage 4: Fatigue update (Motor fatigue).</w:t>
      </w:r>
      <w:r>
        <w:rPr>
          <w:rFonts w:ascii="Times New Roman" w:hAnsi="Times New Roman" w:eastAsia="標楷體"/>
          <w:b w:val="0"/>
          <w:sz w:val="24"/>
        </w:rPr>
        <w:t xml:space="preserve"> Each degree of freedom maintains a leaky accumulator:</w:t>
      </w:r>
    </w:p>
    <w:p>
      <w:pPr>
        <w:shd w:fill="F2F2F2"/>
      </w:pPr>
      <w:r>
        <w:rPr>
          <w:rFonts w:ascii="Consolas" w:hAnsi="Consolas"/>
          <w:sz w:val="20"/>
        </w:rPr>
        <w:t>fatigue = (fatigue + |torque| × dt) × 0.9</w:t>
      </w:r>
    </w:p>
    <w:p>
      <w:r>
        <w:rPr>
          <w:rFonts w:ascii="Times New Roman" w:hAnsi="Times New Roman" w:eastAsia="標楷體"/>
          <w:b w:val="0"/>
          <w:sz w:val="24"/>
        </w:rPr>
        <w:t>Its effective time constant is roughly ten physics steps (about 50 ms at 200 Hz). The fatigue state is fed back into the observation vector, so the policy "perceives its own level of exertion" and learns to distribute load. The reward penalty on fatigue is deliberately set very small (−0.05); the goal is not to forbid exertion, but to gently nudge the policy toward low-fatigue solutions when there is no tracking cost.</w:t>
      </w:r>
    </w:p>
    <w:p>
      <w:pPr>
        <w:pStyle w:val="Heading2"/>
        <w:jc w:val="left"/>
      </w:pPr>
      <w:r>
        <w:rPr>
          <w:rFonts w:ascii="Times New Roman" w:hAnsi="Times New Roman" w:eastAsia="標楷體"/>
          <w:b/>
          <w:sz w:val="26"/>
        </w:rPr>
        <w:t>2.2 Growth Curriculum</w:t>
      </w:r>
    </w:p>
    <w:p>
      <w:r>
        <w:rPr>
          <w:rFonts w:ascii="Times New Roman" w:hAnsi="Times New Roman" w:eastAsia="標楷體"/>
          <w:b w:val="0"/>
          <w:sz w:val="24"/>
        </w:rPr>
        <w:t>SATA drives a "development level" scalar G(t) between zero and one along a Gompertz curve:</w:t>
      </w:r>
    </w:p>
    <w:p>
      <w:pPr>
        <w:shd w:fill="F2F2F2"/>
      </w:pPr>
      <w:r>
        <w:rPr>
          <w:rFonts w:ascii="Consolas" w:hAnsi="Consolas"/>
          <w:sz w:val="20"/>
        </w:rPr>
        <w:t>G(t) = exp(−exp(−k × (steps − x0)))     # k = 3×10⁻⁵, x0 = 24000</w:t>
      </w:r>
    </w:p>
    <w:p>
      <w:r>
        <w:rPr>
          <w:rFonts w:ascii="Times New Roman" w:hAnsi="Times New Roman" w:eastAsia="標楷體"/>
          <w:b w:val="0"/>
          <w:sz w:val="24"/>
        </w:rPr>
        <w:t>Here "steps" refers to cumulative environment steps (not PPO iterations). This single scalar schedules five things at once: control frequency 100 → 200 Hz, front-leg torque limit 0.3 → 1.0×, rear-leg torque held at 1.0× (always at full strength), the command range growing from small to large, and the strength of domain randomization (the magnitude of the extrapolated push force).</w:t>
      </w:r>
    </w:p>
    <w:p>
      <w:r>
        <w:rPr>
          <w:rFonts w:ascii="Times New Roman" w:hAnsi="Times New Roman" w:eastAsia="標楷體"/>
          <w:b w:val="0"/>
          <w:sz w:val="24"/>
        </w:rPr>
        <w:t>The concept of this mechanism is "</w:t>
      </w:r>
      <w:r>
        <w:rPr>
          <w:rFonts w:ascii="Times New Roman" w:hAnsi="Times New Roman" w:eastAsia="標楷體"/>
          <w:b/>
          <w:sz w:val="24"/>
        </w:rPr>
        <w:t>embodiment growth</w:t>
      </w:r>
      <w:r>
        <w:rPr>
          <w:rFonts w:ascii="Times New Roman" w:hAnsi="Times New Roman" w:eastAsia="標楷體"/>
          <w:b w:val="0"/>
          <w:sz w:val="24"/>
        </w:rPr>
        <w:t xml:space="preserve">," not a curriculum of task difficulty: it progressively unlocks the capabilities of the robot's </w:t>
      </w:r>
      <w:r>
        <w:rPr>
          <w:rFonts w:ascii="Times New Roman" w:hAnsi="Times New Roman" w:eastAsia="標楷體"/>
          <w:b/>
          <w:sz w:val="24"/>
        </w:rPr>
        <w:t>body itself</w:t>
      </w:r>
      <w:r>
        <w:rPr>
          <w:rFonts w:ascii="Times New Roman" w:hAnsi="Times New Roman" w:eastAsia="標楷體"/>
          <w:b w:val="0"/>
          <w:sz w:val="24"/>
        </w:rPr>
        <w:t>, so that early training takes place in an "easy-to-control juvenile," thereby avoiding the local optima that torque-based reinforcement learning tends to fall into during a cold start. One notable asymmetry is that in the juvenile stage the front legs are weaker (torque limit only 0.3×), while the rear legs remain at full strength.</w:t>
      </w:r>
    </w:p>
    <w:p>
      <w:pPr>
        <w:jc w:val="center"/>
      </w:pPr>
      <w:r>
        <w:drawing>
          <wp:inline xmlns:a="http://schemas.openxmlformats.org/drawingml/2006/main" xmlns:pic="http://schemas.openxmlformats.org/drawingml/2006/picture">
            <wp:extent cx="4114800" cy="2468880"/>
            <wp:docPr id="2095721717" name="Picture 2095721717"/>
            <wp:cNvGraphicFramePr>
              <a:graphicFrameLocks noChangeAspect="1"/>
            </wp:cNvGraphicFramePr>
            <a:graphic>
              <a:graphicData uri="http://schemas.openxmlformats.org/drawingml/2006/picture">
                <pic:pic>
                  <pic:nvPicPr>
                    <pic:cNvPr id="0" name="fig2_reward_curves.png"/>
                    <pic:cNvPicPr/>
                  </pic:nvPicPr>
                  <pic:blipFill>
                    <a:blip r:embed="rId10"/>
                    <a:stretch>
                      <a:fillRect/>
                    </a:stretch>
                  </pic:blipFill>
                  <pic:spPr>
                    <a:xfrm>
                      <a:off x="0" y="0"/>
                      <a:ext cx="4114800" cy="2468880"/>
                    </a:xfrm>
                    <a:prstGeom prst="rect"/>
                  </pic:spPr>
                </pic:pic>
              </a:graphicData>
            </a:graphic>
          </wp:inline>
        </w:drawing>
      </w:r>
    </w:p>
    <w:p>
      <w:pPr>
        <w:jc w:val="center"/>
      </w:pPr>
      <w:r>
        <w:rPr>
          <w:rFonts w:ascii="Times New Roman" w:hAnsi="Times New Roman" w:eastAsia="標楷體"/>
          <w:b w:val="0"/>
          <w:i/>
          <w:sz w:val="20"/>
        </w:rPr>
        <w:t>The training reward curves of eight seeds (from `reward_curves_overlay.png`); the shaded band is ±1 standard deviation across seeds, serving as evidence of reproduction reliability.</w:t>
      </w:r>
    </w:p>
    <w:p>
      <w:pPr>
        <w:pStyle w:val="Heading1"/>
        <w:jc w:val="left"/>
      </w:pPr>
      <w:r>
        <w:rPr>
          <w:rFonts w:ascii="Times New Roman" w:hAnsi="Times New Roman" w:eastAsia="標楷體"/>
          <w:b/>
          <w:sz w:val="32"/>
        </w:rPr>
        <w:t>Chapter 4. Practical Implementation I: Reproducing and Analyzing SATA on Isaac Gym</w:t>
      </w:r>
    </w:p>
    <w:p>
      <w:r>
        <w:rPr>
          <w:rFonts w:ascii="Times New Roman" w:hAnsi="Times New Roman" w:eastAsia="標楷體"/>
          <w:b w:val="0"/>
          <w:sz w:val="24"/>
        </w:rPr>
        <w:t>The first stage was carried out on Isaac Gym Preview 4, in four phases. All training used 4096 parallel environments, 3000 iterations, a `[512, 256, 128]` multilayer perceptron, and the PPO algorithm, executed on the lab's NVIDIA A6000 GPU.</w:t>
      </w:r>
    </w:p>
    <w:p>
      <w:pPr>
        <w:pStyle w:val="Heading2"/>
        <w:jc w:val="left"/>
      </w:pPr>
      <w:r>
        <w:rPr>
          <w:rFonts w:ascii="Times New Roman" w:hAnsi="Times New Roman" w:eastAsia="標楷體"/>
          <w:b/>
          <w:sz w:val="26"/>
        </w:rPr>
        <w:t>3.1 Phase 1: Reproduction</w:t>
      </w:r>
    </w:p>
    <w:p>
      <w:r>
        <w:rPr>
          <w:rFonts w:ascii="Times New Roman" w:hAnsi="Times New Roman" w:eastAsia="標楷體"/>
          <w:b w:val="0"/>
          <w:sz w:val="24"/>
        </w:rPr>
        <w:t>We trained the reference policy with SATA's released configuration. The initial three seeds yielded a mean reward of 114 ± 6; after extending to eight seeds, the value was 103.9 ± 15.9. The reproduction itself is an engineering exercise: along the way we resolved several environment and dependency issues (for example, Isaac Gym Preview 4 mandates Python 3.8, dependency versions must be pinned in a specific order, and there is the rental etiquette of a shared GPU). Only once reproduction holds does one earn the footing for subsequent analysis and critique.</w:t>
      </w:r>
    </w:p>
    <w:p>
      <w:pPr>
        <w:pStyle w:val="Heading2"/>
        <w:jc w:val="left"/>
      </w:pPr>
      <w:r>
        <w:rPr>
          <w:rFonts w:ascii="Times New Roman" w:hAnsi="Times New Roman" w:eastAsia="標楷體"/>
          <w:b/>
          <w:sz w:val="26"/>
        </w:rPr>
        <w:t>3.2 Phase 2: Ablation Analysis (Eight Seeds)</w:t>
      </w:r>
    </w:p>
    <w:p>
      <w:r>
        <w:rPr>
          <w:rFonts w:ascii="Times New Roman" w:hAnsi="Times New Roman" w:eastAsia="標楷體"/>
          <w:b w:val="0"/>
          <w:sz w:val="24"/>
        </w:rPr>
        <w:t>We disabled each bio-inspired mechanism one at a time (single variable), trained eight seeds each, used the in-distribution scalar training reward as the metric, and ran Welch's t-test against the reference policy (using unequal variances and the Satterthwaite degrees-of-freedom approximation, because the variances across conditions differ greatly).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標楷體"/>
                <w:b/>
                <w:sz w:val="20"/>
              </w:rPr>
              <w:t>Condition</w:t>
            </w:r>
          </w:p>
        </w:tc>
        <w:tc>
          <w:tcPr>
            <w:tcW w:type="dxa" w:w="2160"/>
          </w:tcPr>
          <w:p>
            <w:r/>
            <w:r>
              <w:rPr>
                <w:rFonts w:ascii="Times New Roman" w:hAnsi="Times New Roman" w:eastAsia="標楷體"/>
                <w:b/>
                <w:sz w:val="20"/>
              </w:rPr>
              <w:t>Mean reward ± std</w:t>
            </w:r>
          </w:p>
        </w:tc>
        <w:tc>
          <w:tcPr>
            <w:tcW w:type="dxa" w:w="2160"/>
          </w:tcPr>
          <w:p>
            <w:r/>
            <w:r>
              <w:rPr>
                <w:rFonts w:ascii="Times New Roman" w:hAnsi="Times New Roman" w:eastAsia="標楷體"/>
                <w:b/>
                <w:sz w:val="20"/>
              </w:rPr>
              <w:t>Difference vs. reference</w:t>
            </w:r>
          </w:p>
        </w:tc>
        <w:tc>
          <w:tcPr>
            <w:tcW w:type="dxa" w:w="2160"/>
          </w:tcPr>
          <w:p>
            <w:r/>
            <w:r>
              <w:rPr>
                <w:rFonts w:ascii="Times New Roman" w:hAnsi="Times New Roman" w:eastAsia="標楷體"/>
                <w:b/>
                <w:sz w:val="20"/>
              </w:rPr>
              <w:t>p-value</w:t>
            </w:r>
          </w:p>
        </w:tc>
      </w:tr>
      <w:tr>
        <w:tc>
          <w:tcPr>
            <w:tcW w:type="dxa" w:w="2160"/>
          </w:tcPr>
          <w:p>
            <w:r/>
            <w:r>
              <w:rPr>
                <w:rFonts w:ascii="Times New Roman" w:hAnsi="Times New Roman" w:eastAsia="標楷體"/>
                <w:b w:val="0"/>
                <w:sz w:val="20"/>
              </w:rPr>
              <w:t>Reference</w:t>
            </w:r>
          </w:p>
        </w:tc>
        <w:tc>
          <w:tcPr>
            <w:tcW w:type="dxa" w:w="2160"/>
          </w:tcPr>
          <w:p>
            <w:r/>
            <w:r>
              <w:rPr>
                <w:rFonts w:ascii="Times New Roman" w:hAnsi="Times New Roman" w:eastAsia="標楷體"/>
                <w:b w:val="0"/>
                <w:sz w:val="20"/>
              </w:rPr>
              <w:t>103.9 ± 15.9</w:t>
            </w:r>
          </w:p>
        </w:tc>
        <w:tc>
          <w:tcPr>
            <w:tcW w:type="dxa" w:w="2160"/>
          </w:tcPr>
          <w:p>
            <w:r/>
            <w:r>
              <w:rPr>
                <w:rFonts w:ascii="Times New Roman" w:hAnsi="Times New Roman" w:eastAsia="標楷體"/>
                <w:b w:val="0"/>
                <w:sz w:val="20"/>
              </w:rPr>
              <w:t>—</w:t>
            </w:r>
          </w:p>
        </w:tc>
        <w:tc>
          <w:tcPr>
            <w:tcW w:type="dxa" w:w="2160"/>
          </w:tcPr>
          <w:p>
            <w:r/>
            <w:r>
              <w:rPr>
                <w:rFonts w:ascii="Times New Roman" w:hAnsi="Times New Roman" w:eastAsia="標楷體"/>
                <w:b w:val="0"/>
                <w:sz w:val="20"/>
              </w:rPr>
              <w:t>—</w:t>
            </w:r>
          </w:p>
        </w:tc>
      </w:tr>
      <w:tr>
        <w:tc>
          <w:tcPr>
            <w:tcW w:type="dxa" w:w="2160"/>
          </w:tcPr>
          <w:p>
            <w:r/>
            <w:r>
              <w:rPr>
                <w:rFonts w:ascii="Times New Roman" w:hAnsi="Times New Roman" w:eastAsia="標楷體"/>
                <w:b w:val="0"/>
                <w:sz w:val="20"/>
              </w:rPr>
              <w:t>No fatigue</w:t>
            </w:r>
          </w:p>
        </w:tc>
        <w:tc>
          <w:tcPr>
            <w:tcW w:type="dxa" w:w="2160"/>
          </w:tcPr>
          <w:p>
            <w:r/>
            <w:r>
              <w:rPr>
                <w:rFonts w:ascii="Times New Roman" w:hAnsi="Times New Roman" w:eastAsia="標楷體"/>
                <w:b w:val="0"/>
                <w:sz w:val="20"/>
              </w:rPr>
              <w:t>125.8 ± 2.8</w:t>
            </w:r>
          </w:p>
        </w:tc>
        <w:tc>
          <w:tcPr>
            <w:tcW w:type="dxa" w:w="2160"/>
          </w:tcPr>
          <w:p>
            <w:r/>
            <w:r>
              <w:rPr>
                <w:rFonts w:ascii="Times New Roman" w:hAnsi="Times New Roman" w:eastAsia="標楷體"/>
                <w:b w:val="0"/>
                <w:sz w:val="20"/>
              </w:rPr>
              <w:t>+21.9</w:t>
            </w:r>
          </w:p>
        </w:tc>
        <w:tc>
          <w:tcPr>
            <w:tcW w:type="dxa" w:w="2160"/>
          </w:tcPr>
          <w:p>
            <w:r/>
            <w:r>
              <w:rPr>
                <w:rFonts w:ascii="Times New Roman" w:hAnsi="Times New Roman" w:eastAsia="標楷體"/>
                <w:b w:val="0"/>
                <w:sz w:val="20"/>
              </w:rPr>
              <w:t>0.006</w:t>
            </w:r>
          </w:p>
        </w:tc>
      </w:tr>
      <w:tr>
        <w:tc>
          <w:tcPr>
            <w:tcW w:type="dxa" w:w="2160"/>
          </w:tcPr>
          <w:p>
            <w:r/>
            <w:r>
              <w:rPr>
                <w:rFonts w:ascii="Times New Roman" w:hAnsi="Times New Roman" w:eastAsia="標楷體"/>
                <w:b w:val="0"/>
                <w:sz w:val="20"/>
              </w:rPr>
              <w:t>No activation</w:t>
            </w:r>
          </w:p>
        </w:tc>
        <w:tc>
          <w:tcPr>
            <w:tcW w:type="dxa" w:w="2160"/>
          </w:tcPr>
          <w:p>
            <w:r/>
            <w:r>
              <w:rPr>
                <w:rFonts w:ascii="Times New Roman" w:hAnsi="Times New Roman" w:eastAsia="標楷體"/>
                <w:b w:val="0"/>
                <w:sz w:val="20"/>
              </w:rPr>
              <w:t>128.3 ± 7.4</w:t>
            </w:r>
          </w:p>
        </w:tc>
        <w:tc>
          <w:tcPr>
            <w:tcW w:type="dxa" w:w="2160"/>
          </w:tcPr>
          <w:p>
            <w:r/>
            <w:r>
              <w:rPr>
                <w:rFonts w:ascii="Times New Roman" w:hAnsi="Times New Roman" w:eastAsia="標楷體"/>
                <w:b w:val="0"/>
                <w:sz w:val="20"/>
              </w:rPr>
              <w:t>+24.4</w:t>
            </w:r>
          </w:p>
        </w:tc>
        <w:tc>
          <w:tcPr>
            <w:tcW w:type="dxa" w:w="2160"/>
          </w:tcPr>
          <w:p>
            <w:r/>
            <w:r>
              <w:rPr>
                <w:rFonts w:ascii="Times New Roman" w:hAnsi="Times New Roman" w:eastAsia="標楷體"/>
                <w:b w:val="0"/>
                <w:sz w:val="20"/>
              </w:rPr>
              <w:t>0.003</w:t>
            </w:r>
          </w:p>
        </w:tc>
      </w:tr>
      <w:tr>
        <w:tc>
          <w:tcPr>
            <w:tcW w:type="dxa" w:w="2160"/>
          </w:tcPr>
          <w:p>
            <w:r/>
            <w:r>
              <w:rPr>
                <w:rFonts w:ascii="Times New Roman" w:hAnsi="Times New Roman" w:eastAsia="標楷體"/>
                <w:b w:val="0"/>
                <w:sz w:val="20"/>
              </w:rPr>
              <w:t>No Hill</w:t>
            </w:r>
          </w:p>
        </w:tc>
        <w:tc>
          <w:tcPr>
            <w:tcW w:type="dxa" w:w="2160"/>
          </w:tcPr>
          <w:p>
            <w:r/>
            <w:r>
              <w:rPr>
                <w:rFonts w:ascii="Times New Roman" w:hAnsi="Times New Roman" w:eastAsia="標楷體"/>
                <w:b w:val="0"/>
                <w:sz w:val="20"/>
              </w:rPr>
              <w:t>98.6 ± 13.4</w:t>
            </w:r>
          </w:p>
        </w:tc>
        <w:tc>
          <w:tcPr>
            <w:tcW w:type="dxa" w:w="2160"/>
          </w:tcPr>
          <w:p>
            <w:r/>
            <w:r>
              <w:rPr>
                <w:rFonts w:ascii="Times New Roman" w:hAnsi="Times New Roman" w:eastAsia="標楷體"/>
                <w:b w:val="0"/>
                <w:sz w:val="20"/>
              </w:rPr>
              <w:t>−5.3</w:t>
            </w:r>
          </w:p>
        </w:tc>
        <w:tc>
          <w:tcPr>
            <w:tcW w:type="dxa" w:w="2160"/>
          </w:tcPr>
          <w:p>
            <w:r/>
            <w:r>
              <w:rPr>
                <w:rFonts w:ascii="Times New Roman" w:hAnsi="Times New Roman" w:eastAsia="標楷體"/>
                <w:b w:val="0"/>
                <w:sz w:val="20"/>
              </w:rPr>
              <w:t>0.48 (not significant)</w:t>
            </w:r>
          </w:p>
        </w:tc>
      </w:tr>
      <w:tr>
        <w:tc>
          <w:tcPr>
            <w:tcW w:type="dxa" w:w="2160"/>
          </w:tcPr>
          <w:p>
            <w:r/>
            <w:r>
              <w:rPr>
                <w:rFonts w:ascii="Times New Roman" w:hAnsi="Times New Roman" w:eastAsia="標楷體"/>
                <w:b w:val="0"/>
                <w:sz w:val="20"/>
              </w:rPr>
              <w:t>No growth</w:t>
            </w:r>
          </w:p>
        </w:tc>
        <w:tc>
          <w:tcPr>
            <w:tcW w:type="dxa" w:w="2160"/>
          </w:tcPr>
          <w:p>
            <w:r/>
            <w:r>
              <w:rPr>
                <w:rFonts w:ascii="Times New Roman" w:hAnsi="Times New Roman" w:eastAsia="標楷體"/>
                <w:b w:val="0"/>
                <w:sz w:val="20"/>
              </w:rPr>
              <w:t>102.5 ± 7.3</w:t>
            </w:r>
          </w:p>
        </w:tc>
        <w:tc>
          <w:tcPr>
            <w:tcW w:type="dxa" w:w="2160"/>
          </w:tcPr>
          <w:p>
            <w:r/>
            <w:r>
              <w:rPr>
                <w:rFonts w:ascii="Times New Roman" w:hAnsi="Times New Roman" w:eastAsia="標楷體"/>
                <w:b w:val="0"/>
                <w:sz w:val="20"/>
              </w:rPr>
              <w:t>−1.4</w:t>
            </w:r>
          </w:p>
        </w:tc>
        <w:tc>
          <w:tcPr>
            <w:tcW w:type="dxa" w:w="2160"/>
          </w:tcPr>
          <w:p>
            <w:r/>
            <w:r>
              <w:rPr>
                <w:rFonts w:ascii="Times New Roman" w:hAnsi="Times New Roman" w:eastAsia="標楷體"/>
                <w:b w:val="0"/>
                <w:sz w:val="20"/>
              </w:rPr>
              <w:t>0.83 (not significant)</w:t>
            </w:r>
          </w:p>
        </w:tc>
      </w:tr>
      <w:tr>
        <w:tc>
          <w:tcPr>
            <w:tcW w:type="dxa" w:w="2160"/>
          </w:tcPr>
          <w:p>
            <w:r/>
            <w:r>
              <w:rPr>
                <w:rFonts w:ascii="Times New Roman" w:hAnsi="Times New Roman" w:eastAsia="標楷體"/>
                <w:b w:val="0"/>
                <w:sz w:val="20"/>
              </w:rPr>
              <w:t>Hard terrain</w:t>
            </w:r>
          </w:p>
        </w:tc>
        <w:tc>
          <w:tcPr>
            <w:tcW w:type="dxa" w:w="2160"/>
          </w:tcPr>
          <w:p>
            <w:r/>
            <w:r>
              <w:rPr>
                <w:rFonts w:ascii="Times New Roman" w:hAnsi="Times New Roman" w:eastAsia="標楷體"/>
                <w:b w:val="0"/>
                <w:sz w:val="20"/>
              </w:rPr>
              <w:t>36.0 ± 6.1</w:t>
            </w:r>
          </w:p>
        </w:tc>
        <w:tc>
          <w:tcPr>
            <w:tcW w:type="dxa" w:w="2160"/>
          </w:tcPr>
          <w:p>
            <w:r/>
            <w:r>
              <w:rPr>
                <w:rFonts w:ascii="Times New Roman" w:hAnsi="Times New Roman" w:eastAsia="標楷體"/>
                <w:b w:val="0"/>
                <w:sz w:val="20"/>
              </w:rPr>
              <w:t>−67.9</w:t>
            </w:r>
          </w:p>
        </w:tc>
        <w:tc>
          <w:tcPr>
            <w:tcW w:type="dxa" w:w="2160"/>
          </w:tcPr>
          <w:p>
            <w:r/>
            <w:r>
              <w:rPr>
                <w:rFonts w:ascii="Times New Roman" w:hAnsi="Times New Roman" w:eastAsia="標楷體"/>
                <w:b w:val="0"/>
                <w:sz w:val="20"/>
              </w:rPr>
              <w:t>&lt;0.001</w:t>
            </w:r>
          </w:p>
        </w:tc>
      </w:tr>
    </w:tbl>
    <w:p>
      <w:r>
        <w:rPr>
          <w:rFonts w:ascii="Times New Roman" w:hAnsi="Times New Roman" w:eastAsia="標楷體"/>
          <w:b w:val="0"/>
          <w:sz w:val="24"/>
        </w:rPr>
        <w:t xml:space="preserve">A counterintuitive result appears here: </w:t>
      </w:r>
      <w:r>
        <w:rPr>
          <w:rFonts w:ascii="Times New Roman" w:hAnsi="Times New Roman" w:eastAsia="標楷體"/>
          <w:b/>
          <w:sz w:val="24"/>
        </w:rPr>
        <w:t>disabling fatigue or activation actually raises the training reward.</w:t>
      </w:r>
      <w:r>
        <w:rPr>
          <w:rFonts w:ascii="Times New Roman" w:hAnsi="Times New Roman" w:eastAsia="標楷體"/>
          <w:b w:val="0"/>
          <w:sz w:val="24"/>
        </w:rPr>
        <w:t xml:space="preserve"> But this does not mean the bio-inspired mechanisms are useless -- it is precisely the symptom one should expect from "an effective sim-to-real constraint" in a clean simulator: a constraint that protects hardware will naturally sacrifice a little reward in a simulator where there is no hardware cost. Its true value can only be assessed out of distribution (Phase 3).</w:t>
      </w:r>
    </w:p>
    <w:p>
      <w:r>
        <w:rPr>
          <w:rFonts w:ascii="Times New Roman" w:hAnsi="Times New Roman" w:eastAsia="標楷體"/>
          <w:b w:val="0"/>
          <w:sz w:val="24"/>
        </w:rPr>
        <w:t>This phase was also a lesson in statistical rigor: the initial three-seed analysis once claimed that "only the Hill model has a clear positive contribution," but this conclusion dissolved completely under eight seeds (the apparent effect of no_hill was actually a draw from the lower tail under high variance). We therefore established the principle of not drawing conclusions from a small number of seeds.</w:t>
      </w:r>
    </w:p>
    <w:p>
      <w:pPr>
        <w:pStyle w:val="Heading2"/>
        <w:jc w:val="left"/>
      </w:pPr>
      <w:r>
        <w:rPr>
          <w:rFonts w:ascii="Times New Roman" w:hAnsi="Times New Roman" w:eastAsia="標楷體"/>
          <w:b/>
          <w:sz w:val="26"/>
        </w:rPr>
        <w:t>3.3 Phase 3: The Bio-Inspired Claim and Out-of-Distribution Robustness (Core)</w:t>
      </w:r>
    </w:p>
    <w:p>
      <w:r>
        <w:rPr>
          <w:rFonts w:ascii="Times New Roman" w:hAnsi="Times New Roman" w:eastAsia="標楷體"/>
          <w:b w:val="0"/>
          <w:sz w:val="24"/>
        </w:rPr>
        <w:t>We evaluated all forty-eight policies (six conditions × eight seeds) under eight scenarios, for 384 evaluation cells in total. The scenarios spanned no disturbance (nominal), different payloads (5/8/10/15 kg), and different lateral external forces. The hardware baseline of the Unitree Go2 is: a body mass of about 15 kg, a rated payload of 7/8/12 kg depending on the model, and a single-joint peak torque of 45 N·m.</w:t>
      </w:r>
    </w:p>
    <w:p>
      <w:r>
        <w:rPr>
          <w:rFonts w:ascii="Times New Roman" w:hAnsi="Times New Roman" w:eastAsia="標楷體"/>
          <w:b/>
          <w:sz w:val="24"/>
        </w:rPr>
        <w:t>Core finding</w:t>
      </w:r>
      <w:r>
        <w:rPr>
          <w:rFonts w:ascii="Times New Roman" w:hAnsi="Times New Roman" w:eastAsia="標楷體"/>
          <w:b w:val="0"/>
          <w:sz w:val="24"/>
        </w:rPr>
        <w:t xml:space="preserve">: the ablated policies that "won the reward" in Phase 2 won by </w:t>
      </w:r>
      <w:r>
        <w:rPr>
          <w:rFonts w:ascii="Times New Roman" w:hAnsi="Times New Roman" w:eastAsia="標楷體"/>
          <w:b/>
          <w:sz w:val="24"/>
        </w:rPr>
        <w:t>leaving the hardware-feasible region.</w:t>
      </w:r>
    </w:p>
    <w:p>
      <w:pPr>
        <w:pStyle w:val="ListBullet"/>
      </w:pPr>
      <w:r>
        <w:rPr>
          <w:rFonts w:ascii="Times New Roman" w:hAnsi="Times New Roman" w:eastAsia="標楷體"/>
          <w:b w:val="0"/>
          <w:sz w:val="24"/>
        </w:rPr>
        <w:t xml:space="preserve">After disabling activation, the peak torque surged to </w:t>
      </w:r>
      <w:r>
        <w:rPr>
          <w:rFonts w:ascii="Times New Roman" w:hAnsi="Times New Roman" w:eastAsia="標楷體"/>
          <w:b/>
          <w:sz w:val="24"/>
        </w:rPr>
        <w:t>42.5 N·m</w:t>
      </w:r>
      <w:r>
        <w:rPr>
          <w:rFonts w:ascii="Times New Roman" w:hAnsi="Times New Roman" w:eastAsia="標楷體"/>
          <w:b w:val="0"/>
          <w:sz w:val="24"/>
        </w:rPr>
        <w:t>, approaching the Go2's 45 N·m limit (about 1.8× the simulation clipping value of 23.5).</w:t>
      </w:r>
    </w:p>
    <w:p>
      <w:pPr>
        <w:pStyle w:val="ListBullet"/>
      </w:pPr>
      <w:r>
        <w:rPr>
          <w:rFonts w:ascii="Times New Roman" w:hAnsi="Times New Roman" w:eastAsia="標楷體"/>
          <w:b w:val="0"/>
          <w:sz w:val="24"/>
        </w:rPr>
        <w:t xml:space="preserve">After disabling fatigue, walking on flat ground with no disturbance already consumed </w:t>
      </w:r>
      <w:r>
        <w:rPr>
          <w:rFonts w:ascii="Times New Roman" w:hAnsi="Times New Roman" w:eastAsia="標楷體"/>
          <w:b/>
          <w:sz w:val="24"/>
        </w:rPr>
        <w:t>2.5× the mechanical energy and 35× the action jerk.</w:t>
      </w:r>
    </w:p>
    <w:p>
      <w:r>
        <w:rPr>
          <w:rFonts w:ascii="Times New Roman" w:hAnsi="Times New Roman" w:eastAsia="標楷體"/>
          <w:b w:val="0"/>
          <w:sz w:val="24"/>
        </w:rPr>
        <w:t xml:space="preserve">In other words, the two constraints of fatigue and activation sacrificed training reward in exchange for policies the "hardware can actually execute." An important reinterpretation: disabling activation did not actually make the actions less smooth (its jerk was in fact lower, indicating PPO smooths things on its own); its real role is to </w:t>
      </w:r>
      <w:r>
        <w:rPr>
          <w:rFonts w:ascii="Times New Roman" w:hAnsi="Times New Roman" w:eastAsia="標楷體"/>
          <w:b/>
          <w:sz w:val="24"/>
        </w:rPr>
        <w:t>lock down peak torque.</w:t>
      </w:r>
      <w:r>
        <w:rPr>
          <w:rFonts w:ascii="Times New Roman" w:hAnsi="Times New Roman" w:eastAsia="標楷體"/>
          <w:b w:val="0"/>
          <w:sz w:val="24"/>
        </w:rPr>
        <w:t xml:space="preserve"> In the payload tests, the reference policy reproduced the limitation SATA's paper acknowledges in §VI-A (the body height gradually sinks as the payload increases).</w:t>
      </w:r>
    </w:p>
    <w:p>
      <w:pPr>
        <w:jc w:val="center"/>
      </w:pPr>
      <w:r>
        <w:drawing>
          <wp:inline xmlns:a="http://schemas.openxmlformats.org/drawingml/2006/main" xmlns:pic="http://schemas.openxmlformats.org/drawingml/2006/picture">
            <wp:extent cx="4114800" cy="1371600"/>
            <wp:docPr id="2095721718" name="Picture 2095721718"/>
            <wp:cNvGraphicFramePr>
              <a:graphicFrameLocks noChangeAspect="1"/>
            </wp:cNvGraphicFramePr>
            <a:graphic>
              <a:graphicData uri="http://schemas.openxmlformats.org/drawingml/2006/picture">
                <pic:pic>
                  <pic:nvPicPr>
                    <pic:cNvPr id="0" name="fig3_feasibility.png"/>
                    <pic:cNvPicPr/>
                  </pic:nvPicPr>
                  <pic:blipFill>
                    <a:blip r:embed="rId11"/>
                    <a:stretch>
                      <a:fillRect/>
                    </a:stretch>
                  </pic:blipFill>
                  <pic:spPr>
                    <a:xfrm>
                      <a:off x="0" y="0"/>
                      <a:ext cx="4114800" cy="1371600"/>
                    </a:xfrm>
                    <a:prstGeom prst="rect"/>
                  </pic:spPr>
                </pic:pic>
              </a:graphicData>
            </a:graphic>
          </wp:inline>
        </w:drawing>
      </w:r>
    </w:p>
    <w:p>
      <w:pPr>
        <w:jc w:val="center"/>
      </w:pPr>
      <w:r>
        <w:rPr>
          <w:rFonts w:ascii="Times New Roman" w:hAnsi="Times New Roman" w:eastAsia="標楷體"/>
          <w:b w:val="0"/>
          <w:i/>
          <w:sz w:val="20"/>
        </w:rPr>
        <w:t>The hardware-feasibility chart under the no-disturbance scenario (from `nominal_feasibility.png`): peak torque / energy / action jerk for each condition, against the real-hardware reference lines.</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468880" cy="1399032"/>
                  <wp:docPr id="2095721719" name="Picture 2095721719"/>
                  <wp:cNvGraphicFramePr>
                    <a:graphicFrameLocks noChangeAspect="1"/>
                  </wp:cNvGraphicFramePr>
                  <a:graphic>
                    <a:graphicData uri="http://schemas.openxmlformats.org/drawingml/2006/picture">
                      <pic:pic>
                        <pic:nvPicPr>
                          <pic:cNvPr id="0" name="fig4a_ref_payload.png"/>
                          <pic:cNvPicPr/>
                        </pic:nvPicPr>
                        <pic:blipFill>
                          <a:blip r:embed="rId12"/>
                          <a:stretch>
                            <a:fillRect/>
                          </a:stretch>
                        </pic:blipFill>
                        <pic:spPr>
                          <a:xfrm>
                            <a:off x="0" y="0"/>
                            <a:ext cx="2468880" cy="139903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468880" cy="1399032"/>
                  <wp:docPr id="2095721720" name="Picture 2095721720"/>
                  <wp:cNvGraphicFramePr>
                    <a:graphicFrameLocks noChangeAspect="1"/>
                  </wp:cNvGraphicFramePr>
                  <a:graphic>
                    <a:graphicData uri="http://schemas.openxmlformats.org/drawingml/2006/picture">
                      <pic:pic>
                        <pic:nvPicPr>
                          <pic:cNvPr id="0" name="fig4b_nofatigue_payload.png"/>
                          <pic:cNvPicPr/>
                        </pic:nvPicPr>
                        <pic:blipFill>
                          <a:blip r:embed="rId13"/>
                          <a:stretch>
                            <a:fillRect/>
                          </a:stretch>
                        </pic:blipFill>
                        <pic:spPr>
                          <a:xfrm>
                            <a:off x="0" y="0"/>
                            <a:ext cx="2468880" cy="1399032"/>
                          </a:xfrm>
                          <a:prstGeom prst="rect"/>
                        </pic:spPr>
                      </pic:pic>
                    </a:graphicData>
                  </a:graphic>
                </wp:inline>
              </w:drawing>
            </w:r>
          </w:p>
        </w:tc>
      </w:tr>
    </w:tbl>
    <w:p>
      <w:pPr>
        <w:jc w:val="center"/>
      </w:pPr>
      <w:r>
        <w:rPr>
          <w:rFonts w:ascii="Times New Roman" w:hAnsi="Times New Roman" w:eastAsia="標楷體"/>
          <w:b w:val="0"/>
          <w:i/>
          <w:sz w:val="20"/>
        </w:rPr>
        <w:t>A comparison under a 10 kg payload (exceeding the rated value): left is the reference policy (reproducing the paper's payload limitation, gradually collapsing); right is no-fatigue (holding up, but in a hardware-infeasible way using 2.5× energy and 35× jerk). From `02_reference_payload10.gif` and `03_no_fatigue_payload10.gif`.</w:t>
      </w:r>
    </w:p>
    <w:p>
      <w:pPr>
        <w:pStyle w:val="Heading2"/>
        <w:jc w:val="left"/>
      </w:pPr>
      <w:r>
        <w:rPr>
          <w:rFonts w:ascii="Times New Roman" w:hAnsi="Times New Roman" w:eastAsia="標楷體"/>
          <w:b/>
          <w:sz w:val="26"/>
        </w:rPr>
        <w:t>3.4 Phase 4: Residual Compensation</w:t>
      </w:r>
    </w:p>
    <w:p>
      <w:r>
        <w:rPr>
          <w:rFonts w:ascii="Times New Roman" w:hAnsi="Times New Roman" w:eastAsia="標楷體"/>
          <w:b w:val="0"/>
          <w:sz w:val="24"/>
        </w:rPr>
        <w:t xml:space="preserve">On the </w:t>
      </w:r>
      <w:r>
        <w:rPr>
          <w:rFonts w:ascii="Times New Roman" w:hAnsi="Times New Roman" w:eastAsia="標楷體"/>
          <w:b/>
          <w:sz w:val="24"/>
        </w:rPr>
        <w:t>frozen</w:t>
      </w:r>
      <w:r>
        <w:rPr>
          <w:rFonts w:ascii="Times New Roman" w:hAnsi="Times New Roman" w:eastAsia="標楷體"/>
          <w:b w:val="0"/>
          <w:sz w:val="24"/>
        </w:rPr>
        <w:t xml:space="preserve"> reference policy, this study adds a classical "stance-phase-gated, height-based PD residual." Its compensation torque is defined as:</w:t>
      </w:r>
    </w:p>
    <w:p>
      <w:pPr>
        <w:shd w:fill="F2F2F2"/>
      </w:pPr>
      <w:r>
        <w:rPr>
          <w:rFonts w:ascii="Consolas" w:hAnsi="Consolas"/>
          <w:sz w:val="20"/>
        </w:rPr>
        <w:t>τ_comp = sign × clip(Kp × (h* − h) − Kd × ḣ,  0,  τ_cap)</w:t>
      </w:r>
    </w:p>
    <w:p>
      <w:r>
        <w:rPr>
          <w:rFonts w:ascii="Times New Roman" w:hAnsi="Times New Roman" w:eastAsia="標楷體"/>
          <w:b w:val="0"/>
          <w:sz w:val="24"/>
        </w:rPr>
        <w:t>where h is the current body height, h* is the target height, and ḣ is its rate of change. This residual is applied to the calf joints only when the foot is in contact (stance-phase gating), and it is added after the bio-inspired layer (an independent channel that does not pass through fatigue or Hill). The implemented parameters are: Kp = 20, Kd = 4, τ_cap = 3 N·m, h* = 0.32, sign = +1, hand-tuned on seed one under an 8 kg payload and then fixed, applied to all eight seeds. This does not retrain the policy; the goal is to test whether a simple classical add-on can recover part of the load capacity within the hardware-feasible range.</w:t>
      </w:r>
    </w:p>
    <w:p>
      <w:r>
        <w:rPr>
          <w:rFonts w:ascii="Times New Roman" w:hAnsi="Times New Roman" w:eastAsia="標楷體"/>
          <w:b w:val="0"/>
          <w:sz w:val="24"/>
        </w:rPr>
        <w:t xml:space="preserve">Results (two-tailed Welch's test of residual vs. reference, eight seeds): under an 8 kg payload, the reward rose from 60.5 to 82.7 (+37%), but the p-value was 0.068, </w:t>
      </w:r>
      <w:r>
        <w:rPr>
          <w:rFonts w:ascii="Times New Roman" w:hAnsi="Times New Roman" w:eastAsia="標楷體"/>
          <w:b/>
          <w:sz w:val="24"/>
        </w:rPr>
        <w:t>not statistically significant</w:t>
      </w:r>
      <w:r>
        <w:rPr>
          <w:rFonts w:ascii="Times New Roman" w:hAnsi="Times New Roman" w:eastAsia="標楷體"/>
          <w:b w:val="0"/>
          <w:sz w:val="24"/>
        </w:rPr>
        <w:t xml:space="preserve">; under a 10 kg payload it rose from 12.1 to 20.3 (p = 0.071, also not significant); under no disturbance it was almost identical to the reference (+0.2, p = 0.95, i.e., it does no harm when not needed). The peak torque stayed within 28 N·m (well below the 45 limit), so it indeed remained within the hardware-feasible range. An important observation is that the tuning itself was a finding: a high-gain residual (for example Kp = 80, τ_cap = 15) actually caused harm in both directions, because </w:t>
      </w:r>
      <w:r>
        <w:rPr>
          <w:rFonts w:ascii="Times New Roman" w:hAnsi="Times New Roman" w:eastAsia="標楷體"/>
          <w:b/>
          <w:sz w:val="24"/>
        </w:rPr>
        <w:t>the frozen policy cannot observe the residual and treats it as an unmodeled disturbance to resist;</w:t>
      </w:r>
      <w:r>
        <w:rPr>
          <w:rFonts w:ascii="Times New Roman" w:hAnsi="Times New Roman" w:eastAsia="標楷體"/>
          <w:b w:val="0"/>
          <w:sz w:val="24"/>
        </w:rPr>
        <w:t xml:space="preserve"> only stance-phase gating paired with gentle gains yields a net benefit. In the end this residual recovered only about a quarter of the "no-fatigue" gap; that ceiling is precisely the consequence of "reinforcement learning and adaptive compensation not being co-designed," and it points to the future direction of co-training (such as RL2AC).</w:t>
      </w:r>
    </w:p>
    <w:p>
      <w:pPr>
        <w:jc w:val="center"/>
      </w:pPr>
      <w:r>
        <w:drawing>
          <wp:inline xmlns:a="http://schemas.openxmlformats.org/drawingml/2006/main" xmlns:pic="http://schemas.openxmlformats.org/drawingml/2006/picture">
            <wp:extent cx="4114800" cy="1616529"/>
            <wp:docPr id="2095721721" name="Picture 2095721721"/>
            <wp:cNvGraphicFramePr>
              <a:graphicFrameLocks noChangeAspect="1"/>
            </wp:cNvGraphicFramePr>
            <a:graphic>
              <a:graphicData uri="http://schemas.openxmlformats.org/drawingml/2006/picture">
                <pic:pic>
                  <pic:nvPicPr>
                    <pic:cNvPr id="0" name="fig5_residual.png"/>
                    <pic:cNvPicPr/>
                  </pic:nvPicPr>
                  <pic:blipFill>
                    <a:blip r:embed="rId14"/>
                    <a:stretch>
                      <a:fillRect/>
                    </a:stretch>
                  </pic:blipFill>
                  <pic:spPr>
                    <a:xfrm>
                      <a:off x="0" y="0"/>
                      <a:ext cx="4114800" cy="1616529"/>
                    </a:xfrm>
                    <a:prstGeom prst="rect"/>
                  </pic:spPr>
                </pic:pic>
              </a:graphicData>
            </a:graphic>
          </wp:inline>
        </w:drawing>
      </w:r>
    </w:p>
    <w:p>
      <w:pPr>
        <w:jc w:val="center"/>
      </w:pPr>
      <w:r>
        <w:rPr>
          <w:rFonts w:ascii="Times New Roman" w:hAnsi="Times New Roman" w:eastAsia="標楷體"/>
          <w:b w:val="0"/>
          <w:i/>
          <w:sz w:val="20"/>
        </w:rPr>
        <w:t>The reward and peak torque of the residual compensation under each payload (from `residual_payload.png`).</w:t>
      </w:r>
    </w:p>
    <w:p>
      <w:pPr>
        <w:pStyle w:val="Heading2"/>
        <w:jc w:val="left"/>
      </w:pPr>
      <w:r>
        <w:rPr>
          <w:rFonts w:ascii="Times New Roman" w:hAnsi="Times New Roman" w:eastAsia="標楷體"/>
          <w:b/>
          <w:sz w:val="26"/>
        </w:rPr>
        <w:t>3.5 Incidental Observation: Trainability (Left as an Open Question)</w:t>
      </w:r>
    </w:p>
    <w:p>
      <w:r>
        <w:rPr>
          <w:rFonts w:ascii="Times New Roman" w:hAnsi="Times New Roman" w:eastAsia="標楷體"/>
          <w:b w:val="0"/>
          <w:sz w:val="24"/>
        </w:rPr>
        <w:t xml:space="preserve">On re-reading the paper's §V-A1, we noticed that the framing of its ablation is actually about </w:t>
      </w:r>
      <w:r>
        <w:rPr>
          <w:rFonts w:ascii="Times New Roman" w:hAnsi="Times New Roman" w:eastAsia="標楷體"/>
          <w:b/>
          <w:sz w:val="24"/>
        </w:rPr>
        <w:t>trainability</w:t>
      </w:r>
      <w:r>
        <w:rPr>
          <w:rFonts w:ascii="Times New Roman" w:hAnsi="Times New Roman" w:eastAsia="標楷體"/>
          <w:b w:val="0"/>
          <w:sz w:val="24"/>
        </w:rPr>
        <w:t xml:space="preserve"> -- the paper reports that "after removing the entire biomechanical model, the robot is completely unable to learn a coherent gait and only shuffles its feet asymmetrically on the ground." Out of curiosity, we ran the case of "disabling activation, Hill, and fatigue simultaneously" (keeping growth), with five seeds.</w:t>
      </w:r>
    </w:p>
    <w:p>
      <w:r>
        <w:rPr>
          <w:rFonts w:ascii="Times New Roman" w:hAnsi="Times New Roman" w:eastAsia="標楷體"/>
          <w:b w:val="0"/>
          <w:sz w:val="24"/>
        </w:rPr>
        <w:t xml:space="preserve">The result was that it still trained successfully, and the reward was even higher (138.6 ± 4.7). However, we </w:t>
      </w:r>
      <w:r>
        <w:rPr>
          <w:rFonts w:ascii="Times New Roman" w:hAnsi="Times New Roman" w:eastAsia="標楷體"/>
          <w:b/>
          <w:sz w:val="24"/>
        </w:rPr>
        <w:t>deliberately draw no conclusion</w:t>
      </w:r>
      <w:r>
        <w:rPr>
          <w:rFonts w:ascii="Times New Roman" w:hAnsi="Times New Roman" w:eastAsia="標楷體"/>
          <w:b w:val="0"/>
          <w:sz w:val="24"/>
        </w:rPr>
        <w:t xml:space="preserve"> from this, for two reasons. First, with all three disabled, our torque pipeline degenerates into purely scaled raw torque, which is not necessarily equivalent to the baseline the paper used (the paper did not release the code for that ablation). Second, </w:t>
      </w:r>
      <w:r>
        <w:rPr>
          <w:rFonts w:ascii="Times New Roman" w:hAnsi="Times New Roman" w:eastAsia="標楷體"/>
          <w:b/>
          <w:sz w:val="24"/>
        </w:rPr>
        <w:t>reward does not equal gait quality</w:t>
      </w:r>
      <w:r>
        <w:rPr>
          <w:rFonts w:ascii="Times New Roman" w:hAnsi="Times New Roman" w:eastAsia="標楷體"/>
          <w:b w:val="0"/>
          <w:sz w:val="24"/>
        </w:rPr>
        <w:t xml:space="preserve"> -- the paper's "cannot learn" refers to gait quality (shuffling in place), whereas we did not establish a gait-quality metric. This high reward therefore cannot refute the paper. We leave it as an honest open question.</w:t>
      </w:r>
    </w:p>
    <w:p>
      <w:pPr>
        <w:pStyle w:val="Heading1"/>
        <w:jc w:val="left"/>
      </w:pPr>
      <w:r>
        <w:rPr>
          <w:rFonts w:ascii="Times New Roman" w:hAnsi="Times New Roman" w:eastAsia="標楷體"/>
          <w:b/>
          <w:sz w:val="32"/>
        </w:rPr>
        <w:t>Chapter 5. Practical Implementation II: Cross-Engine Migration to Isaac Lab</w:t>
      </w:r>
    </w:p>
    <w:p>
      <w:r>
        <w:rPr>
          <w:rFonts w:ascii="Times New Roman" w:hAnsi="Times New Roman" w:eastAsia="標楷體"/>
          <w:b w:val="0"/>
          <w:sz w:val="24"/>
        </w:rPr>
        <w:t xml:space="preserve">Isaac Gym Preview 4 has been discontinued. NVIDIA's official successor is </w:t>
      </w:r>
      <w:r>
        <w:rPr>
          <w:rFonts w:ascii="Times New Roman" w:hAnsi="Times New Roman" w:eastAsia="標楷體"/>
          <w:b/>
          <w:sz w:val="24"/>
        </w:rPr>
        <w:t>Isaac Lab</w:t>
      </w:r>
      <w:r>
        <w:rPr>
          <w:rFonts w:ascii="Times New Roman" w:hAnsi="Times New Roman" w:eastAsia="標楷體"/>
          <w:b w:val="0"/>
          <w:sz w:val="24"/>
        </w:rPr>
        <w:t xml:space="preserve">, built on top of Isaac Sim (and reusing the same rsl_rl PPO backend). The second stage migrates the entire SATA pipeline to Isaac Lab and answers a question that is more fundamental than the first stage: </w:t>
      </w:r>
      <w:r>
        <w:rPr>
          <w:rFonts w:ascii="Times New Roman" w:hAnsi="Times New Roman" w:eastAsia="標楷體"/>
          <w:b/>
          <w:sz w:val="24"/>
        </w:rPr>
        <w:t>can a faithful port still hold when only the simulation engine is swapped?</w:t>
      </w:r>
    </w:p>
    <w:p>
      <w:pPr>
        <w:pStyle w:val="Heading2"/>
        <w:jc w:val="left"/>
      </w:pPr>
      <w:r>
        <w:rPr>
          <w:rFonts w:ascii="Times New Roman" w:hAnsi="Times New Roman" w:eastAsia="標楷體"/>
          <w:b/>
          <w:sz w:val="26"/>
        </w:rPr>
        <w:t>4.1 Design Principle of the Migration</w:t>
      </w:r>
    </w:p>
    <w:p>
      <w:r>
        <w:rPr>
          <w:rFonts w:ascii="Times New Roman" w:hAnsi="Times New Roman" w:eastAsia="標楷體"/>
          <w:b w:val="0"/>
          <w:sz w:val="24"/>
        </w:rPr>
        <w:t xml:space="preserve">The key is to </w:t>
      </w:r>
      <w:r>
        <w:rPr>
          <w:rFonts w:ascii="Times New Roman" w:hAnsi="Times New Roman" w:eastAsia="標楷體"/>
          <w:b/>
          <w:sz w:val="24"/>
        </w:rPr>
        <w:t>fix the robot as the control variable</w:t>
      </w:r>
      <w:r>
        <w:rPr>
          <w:rFonts w:ascii="Times New Roman" w:hAnsi="Times New Roman" w:eastAsia="標楷體"/>
          <w:b w:val="0"/>
          <w:sz w:val="24"/>
        </w:rPr>
        <w:t>: reuse the same Go2, the same rsl_rl PPO backend, and use the Isaac Gym reproduction numbers as ground truth. If a new robot were used, one could not distinguish "a porting error" from "a genuine engine difference." This stage therefore ports as directly as possible and judges fidelity by the gap between the residual and the baseline, rather than presupposing that any inconsistency is due to a "cross-engine effect."</w:t>
      </w:r>
    </w:p>
    <w:p>
      <w:r>
        <w:rPr>
          <w:rFonts w:ascii="Times New Roman" w:hAnsi="Times New Roman" w:eastAsia="標楷體"/>
          <w:b w:val="0"/>
          <w:sz w:val="24"/>
        </w:rPr>
        <w:t>One key sub-migration is the control paradigm: Isaac Lab's built-in Go2 task defaults to position (PD) control, whereas SATA is a torque/force policy. Configuring it for torque control and then porting the bio-inspired layer (activation low-pass, Hill, fatigue, Gompertz growth) onto it was the bulk of the work in this stage.</w:t>
      </w:r>
    </w:p>
    <w:p>
      <w:pPr>
        <w:pStyle w:val="Heading2"/>
        <w:jc w:val="left"/>
      </w:pPr>
      <w:r>
        <w:rPr>
          <w:rFonts w:ascii="Times New Roman" w:hAnsi="Times New Roman" w:eastAsia="標楷體"/>
          <w:b/>
          <w:sz w:val="26"/>
        </w:rPr>
        <w:t>4.2 Fidelity Debugging: Six Fixes</w:t>
      </w:r>
    </w:p>
    <w:p>
      <w:r>
        <w:rPr>
          <w:rFonts w:ascii="Times New Roman" w:hAnsi="Times New Roman" w:eastAsia="標楷體"/>
          <w:b w:val="0"/>
          <w:sz w:val="24"/>
        </w:rPr>
        <w:t xml:space="preserve">After a direct port, the policy at one point crawled along the ground with its belly down. After six fidelity fixes, the policy turned into a clean walk. One key fix was this: SATA's joint </w:t>
      </w:r>
      <w:r>
        <w:rPr>
          <w:rFonts w:ascii="Times New Roman" w:hAnsi="Times New Roman" w:eastAsia="標楷體"/>
          <w:b/>
          <w:sz w:val="24"/>
        </w:rPr>
        <w:t>position</w:t>
      </w:r>
      <w:r>
        <w:rPr>
          <w:rFonts w:ascii="Times New Roman" w:hAnsi="Times New Roman" w:eastAsia="標楷體"/>
          <w:b w:val="0"/>
          <w:sz w:val="24"/>
        </w:rPr>
        <w:t xml:space="preserve"> limits were originally used only for the reward and termination decisions and were not written into the physics simulation; the wider built-in USD thigh limits allowed exploration to overextend, which then triggered hard-limit termination in most episodes. We deliberately preserved every intermediate failure state as a record of the debugging journey.</w:t>
      </w:r>
    </w:p>
    <w:p>
      <w:pPr>
        <w:jc w:val="center"/>
      </w:pPr>
      <w:r>
        <w:drawing>
          <wp:inline xmlns:a="http://schemas.openxmlformats.org/drawingml/2006/main" xmlns:pic="http://schemas.openxmlformats.org/drawingml/2006/picture">
            <wp:extent cx="4114800" cy="2331720"/>
            <wp:docPr id="2095721722" name="Picture 2095721722"/>
            <wp:cNvGraphicFramePr>
              <a:graphicFrameLocks noChangeAspect="1"/>
            </wp:cNvGraphicFramePr>
            <a:graphic>
              <a:graphicData uri="http://schemas.openxmlformats.org/drawingml/2006/picture">
                <pic:pic>
                  <pic:nvPicPr>
                    <pic:cNvPr id="0" name="fig6_isaaclab_walk.png"/>
                    <pic:cNvPicPr/>
                  </pic:nvPicPr>
                  <pic:blipFill>
                    <a:blip r:embed="rId15"/>
                    <a:stretch>
                      <a:fillRect/>
                    </a:stretch>
                  </pic:blipFill>
                  <pic:spPr>
                    <a:xfrm>
                      <a:off x="0" y="0"/>
                      <a:ext cx="4114800" cy="2331720"/>
                    </a:xfrm>
                    <a:prstGeom prst="rect"/>
                  </pic:spPr>
                </pic:pic>
              </a:graphicData>
            </a:graphic>
          </wp:inline>
        </w:drawing>
      </w:r>
    </w:p>
    <w:p>
      <w:pPr>
        <w:jc w:val="center"/>
      </w:pPr>
      <w:r>
        <w:rPr>
          <w:rFonts w:ascii="Times New Roman" w:hAnsi="Times New Roman" w:eastAsia="標楷體"/>
          <w:b w:val="0"/>
          <w:i/>
          <w:sz w:val="20"/>
        </w:rPr>
        <w:t>The cross-engine walking result: the joint trajectories trained in Isaac Lab, rendered via kinematic replay in Isaac Gym (from `06_roughReplay_cleanWalk_still.png`). (Because the RTX renderer of Isaac Sim is incompatible with the driver on this container, the gait is presented via kinematic replay.)</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468880" cy="1569502"/>
                  <wp:docPr id="2095721723" name="Picture 2095721723"/>
                  <wp:cNvGraphicFramePr>
                    <a:graphicFrameLocks noChangeAspect="1"/>
                  </wp:cNvGraphicFramePr>
                  <a:graphic>
                    <a:graphicData uri="http://schemas.openxmlformats.org/drawingml/2006/picture">
                      <pic:pic>
                        <pic:nvPicPr>
                          <pic:cNvPr id="0" name="fig7_isaaclab_crawl.png"/>
                          <pic:cNvPicPr/>
                        </pic:nvPicPr>
                        <pic:blipFill>
                          <a:blip r:embed="rId16"/>
                          <a:stretch>
                            <a:fillRect/>
                          </a:stretch>
                        </pic:blipFill>
                        <pic:spPr>
                          <a:xfrm>
                            <a:off x="0" y="0"/>
                            <a:ext cx="2468880" cy="156950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468880" cy="1399032"/>
                  <wp:docPr id="2095721724" name="Picture 2095721724"/>
                  <wp:cNvGraphicFramePr>
                    <a:graphicFrameLocks noChangeAspect="1"/>
                  </wp:cNvGraphicFramePr>
                  <a:graphic>
                    <a:graphicData uri="http://schemas.openxmlformats.org/drawingml/2006/picture">
                      <pic:pic>
                        <pic:nvPicPr>
                          <pic:cNvPr id="0" name="fig6_isaaclab_walk.png"/>
                          <pic:cNvPicPr/>
                        </pic:nvPicPr>
                        <pic:blipFill>
                          <a:blip r:embed="rId15"/>
                          <a:stretch>
                            <a:fillRect/>
                          </a:stretch>
                        </pic:blipFill>
                        <pic:spPr>
                          <a:xfrm>
                            <a:off x="0" y="0"/>
                            <a:ext cx="2468880" cy="1399032"/>
                          </a:xfrm>
                          <a:prstGeom prst="rect"/>
                        </pic:spPr>
                      </pic:pic>
                    </a:graphicData>
                  </a:graphic>
                </wp:inline>
              </w:drawing>
            </w:r>
          </w:p>
        </w:tc>
      </w:tr>
    </w:tbl>
    <w:p>
      <w:pPr>
        <w:jc w:val="center"/>
      </w:pPr>
      <w:r>
        <w:rPr>
          <w:rFonts w:ascii="Times New Roman" w:hAnsi="Times New Roman" w:eastAsia="標楷體"/>
          <w:b w:val="0"/>
          <w:i/>
          <w:sz w:val="20"/>
        </w:rPr>
        <w:t>A comparison of the debugging journey: left is the belly-crawl caused by an early reward-configuration bug; right is the clean walk after the fix (from `01_flat_rewardBug_crawl.gif` and `06_roughReplay_cleanWalk_still.png`).</w:t>
      </w:r>
    </w:p>
    <w:p>
      <w:pPr>
        <w:pStyle w:val="Heading2"/>
        <w:jc w:val="left"/>
      </w:pPr>
      <w:r>
        <w:rPr>
          <w:rFonts w:ascii="Times New Roman" w:hAnsi="Times New Roman" w:eastAsia="標楷體"/>
          <w:b/>
          <w:sz w:val="26"/>
        </w:rPr>
        <w:t>4.3 Eight-Seed Reproduction Results</w:t>
      </w:r>
    </w:p>
    <w:p>
      <w:r>
        <w:rPr>
          <w:rFonts w:ascii="Times New Roman" w:hAnsi="Times New Roman" w:eastAsia="標楷體"/>
          <w:b w:val="0"/>
          <w:sz w:val="24"/>
        </w:rPr>
        <w:t>We retrained eight seeds of the full bio-inspired stack on SATA's rough terrain and compared item by item against the Isaac Gym baseline: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標楷體"/>
                <w:b/>
                <w:sz w:val="20"/>
              </w:rPr>
            </w:r>
          </w:p>
        </w:tc>
        <w:tc>
          <w:tcPr>
            <w:tcW w:type="dxa" w:w="2880"/>
          </w:tcPr>
          <w:p>
            <w:r/>
            <w:r>
              <w:rPr>
                <w:rFonts w:ascii="Times New Roman" w:hAnsi="Times New Roman" w:eastAsia="標楷體"/>
                <w:b/>
                <w:sz w:val="20"/>
              </w:rPr>
              <w:t>Mean reward (eight seeds)</w:t>
            </w:r>
          </w:p>
        </w:tc>
        <w:tc>
          <w:tcPr>
            <w:tcW w:type="dxa" w:w="2880"/>
          </w:tcPr>
          <w:p>
            <w:r/>
            <w:r>
              <w:rPr>
                <w:rFonts w:ascii="Times New Roman" w:hAnsi="Times New Roman" w:eastAsia="標楷體"/>
                <w:b/>
                <w:sz w:val="20"/>
              </w:rPr>
              <w:t>Excluding one collapsed seed (seven seeds)</w:t>
            </w:r>
          </w:p>
        </w:tc>
      </w:tr>
      <w:tr>
        <w:tc>
          <w:tcPr>
            <w:tcW w:type="dxa" w:w="2880"/>
          </w:tcPr>
          <w:p>
            <w:r/>
            <w:r>
              <w:rPr>
                <w:rFonts w:ascii="Times New Roman" w:hAnsi="Times New Roman" w:eastAsia="標楷體"/>
                <w:b w:val="0"/>
                <w:sz w:val="20"/>
              </w:rPr>
              <w:t>Isaac Lab (this study)</w:t>
            </w:r>
          </w:p>
        </w:tc>
        <w:tc>
          <w:tcPr>
            <w:tcW w:type="dxa" w:w="2880"/>
          </w:tcPr>
          <w:p>
            <w:r/>
            <w:r>
              <w:rPr>
                <w:rFonts w:ascii="Times New Roman" w:hAnsi="Times New Roman" w:eastAsia="標楷體"/>
                <w:b w:val="0"/>
                <w:sz w:val="20"/>
              </w:rPr>
              <w:t>76.8 ± 16.2</w:t>
            </w:r>
          </w:p>
        </w:tc>
        <w:tc>
          <w:tcPr>
            <w:tcW w:type="dxa" w:w="2880"/>
          </w:tcPr>
          <w:p>
            <w:r/>
            <w:r>
              <w:rPr>
                <w:rFonts w:ascii="Times New Roman" w:hAnsi="Times New Roman" w:eastAsia="標楷體"/>
                <w:b w:val="0"/>
                <w:sz w:val="20"/>
              </w:rPr>
              <w:t>82.3 ± 5.0</w:t>
            </w:r>
          </w:p>
        </w:tc>
      </w:tr>
      <w:tr>
        <w:tc>
          <w:tcPr>
            <w:tcW w:type="dxa" w:w="2880"/>
          </w:tcPr>
          <w:p>
            <w:r/>
            <w:r>
              <w:rPr>
                <w:rFonts w:ascii="Times New Roman" w:hAnsi="Times New Roman" w:eastAsia="標楷體"/>
                <w:b w:val="0"/>
                <w:sz w:val="20"/>
              </w:rPr>
              <w:t>Isaac Gym (SATA baseline)</w:t>
            </w:r>
          </w:p>
        </w:tc>
        <w:tc>
          <w:tcPr>
            <w:tcW w:type="dxa" w:w="2880"/>
          </w:tcPr>
          <w:p>
            <w:r/>
            <w:r>
              <w:rPr>
                <w:rFonts w:ascii="Times New Roman" w:hAnsi="Times New Roman" w:eastAsia="標楷體"/>
                <w:b w:val="0"/>
                <w:sz w:val="20"/>
              </w:rPr>
              <w:t>103.6 ± 16.0</w:t>
            </w:r>
          </w:p>
        </w:tc>
        <w:tc>
          <w:tcPr>
            <w:tcW w:type="dxa" w:w="2880"/>
          </w:tcPr>
          <w:p>
            <w:r/>
            <w:r>
              <w:rPr>
                <w:rFonts w:ascii="Times New Roman" w:hAnsi="Times New Roman" w:eastAsia="標楷體"/>
                <w:b w:val="0"/>
                <w:sz w:val="20"/>
              </w:rPr>
              <w:t>108.6 ± 8.0</w:t>
            </w:r>
          </w:p>
        </w:tc>
      </w:tr>
    </w:tbl>
    <w:p>
      <w:r>
        <w:rPr>
          <w:rFonts w:ascii="Times New Roman" w:hAnsi="Times New Roman" w:eastAsia="標楷體"/>
          <w:b w:val="0"/>
          <w:sz w:val="24"/>
        </w:rPr>
        <w:t xml:space="preserve">Both engines exhibit the </w:t>
      </w:r>
      <w:r>
        <w:rPr>
          <w:rFonts w:ascii="Times New Roman" w:hAnsi="Times New Roman" w:eastAsia="標楷體"/>
          <w:b/>
          <w:sz w:val="24"/>
        </w:rPr>
        <w:t>same structure</w:t>
      </w:r>
      <w:r>
        <w:rPr>
          <w:rFonts w:ascii="Times New Roman" w:hAnsi="Times New Roman" w:eastAsia="標楷體"/>
          <w:b w:val="0"/>
          <w:sz w:val="24"/>
        </w:rPr>
        <w:t>: seven seeds cluster together while one collapses late in PPO. We report the eight-seed numbers including the collapse as the headline result, rather than the prettier seven-seed numbers.</w:t>
      </w:r>
    </w:p>
    <w:p>
      <w:r>
        <w:rPr>
          <w:rFonts w:ascii="Times New Roman" w:hAnsi="Times New Roman" w:eastAsia="標楷體"/>
          <w:b w:val="0"/>
          <w:sz w:val="24"/>
        </w:rPr>
        <w:t xml:space="preserve">Decomposing the per-step reward term by term further reveals that </w:t>
      </w:r>
      <w:r>
        <w:rPr>
          <w:rFonts w:ascii="Times New Roman" w:hAnsi="Times New Roman" w:eastAsia="標楷體"/>
          <w:b/>
          <w:sz w:val="24"/>
        </w:rPr>
        <w:t>the gap between the positive task-reward terms (forward progress, head height, lateral movement, turning) and the Isaac Gym baseline is within about 0.002 per step</w:t>
      </w:r>
      <w:r>
        <w:rPr>
          <w:rFonts w:ascii="Times New Roman" w:hAnsi="Times New Roman" w:eastAsia="標楷體"/>
          <w:b w:val="0"/>
          <w:sz w:val="24"/>
        </w:rPr>
        <w:t xml:space="preserve"> -- that is, the policy reproduced SATA's per-step task performance. The remaining reward gap concentrates in a single penalty term (the joint-acceleration penalty), whose definition differs across engines (SATA uses finite differences; we use the instantaneous acceleration from PhysX5, which captures contact-impact spikes that finite differences smooth out). We do not claim the two engines are equivalent; whether the gap is fully explained by this definitional difference remains an open question.</w:t>
      </w:r>
    </w:p>
    <w:p>
      <w:pPr>
        <w:pStyle w:val="Heading1"/>
        <w:jc w:val="left"/>
      </w:pPr>
      <w:r>
        <w:rPr>
          <w:rFonts w:ascii="Times New Roman" w:hAnsi="Times New Roman" w:eastAsia="標楷體"/>
          <w:b/>
          <w:sz w:val="32"/>
        </w:rPr>
        <w:t>Chapter 6. Results and Methodological Rigor</w:t>
      </w:r>
    </w:p>
    <w:p>
      <w:r>
        <w:rPr>
          <w:rFonts w:ascii="Times New Roman" w:hAnsi="Times New Roman" w:eastAsia="標楷體"/>
          <w:b w:val="0"/>
          <w:sz w:val="24"/>
        </w:rPr>
        <w:t>The credibility of this study rests on a series of deliberate methodological choices:</w:t>
      </w:r>
    </w:p>
    <w:p>
      <w:pPr>
        <w:pStyle w:val="ListBullet"/>
      </w:pPr>
      <w:r>
        <w:rPr>
          <w:rFonts w:ascii="Times New Roman" w:hAnsi="Times New Roman" w:eastAsia="標楷體"/>
          <w:b/>
          <w:sz w:val="24"/>
        </w:rPr>
        <w:t>At least five seeds per condition</w:t>
      </w:r>
      <w:r>
        <w:rPr>
          <w:rFonts w:ascii="Times New Roman" w:hAnsi="Times New Roman" w:eastAsia="標楷體"/>
          <w:b w:val="0"/>
          <w:sz w:val="24"/>
        </w:rPr>
        <w:t xml:space="preserve"> (Phases 2 and 3 use eight). A small number of seeds is untrustworthy in reinforcement learning -- this is exactly what Henderson et al. (2018) warned against; and indeed, by extending from three to eight seeds, we overturned two preliminary conclusions.</w:t>
      </w:r>
    </w:p>
    <w:p>
      <w:pPr>
        <w:pStyle w:val="ListBullet"/>
      </w:pPr>
      <w:r>
        <w:rPr>
          <w:rFonts w:ascii="Times New Roman" w:hAnsi="Times New Roman" w:eastAsia="標楷體"/>
          <w:b/>
          <w:sz w:val="24"/>
        </w:rPr>
        <w:t>Welch's t-test (unequal variances)</w:t>
      </w:r>
      <w:r>
        <w:rPr>
          <w:rFonts w:ascii="Times New Roman" w:hAnsi="Times New Roman" w:eastAsia="標楷體"/>
          <w:b w:val="0"/>
          <w:sz w:val="24"/>
        </w:rPr>
        <w:t>: the variances across conditions differ greatly, so the equal-variance assumption does not hold, and we use Welch's test with the Satterthwaite degrees-of-freedom approximation.</w:t>
      </w:r>
    </w:p>
    <w:p>
      <w:pPr>
        <w:pStyle w:val="ListBullet"/>
      </w:pPr>
      <w:r>
        <w:rPr>
          <w:rFonts w:ascii="Times New Roman" w:hAnsi="Times New Roman" w:eastAsia="標楷體"/>
          <w:b/>
          <w:sz w:val="24"/>
        </w:rPr>
        <w:t>Two-tailed tests as the honest default</w:t>
      </w:r>
      <w:r>
        <w:rPr>
          <w:rFonts w:ascii="Times New Roman" w:hAnsi="Times New Roman" w:eastAsia="標楷體"/>
          <w:b w:val="0"/>
          <w:sz w:val="24"/>
        </w:rPr>
        <w:t>: Phase 4 states plainly that a one-tailed test would render the 8/10 kg results significant, but we still use the two-tailed values (p ≈ 0.07) and report them as a "trend" rather than an "established effect."</w:t>
      </w:r>
    </w:p>
    <w:p>
      <w:pPr>
        <w:pStyle w:val="ListBullet"/>
      </w:pPr>
      <w:r>
        <w:rPr>
          <w:rFonts w:ascii="Times New Roman" w:hAnsi="Times New Roman" w:eastAsia="標楷體"/>
          <w:b/>
          <w:sz w:val="24"/>
        </w:rPr>
        <w:t>Reporting the sample standard deviation (ddof=1)</w:t>
      </w:r>
      <w:r>
        <w:rPr>
          <w:rFonts w:ascii="Times New Roman" w:hAnsi="Times New Roman" w:eastAsia="標楷體"/>
          <w:b w:val="0"/>
          <w:sz w:val="24"/>
        </w:rPr>
        <w:t>, and faithfully reporting the final-iteration reward (including that late-collapsing seed).</w:t>
      </w:r>
    </w:p>
    <w:p>
      <w:pPr>
        <w:pStyle w:val="ListBullet"/>
      </w:pPr>
      <w:r>
        <w:rPr>
          <w:rFonts w:ascii="Times New Roman" w:hAnsi="Times New Roman" w:eastAsia="標楷體"/>
          <w:b/>
          <w:sz w:val="24"/>
        </w:rPr>
        <w:t>"Not detected" does not equal "useless"</w:t>
      </w:r>
      <w:r>
        <w:rPr>
          <w:rFonts w:ascii="Times New Roman" w:hAnsi="Times New Roman" w:eastAsia="標楷體"/>
          <w:b w:val="0"/>
          <w:sz w:val="24"/>
        </w:rPr>
        <w:t>: the verdict on the Hill model is "no effect detected along the axes we measured," not "useless" -- force-velocity shaping very likely takes effect in the high-joint-speed scenarios we did not isolate.</w:t>
      </w:r>
    </w:p>
    <w:p>
      <w:pPr>
        <w:pStyle w:val="ListBullet"/>
      </w:pPr>
      <w:r>
        <w:rPr>
          <w:rFonts w:ascii="Times New Roman" w:hAnsi="Times New Roman" w:eastAsia="標楷體"/>
          <w:b/>
          <w:sz w:val="24"/>
        </w:rPr>
        <w:t>Simulation only (the biggest limitation of this project)</w:t>
      </w:r>
      <w:r>
        <w:rPr>
          <w:rFonts w:ascii="Times New Roman" w:hAnsi="Times New Roman" w:eastAsia="標楷體"/>
          <w:b w:val="0"/>
          <w:sz w:val="24"/>
        </w:rPr>
        <w:t>: there is no physical robot and no thermal model. "Within the actuator-feasible range" means "within the rated 45 N·m number," not hardware-verified. This is precisely why disabling fatigue can "win" in clean simulation -- the simulator does not charge for sustained thermal overload.</w:t>
      </w:r>
    </w:p>
    <w:p>
      <w:r>
        <w:rPr>
          <w:rFonts w:ascii="Times New Roman" w:hAnsi="Times New Roman" w:eastAsia="標楷體"/>
          <w:b w:val="0"/>
          <w:sz w:val="24"/>
        </w:rPr>
        <w:t xml:space="preserve">We also used data to </w:t>
      </w:r>
      <w:r>
        <w:rPr>
          <w:rFonts w:ascii="Times New Roman" w:hAnsi="Times New Roman" w:eastAsia="標楷體"/>
          <w:b/>
          <w:sz w:val="24"/>
        </w:rPr>
        <w:t>correct two analogies from our own first draft</w:t>
      </w:r>
      <w:r>
        <w:rPr>
          <w:rFonts w:ascii="Times New Roman" w:hAnsi="Times New Roman" w:eastAsia="標楷體"/>
          <w:b w:val="0"/>
          <w:sz w:val="24"/>
        </w:rPr>
        <w:t>: fatigue is not a disturbance compensator (an external force affects all conditions equally; fatigue is a regularizer on exertion), and growth is not a runtime gain schedule (it is a training-time curriculum, already saturated at deployment -- a timescale mismatch).</w:t>
      </w:r>
    </w:p>
    <w:p>
      <w:pPr>
        <w:pStyle w:val="Heading1"/>
        <w:jc w:val="left"/>
      </w:pPr>
      <w:r>
        <w:rPr>
          <w:rFonts w:ascii="Times New Roman" w:hAnsi="Times New Roman" w:eastAsia="標楷體"/>
          <w:b/>
          <w:sz w:val="32"/>
        </w:rPr>
        <w:t>Chapter 7. Conclusion and Reflection</w:t>
      </w:r>
    </w:p>
    <w:p>
      <w:r>
        <w:rPr>
          <w:rFonts w:ascii="Times New Roman" w:hAnsi="Times New Roman" w:eastAsia="標楷體"/>
          <w:b w:val="0"/>
          <w:sz w:val="24"/>
        </w:rPr>
        <w:t xml:space="preserve">This study fully reproduced SATA's torque-based quadruped locomotion and carried out the training, evaluation, and analysis by hand on two simulation engines. Our observations can be summarized as follows: along the hardware-feasibility axis we measured, the bio-inspired mechanisms behave more like </w:t>
      </w:r>
      <w:r>
        <w:rPr>
          <w:rFonts w:ascii="Times New Roman" w:hAnsi="Times New Roman" w:eastAsia="標楷體"/>
          <w:b/>
          <w:sz w:val="24"/>
        </w:rPr>
        <w:t>sim-to-real feasibility constraints</w:t>
      </w:r>
      <w:r>
        <w:rPr>
          <w:rFonts w:ascii="Times New Roman" w:hAnsi="Times New Roman" w:eastAsia="標楷體"/>
          <w:b w:val="0"/>
          <w:sz w:val="24"/>
        </w:rPr>
        <w:t xml:space="preserve"> than mere reward-tuning devices -- disabling them does raise the reward in clean simulation, but at the cost of leaving the hardware-feasible range. A classical residual compensation term can recover part of the load capacity within the feasible range, but only to a limited degree; its ceiling stems from the lack of co-design, pointing toward co-trained reinforcement-learning and adaptive methods. As for cross-engine migration, the faithful port reproduced SATA's per-step task performance after the engine was swapped, with the remaining gap concentrated in the definitional difference of a single penalty term.</w:t>
      </w:r>
    </w:p>
    <w:p>
      <w:r>
        <w:rPr>
          <w:rFonts w:ascii="Times New Roman" w:hAnsi="Times New Roman" w:eastAsia="標楷體"/>
          <w:b w:val="0"/>
          <w:sz w:val="24"/>
        </w:rPr>
        <w:t>This study offers two reflections. First, statistical rigor is not a formality -- we personally experienced a three-seed conclusion being overturned under eight seeds, and we therefore remain wary of "drawing conclusions from a small sample." Second, honestly knowing when not to draw a conclusion is as important as reaching one: in the incidental observation on trainability, our experimental setup had confounding factors (degeneration to raw torque, a different reset pose) and lacked a corresponding gait-quality metric, so we chose to leave it as an open question rather than overclaim. Questions of this kind -- "why is torque-based reinforcement learning so hard to train" -- are exactly the direction we hope to explore more deeply in the future.</w:t>
      </w:r>
    </w:p>
    <w:p>
      <w:pPr>
        <w:pStyle w:val="Heading1"/>
        <w:jc w:val="left"/>
      </w:pPr>
      <w:r>
        <w:rPr>
          <w:rFonts w:ascii="Times New Roman" w:hAnsi="Times New Roman" w:eastAsia="標楷體"/>
          <w:b/>
          <w:sz w:val="32"/>
        </w:rPr>
        <w:t>References</w:t>
      </w:r>
    </w:p>
    <w:p>
      <w:pPr>
        <w:pStyle w:val="ListNumber"/>
      </w:pPr>
      <w:r>
        <w:rPr>
          <w:rFonts w:ascii="Times New Roman" w:hAnsi="Times New Roman" w:eastAsia="標楷體"/>
          <w:b w:val="0"/>
          <w:sz w:val="24"/>
        </w:rPr>
        <w:t>Li, P., Li, H., Sun, G., Cheng, J., Yang, X., Bellegarda, G., Shafiee, M., Cao, Y., Ijspeert, A., &amp; Sartoretti, G. (2025). *SATA: Safe and Adaptive Torque-Based Locomotion Policies Inspired by Animal Learning*. arXiv:2502.12674.</w:t>
      </w:r>
    </w:p>
    <w:p>
      <w:pPr>
        <w:pStyle w:val="ListNumber"/>
      </w:pPr>
      <w:r>
        <w:rPr>
          <w:rFonts w:ascii="Times New Roman" w:hAnsi="Times New Roman" w:eastAsia="標楷體"/>
          <w:b w:val="0"/>
          <w:sz w:val="24"/>
        </w:rPr>
        <w:t>Hill, A. V. (1938). The heat of shortening and the dynamic constants of muscle. *Proceedings of the Royal Society of London. Series B*, 126(843), 136–195.</w:t>
      </w:r>
    </w:p>
    <w:p>
      <w:pPr>
        <w:pStyle w:val="ListNumber"/>
      </w:pPr>
      <w:r>
        <w:rPr>
          <w:rFonts w:ascii="Times New Roman" w:hAnsi="Times New Roman" w:eastAsia="標楷體"/>
          <w:b w:val="0"/>
          <w:sz w:val="24"/>
        </w:rPr>
        <w:t>Henderson, P., Islam, R., Bachman, P., Pineau, J., Precup, D., &amp; Meger, D. (2018). Deep Reinforcement Learning that Matters. *Proceedings of the AAAI Conference on Artificial Intelligence*, 32(1), 3207–3214.</w:t>
      </w:r>
    </w:p>
    <w:p>
      <w:pPr>
        <w:pStyle w:val="ListNumber"/>
      </w:pPr>
      <w:r>
        <w:rPr>
          <w:rFonts w:ascii="Times New Roman" w:hAnsi="Times New Roman" w:eastAsia="標楷體"/>
          <w:b w:val="0"/>
          <w:sz w:val="24"/>
        </w:rPr>
        <w:t>Lyu, S., Lang, X., Zhao, H., Zhang, H., Ding, P., &amp; Wang, D. (2024). *RL2AC: Reinforcement Learning-based Rapid Online Adaptive Control for Legged Robot Robust Locomotion*. Robotics: Science and Systems (RSS) 2024.</w:t>
      </w:r>
    </w:p>
    <w:p>
      <w:pPr>
        <w:pStyle w:val="ListNumber"/>
      </w:pPr>
      <w:r>
        <w:rPr>
          <w:rFonts w:ascii="Times New Roman" w:hAnsi="Times New Roman" w:eastAsia="標楷體"/>
          <w:b w:val="0"/>
          <w:sz w:val="24"/>
        </w:rPr>
        <w:t>Chen, S., Zhang, B., Mueller, M. W., Rai, A., &amp; Sreenath, K. (2022). *Learning Torque Control for Quadrupedal Locomotion*. arXiv:2203.05194.</w:t>
      </w:r>
    </w:p>
    <w:p>
      <w:pPr>
        <w:pStyle w:val="ListNumber"/>
      </w:pPr>
      <w:r>
        <w:rPr>
          <w:rFonts w:ascii="Times New Roman" w:hAnsi="Times New Roman" w:eastAsia="標楷體"/>
          <w:b w:val="0"/>
          <w:sz w:val="24"/>
        </w:rPr>
        <w:t>Sood, S., et al. (2024). *DecAP: Decaying Action Priors for Accelerated Imitation Learning of Torque-Based Legged Locomotion Policies*. IROS 2024. arXiv:2310.05714.</w:t>
      </w:r>
    </w:p>
    <w:p>
      <w:pPr>
        <w:pStyle w:val="ListNumber"/>
      </w:pPr>
      <w:r>
        <w:rPr>
          <w:rFonts w:ascii="Times New Roman" w:hAnsi="Times New Roman" w:eastAsia="標楷體"/>
          <w:b w:val="0"/>
          <w:sz w:val="24"/>
        </w:rPr>
        <w:t>Hwangbo, J., et al. (2019). Learning agile and dynamic motor skills for legged robots. *Science Robotics*, 4(26). arXiv:1901.08652.</w:t>
      </w:r>
    </w:p>
    <w:p>
      <w:pPr>
        <w:pStyle w:val="ListNumber"/>
      </w:pPr>
      <w:r>
        <w:rPr>
          <w:rFonts w:ascii="Times New Roman" w:hAnsi="Times New Roman" w:eastAsia="標楷體"/>
          <w:b w:val="0"/>
          <w:sz w:val="24"/>
        </w:rPr>
        <w:t>Lee, J., Hwangbo, J., Wellhausen, L., Koltun, V., &amp; Hutter, M. (2020). Learning quadrupedal locomotion over challenging terrain. *Science Robotics*, 5(47). arXiv:2010.11251.</w:t>
      </w:r>
    </w:p>
    <w:p>
      <w:pPr>
        <w:pStyle w:val="ListNumber"/>
      </w:pPr>
      <w:r>
        <w:rPr>
          <w:rFonts w:ascii="Times New Roman" w:hAnsi="Times New Roman" w:eastAsia="標楷體"/>
          <w:b w:val="0"/>
          <w:sz w:val="24"/>
        </w:rPr>
        <w:t>Miki, T., Lee, J., Hwangbo, J., Wellhausen, L., Koltun, V., &amp; Hutter, M. (2022). Learning robust perceptive locomotion for quadrupedal robots in the wild. *Science Robotics*, 7(62). arXiv:2201.08117.</w:t>
      </w:r>
    </w:p>
    <w:p>
      <w:pPr>
        <w:pStyle w:val="ListNumber"/>
      </w:pPr>
      <w:r>
        <w:rPr>
          <w:rFonts w:ascii="Times New Roman" w:hAnsi="Times New Roman" w:eastAsia="標楷體"/>
          <w:b w:val="0"/>
          <w:sz w:val="24"/>
        </w:rPr>
        <w:t>Bellegarda, G., &amp; Ijspeert, A. (2022). CPG-RL: Learning Central Pattern Generators for Quadruped Locomotion. *IEEE Robotics and Automation Letters*. arXiv:2211.00458.</w:t>
      </w:r>
    </w:p>
    <w:p>
      <w:pPr>
        <w:pStyle w:val="Heading1"/>
        <w:jc w:val="left"/>
      </w:pPr>
      <w:r>
        <w:rPr>
          <w:rFonts w:ascii="Times New Roman" w:hAnsi="Times New Roman" w:eastAsia="標楷體"/>
          <w:b/>
          <w:sz w:val="32"/>
        </w:rPr>
        <w:t>Open Source</w:t>
      </w:r>
    </w:p>
    <w:p>
      <w:r>
        <w:rPr>
          <w:rFonts w:ascii="Times New Roman" w:hAnsi="Times New Roman" w:eastAsia="標楷體"/>
          <w:b w:val="0"/>
          <w:sz w:val="24"/>
        </w:rPr>
        <w:t>Both projects in this study are open-sourced, and anyone may use, inspect, or build upon them under their respective license terms (see the LICENSE of each project for details):</w:t>
      </w:r>
    </w:p>
    <w:p>
      <w:pPr>
        <w:pStyle w:val="ListBullet"/>
      </w:pPr>
      <w:r>
        <w:rPr>
          <w:rFonts w:ascii="Times New Roman" w:hAnsi="Times New Roman" w:eastAsia="標楷體"/>
          <w:b/>
          <w:sz w:val="24"/>
        </w:rPr>
        <w:t>SATA reproduction and analysis on Isaac Gym</w:t>
      </w:r>
      <w:r>
        <w:rPr>
          <w:rFonts w:ascii="Times New Roman" w:hAnsi="Times New Roman" w:eastAsia="標楷體"/>
          <w:b w:val="0"/>
          <w:sz w:val="24"/>
        </w:rPr>
        <w:t>:</w:t>
      </w:r>
    </w:p>
    <w:p>
      <w:r>
        <w:rPr>
          <w:rFonts w:ascii="Times New Roman" w:hAnsi="Times New Roman" w:eastAsia="標楷體"/>
          <w:b w:val="0"/>
          <w:sz w:val="24"/>
        </w:rPr>
        <w:t>https://github.com/Stanley-1013/bio-inspired-adaptive-locomotion</w:t>
      </w:r>
    </w:p>
    <w:p>
      <w:pPr>
        <w:pStyle w:val="ListBullet"/>
      </w:pPr>
      <w:r>
        <w:rPr>
          <w:rFonts w:ascii="Times New Roman" w:hAnsi="Times New Roman" w:eastAsia="標楷體"/>
          <w:b/>
          <w:sz w:val="24"/>
        </w:rPr>
        <w:t>Cross-engine reproduction migrated to Isaac Lab</w:t>
      </w:r>
      <w:r>
        <w:rPr>
          <w:rFonts w:ascii="Times New Roman" w:hAnsi="Times New Roman" w:eastAsia="標楷體"/>
          <w:b w:val="0"/>
          <w:sz w:val="24"/>
        </w:rPr>
        <w:t>:</w:t>
      </w:r>
    </w:p>
    <w:p>
      <w:r>
        <w:rPr>
          <w:rFonts w:ascii="Times New Roman" w:hAnsi="Times New Roman" w:eastAsia="標楷體"/>
          <w:b w:val="0"/>
          <w:sz w:val="24"/>
        </w:rPr>
        <w:t>https://github.com/Stanley-1013/isaaclab-torque-locomotion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