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560"/>
        <w:jc w:val="center"/>
      </w:pPr>
      <w:r>
        <w:rPr>
          <w:rFonts w:ascii="Times New Roman" w:hAnsi="Times New Roman" w:eastAsia="標楷體"/>
          <w:b w:val="0"/>
          <w:sz w:val="26"/>
        </w:rPr>
        <w:t>Department of Biomechatronics Engineering</w:t>
      </w:r>
    </w:p>
    <w:p>
      <w:pPr>
        <w:spacing w:after="200" w:before="40"/>
        <w:jc w:val="center"/>
      </w:pPr>
      <w:r>
        <w:rPr>
          <w:rFonts w:ascii="Times New Roman" w:hAnsi="Times New Roman" w:eastAsia="標楷體"/>
          <w:b w:val="0"/>
          <w:sz w:val="26"/>
        </w:rPr>
        <w:t>College of Bioresources and Agriculture</w:t>
      </w:r>
    </w:p>
    <w:p>
      <w:pPr>
        <w:spacing w:after="200" w:before="40"/>
        <w:jc w:val="center"/>
      </w:pPr>
      <w:r>
        <w:rPr>
          <w:rFonts w:ascii="Times New Roman" w:hAnsi="Times New Roman" w:eastAsia="標楷體"/>
          <w:b w:val="0"/>
          <w:sz w:val="30"/>
        </w:rPr>
        <w:t>National Taiwan University</w:t>
      </w:r>
    </w:p>
    <w:p>
      <w:pPr>
        <w:spacing w:after="200" w:before="40"/>
        <w:jc w:val="center"/>
      </w:pPr>
      <w:r>
        <w:rPr>
          <w:rFonts w:ascii="Times New Roman" w:hAnsi="Times New Roman" w:eastAsia="標楷體"/>
          <w:b w:val="0"/>
          <w:sz w:val="30"/>
        </w:rPr>
        <w:t>Artificial Intelligence Implementation Final Report</w:t>
      </w:r>
    </w:p>
    <w:p>
      <w:pPr>
        <w:spacing w:after="200" w:before="40"/>
        <w:jc w:val="center"/>
      </w:pPr>
      <w:r>
        <w:rPr>
          <w:rFonts w:ascii="Times New Roman" w:hAnsi="Times New Roman" w:eastAsia="標楷體"/>
          <w:b w:val="0"/>
          <w:sz w:val="26"/>
        </w:rPr>
        <w:t>Reinforcement Learning for Bio-Inspired Torque-Based Quadruped Locomotion: A Cross-Simulator Reproduction and Analysis</w:t>
      </w:r>
    </w:p>
    <w:p>
      <w:pPr>
        <w:spacing w:after="200" w:before="40"/>
        <w:jc w:val="center"/>
      </w:pPr>
      <w:r>
        <w:rPr>
          <w:rFonts w:ascii="Times New Roman" w:hAnsi="Times New Roman" w:eastAsia="標楷體"/>
          <w:b w:val="0"/>
          <w:sz w:val="28"/>
        </w:rPr>
        <w:t>Li Chuan-Han</w:t>
      </w:r>
    </w:p>
    <w:p>
      <w:pPr>
        <w:spacing w:after="200" w:before="40"/>
        <w:jc w:val="center"/>
      </w:pPr>
      <w:r>
        <w:rPr>
          <w:rFonts w:ascii="Times New Roman" w:hAnsi="Times New Roman" w:eastAsia="標楷體"/>
          <w:b w:val="0"/>
          <w:sz w:val="26"/>
        </w:rPr>
        <w:t>Student ID: B11611027</w:t>
      </w:r>
    </w:p>
    <w:p>
      <w:pPr>
        <w:spacing w:after="200" w:before="40"/>
        <w:jc w:val="center"/>
      </w:pPr>
      <w:r>
        <w:rPr>
          <w:rFonts w:ascii="Times New Roman" w:hAnsi="Times New Roman" w:eastAsia="標楷體"/>
          <w:b w:val="0"/>
          <w:sz w:val="28"/>
        </w:rPr>
        <w:t>June, 2026</w:t>
      </w:r>
    </w:p>
    <w:p>
      <w:pPr>
        <w:pageBreakBefore/>
      </w:pPr>
    </w:p>
    <w:p>
      <w:pPr>
        <w:pStyle w:val="Heading1"/>
        <w:jc w:val="left"/>
      </w:pPr>
      <w:r>
        <w:rPr>
          <w:rFonts w:ascii="Times New Roman" w:hAnsi="Times New Roman" w:eastAsia="標楷體"/>
          <w:b/>
          <w:sz w:val="32"/>
        </w:rPr>
        <w:t>Contents</w:t>
      </w:r>
    </w:p>
    <w:p>
      <w:pPr>
        <w:pStyle w:val="ListBullet"/>
      </w:pPr>
      <w:r>
        <w:rPr>
          <w:rFonts w:ascii="Times New Roman" w:hAnsi="Times New Roman" w:eastAsia="標楷體"/>
          <w:b w:val="0"/>
          <w:sz w:val="24"/>
        </w:rPr>
        <w:t>Abstract</w:t>
      </w:r>
    </w:p>
    <w:p>
      <w:pPr>
        <w:pStyle w:val="ListBullet"/>
      </w:pPr>
      <w:r>
        <w:rPr>
          <w:rFonts w:ascii="Times New Roman" w:hAnsi="Times New Roman" w:eastAsia="標楷體"/>
          <w:b w:val="0"/>
          <w:sz w:val="24"/>
        </w:rPr>
        <w:t>Chapter 1. Introduction</w:t>
      </w:r>
    </w:p>
    <w:p>
      <w:pPr>
        <w:pStyle w:val="ListBullet"/>
      </w:pPr>
      <w:r>
        <w:rPr>
          <w:rFonts w:ascii="Times New Roman" w:hAnsi="Times New Roman" w:eastAsia="標楷體"/>
          <w:b w:val="0"/>
          <w:sz w:val="24"/>
        </w:rPr>
        <w:t>Chapter 2. Core Technology: Torque Control and the Bio-Inspired Locomotion Layer</w:t>
      </w:r>
    </w:p>
    <w:p>
      <w:pPr>
        <w:pStyle w:val="ListBullet"/>
      </w:pPr>
      <w:r>
        <w:rPr>
          <w:rFonts w:ascii="Times New Roman" w:hAnsi="Times New Roman" w:eastAsia="標楷體"/>
          <w:b w:val="0"/>
          <w:sz w:val="24"/>
        </w:rPr>
        <w:t>Chapter 3. Practical Implementation I: Reproducing and Analyzing SATA on Isaac Gym</w:t>
      </w:r>
    </w:p>
    <w:p>
      <w:pPr>
        <w:pStyle w:val="ListBullet"/>
      </w:pPr>
      <w:r>
        <w:rPr>
          <w:rFonts w:ascii="Times New Roman" w:hAnsi="Times New Roman" w:eastAsia="標楷體"/>
          <w:b w:val="0"/>
          <w:sz w:val="24"/>
        </w:rPr>
        <w:t>Chapter 4. Practical Implementation II: Cross-Engine Migration to Isaac Lab</w:t>
      </w:r>
    </w:p>
    <w:p>
      <w:pPr>
        <w:pStyle w:val="ListBullet"/>
      </w:pPr>
      <w:r>
        <w:rPr>
          <w:rFonts w:ascii="Times New Roman" w:hAnsi="Times New Roman" w:eastAsia="標楷體"/>
          <w:b w:val="0"/>
          <w:sz w:val="24"/>
        </w:rPr>
        <w:t>Chapter 5. Results and Methodological Rigor</w:t>
      </w:r>
    </w:p>
    <w:p>
      <w:pPr>
        <w:pStyle w:val="ListBullet"/>
      </w:pPr>
      <w:r>
        <w:rPr>
          <w:rFonts w:ascii="Times New Roman" w:hAnsi="Times New Roman" w:eastAsia="標楷體"/>
          <w:b w:val="0"/>
          <w:sz w:val="24"/>
        </w:rPr>
        <w:t>Chapter 6. Conclusion and Reflection</w:t>
      </w:r>
    </w:p>
    <w:p>
      <w:pPr>
        <w:pStyle w:val="ListBullet"/>
      </w:pPr>
      <w:r>
        <w:rPr>
          <w:rFonts w:ascii="Times New Roman" w:hAnsi="Times New Roman" w:eastAsia="標楷體"/>
          <w:b w:val="0"/>
          <w:sz w:val="24"/>
        </w:rPr>
        <w:t>References</w:t>
      </w:r>
    </w:p>
    <w:p>
      <w:pPr>
        <w:pStyle w:val="ListBullet"/>
      </w:pPr>
      <w:r>
        <w:rPr>
          <w:rFonts w:ascii="Times New Roman" w:hAnsi="Times New Roman" w:eastAsia="標楷體"/>
          <w:b w:val="0"/>
          <w:sz w:val="24"/>
        </w:rPr>
        <w:t>Open Source</w:t>
      </w:r>
    </w:p>
    <w:p>
      <w:pPr>
        <w:pStyle w:val="Heading1"/>
        <w:jc w:val="left"/>
      </w:pPr>
      <w:r>
        <w:rPr>
          <w:rFonts w:ascii="Times New Roman" w:hAnsi="Times New Roman" w:eastAsia="標楷體"/>
          <w:b/>
          <w:sz w:val="32"/>
        </w:rPr>
        <w:t>Abstract</w:t>
      </w:r>
    </w:p>
    <w:p>
      <w:r>
        <w:rPr>
          <w:rFonts w:ascii="Times New Roman" w:hAnsi="Times New Roman" w:eastAsia="標楷體"/>
          <w:b w:val="0"/>
          <w:sz w:val="24"/>
        </w:rPr>
        <w:t xml:space="preserve">This report is a </w:t>
      </w:r>
      <w:r>
        <w:rPr>
          <w:rFonts w:ascii="Times New Roman" w:hAnsi="Times New Roman" w:eastAsia="標楷體"/>
          <w:b/>
          <w:sz w:val="24"/>
        </w:rPr>
        <w:t>deep reinforcement learning</w:t>
      </w:r>
      <w:r>
        <w:rPr>
          <w:rFonts w:ascii="Times New Roman" w:hAnsi="Times New Roman" w:eastAsia="標楷體"/>
          <w:b w:val="0"/>
          <w:sz w:val="24"/>
        </w:rPr>
        <w:t xml:space="preserve"> project: it trains and analyzes a quadruped locomotion controller using neural-network policies, the PPO algorithm, and ablation studies. Reinforcement learning controllers for quadruped robots predominantly rely on </w:t>
      </w:r>
      <w:r>
        <w:rPr>
          <w:rFonts w:ascii="Times New Roman" w:hAnsi="Times New Roman" w:eastAsia="標楷體"/>
          <w:b/>
          <w:sz w:val="24"/>
        </w:rPr>
        <w:t>position control</w:t>
      </w:r>
      <w:r>
        <w:rPr>
          <w:rFonts w:ascii="Times New Roman" w:hAnsi="Times New Roman" w:eastAsia="標楷體"/>
          <w:b w:val="0"/>
          <w:sz w:val="24"/>
        </w:rPr>
        <w:t xml:space="preserve">: the policy network outputs target joint angles, which a low-level proportional-derivative (PD) controller then converts into joint torques. Position control is easy to train but produces stiff behavior with insufficient compliance, and it tends to overreact when confronted with unforeseen disturbances. </w:t>
      </w:r>
      <w:r>
        <w:rPr>
          <w:rFonts w:ascii="Times New Roman" w:hAnsi="Times New Roman" w:eastAsia="標楷體"/>
          <w:b/>
          <w:sz w:val="24"/>
        </w:rPr>
        <w:t>Torque control</w:t>
      </w:r>
      <w:r>
        <w:rPr>
          <w:rFonts w:ascii="Times New Roman" w:hAnsi="Times New Roman" w:eastAsia="標楷體"/>
          <w:b w:val="0"/>
          <w:sz w:val="24"/>
        </w:rPr>
        <w:t xml:space="preserve"> commands joint torques directly and is a more compliant alternative, but its action space is highly nonlinear, exploration is inefficient in early training, and it has long been regarded as difficult to train. This report centers on </w:t>
      </w:r>
      <w:r>
        <w:rPr>
          <w:rFonts w:ascii="Times New Roman" w:hAnsi="Times New Roman" w:eastAsia="標楷體"/>
          <w:b/>
          <w:sz w:val="24"/>
        </w:rPr>
        <w:t>Safe and Adaptive Torque-Based Locomotion Policies Inspired by Animal Learning (SATA)</w:t>
      </w:r>
      <w:r>
        <w:rPr>
          <w:rFonts w:ascii="Times New Roman" w:hAnsi="Times New Roman" w:eastAsia="標楷體"/>
          <w:b w:val="0"/>
          <w:sz w:val="24"/>
        </w:rPr>
        <w:t xml:space="preserve"> (arXiv:2502.12674), proposed by Li et al. in 2025 at the marmotlab of the National University of Singapore. We fully reproduce its torque control pipeline on the Unitree Go2 quadruped and analyze it through the lens of questions raised by adaptive and robust control.</w:t>
      </w:r>
    </w:p>
    <w:p>
      <w:r>
        <w:rPr>
          <w:rFonts w:ascii="Times New Roman" w:hAnsi="Times New Roman" w:eastAsia="標楷體"/>
          <w:b w:val="0"/>
          <w:sz w:val="24"/>
        </w:rPr>
        <w:t xml:space="preserve">The implementation in this study spans two stages. In the </w:t>
      </w:r>
      <w:r>
        <w:rPr>
          <w:rFonts w:ascii="Times New Roman" w:hAnsi="Times New Roman" w:eastAsia="標楷體"/>
          <w:b/>
          <w:sz w:val="24"/>
        </w:rPr>
        <w:t>first stage</w:t>
      </w:r>
      <w:r>
        <w:rPr>
          <w:rFonts w:ascii="Times New Roman" w:hAnsi="Times New Roman" w:eastAsia="標楷體"/>
          <w:b w:val="0"/>
          <w:sz w:val="24"/>
        </w:rPr>
        <w:t xml:space="preserve">, we reproduce SATA on the Isaac Gym simulator and conduct a systematic four-phase analysis: reproducing the reference policy (eight random seeds), ablating each of the three bio-inspired mechanisms one at a time, evaluating the hardware feasibility of all forty-eight policies under payload and external-force disturbances, and testing a classical residual compensation term. In the </w:t>
      </w:r>
      <w:r>
        <w:rPr>
          <w:rFonts w:ascii="Times New Roman" w:hAnsi="Times New Roman" w:eastAsia="標楷體"/>
          <w:b/>
          <w:sz w:val="24"/>
        </w:rPr>
        <w:t>second stage</w:t>
      </w:r>
      <w:r>
        <w:rPr>
          <w:rFonts w:ascii="Times New Roman" w:hAnsi="Times New Roman" w:eastAsia="標楷體"/>
          <w:b w:val="0"/>
          <w:sz w:val="24"/>
        </w:rPr>
        <w:t>, we migrate the entire pipeline to NVIDIA's next-generation engine, Isaac Lab, and compare cross-engine fidelity item by item while holding the robot (Go2) fixed as the control variable.</w:t>
      </w:r>
    </w:p>
    <w:p>
      <w:r>
        <w:rPr>
          <w:rFonts w:ascii="Times New Roman" w:hAnsi="Times New Roman" w:eastAsia="標楷體"/>
          <w:b w:val="0"/>
          <w:sz w:val="24"/>
        </w:rPr>
        <w:t xml:space="preserve">This report emphasizes </w:t>
      </w:r>
      <w:r>
        <w:rPr>
          <w:rFonts w:ascii="Times New Roman" w:hAnsi="Times New Roman" w:eastAsia="標楷體"/>
          <w:b/>
          <w:sz w:val="24"/>
        </w:rPr>
        <w:t>hands-on implementation</w:t>
      </w:r>
      <w:r>
        <w:rPr>
          <w:rFonts w:ascii="Times New Roman" w:hAnsi="Times New Roman" w:eastAsia="標楷體"/>
          <w:b w:val="0"/>
          <w:sz w:val="24"/>
        </w:rPr>
        <w:t>: all results were trained, evaluated, and reproduced by us, rather than merely cited from the paper. Both projects are open-sourced (links at the end), and anyone may use, inspect, or build upon them under their respective licenses. We maintain statistical rigor throughout the analysis (at least five seeds per condition, reporting means and sample standard deviations, and using Welch's t-test), and where a phenomenon cannot be confirmed, we honestly leave it as an open question rather than overclaiming.</w:t>
      </w:r>
    </w:p>
    <w:p>
      <w:r>
        <w:rPr>
          <w:rFonts w:ascii="Times New Roman" w:hAnsi="Times New Roman" w:eastAsia="標楷體"/>
          <w:b/>
          <w:sz w:val="24"/>
        </w:rPr>
        <w:t>Keywords</w:t>
      </w:r>
      <w:r>
        <w:rPr>
          <w:rFonts w:ascii="Times New Roman" w:hAnsi="Times New Roman" w:eastAsia="標楷體"/>
          <w:b w:val="0"/>
          <w:sz w:val="24"/>
        </w:rPr>
        <w:t>: Deep Reinforcement Learning, Neural Network Policy, PPO, Torque Control, Bio-Inspired Locomotion, Quadruped, Cross-Engine Reproduction</w:t>
      </w:r>
    </w:p>
    <w:p>
      <w:pPr>
        <w:pStyle w:val="Heading1"/>
        <w:jc w:val="left"/>
      </w:pPr>
      <w:r>
        <w:rPr>
          <w:rFonts w:ascii="Times New Roman" w:hAnsi="Times New Roman" w:eastAsia="標楷體"/>
          <w:b/>
          <w:sz w:val="32"/>
        </w:rPr>
        <w:t>Chapter 1. Introduction</w:t>
      </w:r>
    </w:p>
    <w:p>
      <w:pPr>
        <w:pStyle w:val="Heading2"/>
        <w:jc w:val="left"/>
      </w:pPr>
      <w:r>
        <w:rPr>
          <w:rFonts w:ascii="Times New Roman" w:hAnsi="Times New Roman" w:eastAsia="標楷體"/>
          <w:b/>
          <w:sz w:val="26"/>
        </w:rPr>
        <w:t>1.1 Motivation</w:t>
      </w:r>
    </w:p>
    <w:p>
      <w:r>
        <w:rPr>
          <w:rFonts w:ascii="Times New Roman" w:hAnsi="Times New Roman" w:eastAsia="標楷體"/>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標楷體"/>
          <w:b/>
          <w:sz w:val="24"/>
        </w:rPr>
        <w:t>target joint angles</w:t>
      </w:r>
      <w:r>
        <w:rPr>
          <w:rFonts w:ascii="Times New Roman" w:hAnsi="Times New Roman" w:eastAsia="標楷體"/>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標楷體"/>
          <w:b w:val="0"/>
          <w:sz w:val="24"/>
        </w:rPr>
        <w:t xml:space="preserve">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 The core claim of SATA is this: rather than brute-forcing the training, one should </w:t>
      </w:r>
      <w:r>
        <w:rPr>
          <w:rFonts w:ascii="Times New Roman" w:hAnsi="Times New Roman" w:eastAsia="標楷體"/>
          <w:b/>
          <w:sz w:val="24"/>
        </w:rPr>
        <w:t>"shape" the torque action space using biomechanics</w:t>
      </w:r>
      <w:r>
        <w:rPr>
          <w:rFonts w:ascii="Times New Roman" w:hAnsi="Times New Roman" w:eastAsia="標楷體"/>
          <w:b w:val="0"/>
          <w:sz w:val="24"/>
        </w:rPr>
        <w:t>, making it simultaneously easier to learn and more physically feasible.</w:t>
      </w:r>
    </w:p>
    <w:p>
      <w:pPr>
        <w:pStyle w:val="Heading2"/>
        <w:jc w:val="left"/>
      </w:pPr>
      <w:r>
        <w:rPr>
          <w:rFonts w:ascii="Times New Roman" w:hAnsi="Times New Roman" w:eastAsia="標楷體"/>
          <w:b/>
          <w:sz w:val="26"/>
        </w:rPr>
        <w:t>1.2 Objectives</w:t>
      </w:r>
    </w:p>
    <w:p>
      <w:r>
        <w:rPr>
          <w:rFonts w:ascii="Times New Roman" w:hAnsi="Times New Roman" w:eastAsia="標楷體"/>
          <w:b w:val="0"/>
          <w:sz w:val="24"/>
        </w:rPr>
        <w:t>This report does not propose a new method; it is an implementation-focused reproduction and analysis study with three objectives:</w:t>
      </w:r>
    </w:p>
    <w:p>
      <w:pPr>
        <w:pStyle w:val="ListNumber"/>
      </w:pPr>
      <w:r>
        <w:rPr>
          <w:rFonts w:ascii="Times New Roman" w:hAnsi="Times New Roman" w:eastAsia="標楷體"/>
          <w:b/>
          <w:sz w:val="24"/>
        </w:rPr>
        <w:t>Fully reproduce</w:t>
      </w:r>
      <w:r>
        <w:rPr>
          <w:rFonts w:ascii="Times New Roman" w:hAnsi="Times New Roman" w:eastAsia="標楷體"/>
          <w:b w:val="0"/>
          <w:sz w:val="24"/>
        </w:rPr>
        <w:t xml:space="preserve"> SATA's torque control pipeline in simulation (Isaac Gym + Unitree Go2).</w:t>
      </w:r>
    </w:p>
    <w:p>
      <w:pPr>
        <w:pStyle w:val="ListNumber"/>
      </w:pPr>
      <w:r>
        <w:rPr>
          <w:rFonts w:ascii="Times New Roman" w:hAnsi="Times New Roman" w:eastAsia="標楷體"/>
          <w:b/>
          <w:sz w:val="24"/>
        </w:rPr>
        <w:t>Analyze how the bio-inspired design gives rise to adaptive behavior</w:t>
      </w:r>
      <w:r>
        <w:rPr>
          <w:rFonts w:ascii="Times New Roman" w:hAnsi="Times New Roman" w:eastAsia="標楷體"/>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標楷體"/>
          <w:b/>
          <w:sz w:val="24"/>
        </w:rPr>
        <w:t>Migrate across engines</w:t>
      </w:r>
      <w:r>
        <w:rPr>
          <w:rFonts w:ascii="Times New Roman" w:hAnsi="Times New Roman" w:eastAsia="標楷體"/>
          <w:b w:val="0"/>
          <w:sz w:val="24"/>
        </w:rPr>
        <w:t xml:space="preserve"> by porting the entire pipeline to Isaac Lab and testing whether "a faithful port still holds after the engine is swapped."</w:t>
      </w:r>
    </w:p>
    <w:p>
      <w:pPr>
        <w:pStyle w:val="Heading2"/>
        <w:jc w:val="left"/>
      </w:pPr>
      <w:r>
        <w:rPr>
          <w:rFonts w:ascii="Times New Roman" w:hAnsi="Times New Roman" w:eastAsia="標楷體"/>
          <w:b/>
          <w:sz w:val="26"/>
        </w:rPr>
        <w:t>1.3 Contribution and Positioning</w:t>
      </w:r>
    </w:p>
    <w:p>
      <w:r>
        <w:rPr>
          <w:rFonts w:ascii="Times New Roman" w:hAnsi="Times New Roman" w:eastAsia="標楷體"/>
          <w:b w:val="0"/>
          <w:sz w:val="24"/>
        </w:rPr>
        <w:t xml:space="preserve">The value of this study lies in </w:t>
      </w:r>
      <w:r>
        <w:rPr>
          <w:rFonts w:ascii="Times New Roman" w:hAnsi="Times New Roman" w:eastAsia="標楷體"/>
          <w:b/>
          <w:sz w:val="24"/>
        </w:rPr>
        <w:t>hands-on implementation and honest analysis</w:t>
      </w:r>
      <w:r>
        <w:rPr>
          <w:rFonts w:ascii="Times New Roman" w:hAnsi="Times New Roman" w:eastAsia="標楷體"/>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標楷體"/>
          <w:b/>
          <w:sz w:val="24"/>
        </w:rPr>
        <w:t>hardware feasibility</w:t>
      </w:r>
      <w:r>
        <w:rPr>
          <w:rFonts w:ascii="Times New Roman" w:hAnsi="Times New Roman" w:eastAsia="標楷體"/>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pPr>
        <w:pStyle w:val="Heading1"/>
        <w:jc w:val="left"/>
      </w:pPr>
      <w:r>
        <w:rPr>
          <w:rFonts w:ascii="Times New Roman" w:hAnsi="Times New Roman" w:eastAsia="標楷體"/>
          <w:b/>
          <w:sz w:val="32"/>
        </w:rPr>
        <w:t>Chapter 2. Core Technology: Torque Control and the Bio-Inspired Locomotion Layer</w:t>
      </w:r>
    </w:p>
    <w:p>
      <w:r>
        <w:rPr>
          <w:rFonts w:ascii="Times New Roman" w:hAnsi="Times New Roman" w:eastAsia="標楷體"/>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pPr>
        <w:pStyle w:val="Heading2"/>
        <w:jc w:val="left"/>
      </w:pPr>
      <w:r>
        <w:rPr>
          <w:rFonts w:ascii="Times New Roman" w:hAnsi="Times New Roman" w:eastAsia="標楷體"/>
          <w:b/>
          <w:sz w:val="26"/>
        </w:rPr>
        <w:t>2.1 The Four Stages of the Torque Processing Pipeline</w:t>
      </w:r>
    </w:p>
    <w:p>
      <w:r>
        <w:rPr>
          <w:rFonts w:ascii="Times New Roman" w:hAnsi="Times New Roman" w:eastAsia="標楷體"/>
          <w:b/>
          <w:sz w:val="24"/>
        </w:rPr>
        <w:t>Stage 1: Action scaling.</w:t>
      </w:r>
      <w:r>
        <w:rPr>
          <w:rFonts w:ascii="Times New Roman" w:hAnsi="Times New Roman" w:eastAsia="標楷體"/>
          <w:b w:val="0"/>
          <w:sz w:val="24"/>
        </w:rPr>
        <w:t xml:space="preserve"> The dimensionless action output by the policy is multiplied by a scaling factor (action_scale = 5), amplifying it to the torque scale.</w:t>
      </w:r>
    </w:p>
    <w:p>
      <w:r>
        <w:rPr>
          <w:rFonts w:ascii="Times New Roman" w:hAnsi="Times New Roman" w:eastAsia="標楷體"/>
          <w:b/>
          <w:sz w:val="24"/>
        </w:rPr>
        <w:t>Stage 2: Muscle activation low-pass filter (Activation).</w:t>
      </w:r>
      <w:r>
        <w:rPr>
          <w:rFonts w:ascii="Times New Roman" w:hAnsi="Times New Roman" w:eastAsia="標楷體"/>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標楷體"/>
          <w:b/>
          <w:sz w:val="24"/>
        </w:rPr>
        <w:t>Stage 3: Hill force-velocity model (Hill model).</w:t>
      </w:r>
      <w:r>
        <w:rPr>
          <w:rFonts w:ascii="Times New Roman" w:hAnsi="Times New Roman" w:eastAsia="標楷體"/>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標楷體"/>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標楷體"/>
          <w:b/>
          <w:sz w:val="24"/>
        </w:rPr>
        <w:t>Stage 4: Fatigue update (Motor fatigue).</w:t>
      </w:r>
      <w:r>
        <w:rPr>
          <w:rFonts w:ascii="Times New Roman" w:hAnsi="Times New Roman" w:eastAsia="標楷體"/>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標楷體"/>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pPr>
        <w:pStyle w:val="Heading2"/>
        <w:jc w:val="left"/>
      </w:pPr>
      <w:r>
        <w:rPr>
          <w:rFonts w:ascii="Times New Roman" w:hAnsi="Times New Roman" w:eastAsia="標楷體"/>
          <w:b/>
          <w:sz w:val="26"/>
        </w:rPr>
        <w:t>2.2 Growth Curriculum</w:t>
      </w:r>
    </w:p>
    <w:p>
      <w:r>
        <w:rPr>
          <w:rFonts w:ascii="Times New Roman" w:hAnsi="Times New Roman" w:eastAsia="標楷體"/>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標楷體"/>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標楷體"/>
          <w:b w:val="0"/>
          <w:sz w:val="24"/>
        </w:rPr>
        <w:t>The concept of this mechanism is "</w:t>
      </w:r>
      <w:r>
        <w:rPr>
          <w:rFonts w:ascii="Times New Roman" w:hAnsi="Times New Roman" w:eastAsia="標楷體"/>
          <w:b/>
          <w:sz w:val="24"/>
        </w:rPr>
        <w:t>embodiment growth</w:t>
      </w:r>
      <w:r>
        <w:rPr>
          <w:rFonts w:ascii="Times New Roman" w:hAnsi="Times New Roman" w:eastAsia="標楷體"/>
          <w:b w:val="0"/>
          <w:sz w:val="24"/>
        </w:rPr>
        <w:t xml:space="preserve">," not a curriculum of task difficulty: it progressively unlocks the capabilities of the robot's </w:t>
      </w:r>
      <w:r>
        <w:rPr>
          <w:rFonts w:ascii="Times New Roman" w:hAnsi="Times New Roman" w:eastAsia="標楷體"/>
          <w:b/>
          <w:sz w:val="24"/>
        </w:rPr>
        <w:t>body itself</w:t>
      </w:r>
      <w:r>
        <w:rPr>
          <w:rFonts w:ascii="Times New Roman" w:hAnsi="Times New Roman" w:eastAsia="標楷體"/>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標楷體"/>
          <w:b w:val="0"/>
          <w:i/>
          <w:sz w:val="20"/>
        </w:rPr>
        <w:t>The training reward curves of eight seeds (from `reward_curves_overlay.png`); the shaded band is ±1 standard deviation across seeds, serving as evidence of reproduction reliability.</w:t>
      </w:r>
    </w:p>
    <w:p>
      <w:pPr>
        <w:pStyle w:val="Heading1"/>
        <w:jc w:val="left"/>
      </w:pPr>
      <w:r>
        <w:rPr>
          <w:rFonts w:ascii="Times New Roman" w:hAnsi="Times New Roman" w:eastAsia="標楷體"/>
          <w:b/>
          <w:sz w:val="32"/>
        </w:rPr>
        <w:t>Chapter 3. Practical Implementation I: Reproducing and Analyzing SATA on Isaac Gym</w:t>
      </w:r>
    </w:p>
    <w:p>
      <w:r>
        <w:rPr>
          <w:rFonts w:ascii="Times New Roman" w:hAnsi="Times New Roman" w:eastAsia="標楷體"/>
          <w:b w:val="0"/>
          <w:sz w:val="24"/>
        </w:rPr>
        <w:t>The first stage was carried out on Isaac Gym Preview 4, in four phases. All training used 4096 parallel environments, 3000 iterations, a `[512, 256, 128]` multilayer perceptron, and the PPO algorithm, executed on the lab's NVIDIA A6000 GPU.</w:t>
      </w:r>
    </w:p>
    <w:p>
      <w:pPr>
        <w:pStyle w:val="Heading2"/>
        <w:jc w:val="left"/>
      </w:pPr>
      <w:r>
        <w:rPr>
          <w:rFonts w:ascii="Times New Roman" w:hAnsi="Times New Roman" w:eastAsia="標楷體"/>
          <w:b/>
          <w:sz w:val="26"/>
        </w:rPr>
        <w:t>3.1 Phase 1: Reproduction</w:t>
      </w:r>
    </w:p>
    <w:p>
      <w:r>
        <w:rPr>
          <w:rFonts w:ascii="Times New Roman" w:hAnsi="Times New Roman" w:eastAsia="標楷體"/>
          <w:b w:val="0"/>
          <w:sz w:val="24"/>
        </w:rPr>
        <w:t>We trained the reference policy with SATA's released configuration. The initial three seeds yielded a mean reward of 114 ± 6; after extending to eight seeds, the value was 103.9 ± 15.9. The reproduction itself is an engineering exercise: along the way we resolved several environment and dependency issues (for example, Isaac Gym Preview 4 mandates Python 3.8, dependency versions must be pinned in a specific order, and there is the rental etiquette of a shared GPU). Only once reproduction holds does one earn the footing for subsequent analysis and critique.</w:t>
      </w:r>
    </w:p>
    <w:p>
      <w:pPr>
        <w:pStyle w:val="Heading2"/>
        <w:jc w:val="left"/>
      </w:pPr>
      <w:r>
        <w:rPr>
          <w:rFonts w:ascii="Times New Roman" w:hAnsi="Times New Roman" w:eastAsia="標楷體"/>
          <w:b/>
          <w:sz w:val="26"/>
        </w:rPr>
        <w:t>3.2 Phase 2: Ablation Analysis (Eight Seeds)</w:t>
      </w:r>
    </w:p>
    <w:p>
      <w:r>
        <w:rPr>
          <w:rFonts w:ascii="Times New Roman" w:hAnsi="Times New Roman" w:eastAsia="標楷體"/>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Condition</w:t>
            </w:r>
          </w:p>
        </w:tc>
        <w:tc>
          <w:tcPr>
            <w:tcW w:type="dxa" w:w="2160"/>
          </w:tcPr>
          <w:p>
            <w:r/>
            <w:r>
              <w:rPr>
                <w:rFonts w:ascii="Times New Roman" w:hAnsi="Times New Roman" w:eastAsia="標楷體"/>
                <w:b/>
                <w:sz w:val="20"/>
              </w:rPr>
              <w:t>Mean reward ± std</w:t>
            </w:r>
          </w:p>
        </w:tc>
        <w:tc>
          <w:tcPr>
            <w:tcW w:type="dxa" w:w="2160"/>
          </w:tcPr>
          <w:p>
            <w:r/>
            <w:r>
              <w:rPr>
                <w:rFonts w:ascii="Times New Roman" w:hAnsi="Times New Roman" w:eastAsia="標楷體"/>
                <w:b/>
                <w:sz w:val="20"/>
              </w:rPr>
              <w:t>Difference vs. reference</w:t>
            </w:r>
          </w:p>
        </w:tc>
        <w:tc>
          <w:tcPr>
            <w:tcW w:type="dxa" w:w="2160"/>
          </w:tcPr>
          <w:p>
            <w:r/>
            <w:r>
              <w:rPr>
                <w:rFonts w:ascii="Times New Roman" w:hAnsi="Times New Roman" w:eastAsia="標楷體"/>
                <w:b/>
                <w:sz w:val="20"/>
              </w:rPr>
              <w:t>p-value</w:t>
            </w:r>
          </w:p>
        </w:tc>
      </w:tr>
      <w:tr>
        <w:tc>
          <w:tcPr>
            <w:tcW w:type="dxa" w:w="2160"/>
          </w:tcPr>
          <w:p>
            <w:r/>
            <w:r>
              <w:rPr>
                <w:rFonts w:ascii="Times New Roman" w:hAnsi="Times New Roman" w:eastAsia="標楷體"/>
                <w:b w:val="0"/>
                <w:sz w:val="20"/>
              </w:rPr>
              <w:t>Reference</w:t>
            </w:r>
          </w:p>
        </w:tc>
        <w:tc>
          <w:tcPr>
            <w:tcW w:type="dxa" w:w="2160"/>
          </w:tcPr>
          <w:p>
            <w:r/>
            <w:r>
              <w:rPr>
                <w:rFonts w:ascii="Times New Roman" w:hAnsi="Times New Roman" w:eastAsia="標楷體"/>
                <w:b w:val="0"/>
                <w:sz w:val="20"/>
              </w:rPr>
              <w:t>103.9 ± 15.9</w:t>
            </w:r>
          </w:p>
        </w:tc>
        <w:tc>
          <w:tcPr>
            <w:tcW w:type="dxa" w:w="2160"/>
          </w:tcPr>
          <w:p>
            <w:r/>
            <w:r>
              <w:rPr>
                <w:rFonts w:ascii="Times New Roman" w:hAnsi="Times New Roman" w:eastAsia="標楷體"/>
                <w:b w:val="0"/>
                <w:sz w:val="20"/>
              </w:rPr>
              <w:t>—</w:t>
            </w:r>
          </w:p>
        </w:tc>
        <w:tc>
          <w:tcPr>
            <w:tcW w:type="dxa" w:w="2160"/>
          </w:tcPr>
          <w:p>
            <w:r/>
            <w:r>
              <w:rPr>
                <w:rFonts w:ascii="Times New Roman" w:hAnsi="Times New Roman" w:eastAsia="標楷體"/>
                <w:b w:val="0"/>
                <w:sz w:val="20"/>
              </w:rPr>
              <w:t>—</w:t>
            </w:r>
          </w:p>
        </w:tc>
      </w:tr>
      <w:tr>
        <w:tc>
          <w:tcPr>
            <w:tcW w:type="dxa" w:w="2160"/>
          </w:tcPr>
          <w:p>
            <w:r/>
            <w:r>
              <w:rPr>
                <w:rFonts w:ascii="Times New Roman" w:hAnsi="Times New Roman" w:eastAsia="標楷體"/>
                <w:b w:val="0"/>
                <w:sz w:val="20"/>
              </w:rPr>
              <w:t>No fatigue</w:t>
            </w:r>
          </w:p>
        </w:tc>
        <w:tc>
          <w:tcPr>
            <w:tcW w:type="dxa" w:w="2160"/>
          </w:tcPr>
          <w:p>
            <w:r/>
            <w:r>
              <w:rPr>
                <w:rFonts w:ascii="Times New Roman" w:hAnsi="Times New Roman" w:eastAsia="標楷體"/>
                <w:b w:val="0"/>
                <w:sz w:val="20"/>
              </w:rPr>
              <w:t>125.8 ± 2.8</w:t>
            </w:r>
          </w:p>
        </w:tc>
        <w:tc>
          <w:tcPr>
            <w:tcW w:type="dxa" w:w="2160"/>
          </w:tcPr>
          <w:p>
            <w:r/>
            <w:r>
              <w:rPr>
                <w:rFonts w:ascii="Times New Roman" w:hAnsi="Times New Roman" w:eastAsia="標楷體"/>
                <w:b w:val="0"/>
                <w:sz w:val="20"/>
              </w:rPr>
              <w:t>+21.9</w:t>
            </w:r>
          </w:p>
        </w:tc>
        <w:tc>
          <w:tcPr>
            <w:tcW w:type="dxa" w:w="2160"/>
          </w:tcPr>
          <w:p>
            <w:r/>
            <w:r>
              <w:rPr>
                <w:rFonts w:ascii="Times New Roman" w:hAnsi="Times New Roman" w:eastAsia="標楷體"/>
                <w:b w:val="0"/>
                <w:sz w:val="20"/>
              </w:rPr>
              <w:t>0.006</w:t>
            </w:r>
          </w:p>
        </w:tc>
      </w:tr>
      <w:tr>
        <w:tc>
          <w:tcPr>
            <w:tcW w:type="dxa" w:w="2160"/>
          </w:tcPr>
          <w:p>
            <w:r/>
            <w:r>
              <w:rPr>
                <w:rFonts w:ascii="Times New Roman" w:hAnsi="Times New Roman" w:eastAsia="標楷體"/>
                <w:b w:val="0"/>
                <w:sz w:val="20"/>
              </w:rPr>
              <w:t>No activation</w:t>
            </w:r>
          </w:p>
        </w:tc>
        <w:tc>
          <w:tcPr>
            <w:tcW w:type="dxa" w:w="2160"/>
          </w:tcPr>
          <w:p>
            <w:r/>
            <w:r>
              <w:rPr>
                <w:rFonts w:ascii="Times New Roman" w:hAnsi="Times New Roman" w:eastAsia="標楷體"/>
                <w:b w:val="0"/>
                <w:sz w:val="20"/>
              </w:rPr>
              <w:t>128.3 ± 7.4</w:t>
            </w:r>
          </w:p>
        </w:tc>
        <w:tc>
          <w:tcPr>
            <w:tcW w:type="dxa" w:w="2160"/>
          </w:tcPr>
          <w:p>
            <w:r/>
            <w:r>
              <w:rPr>
                <w:rFonts w:ascii="Times New Roman" w:hAnsi="Times New Roman" w:eastAsia="標楷體"/>
                <w:b w:val="0"/>
                <w:sz w:val="20"/>
              </w:rPr>
              <w:t>+24.4</w:t>
            </w:r>
          </w:p>
        </w:tc>
        <w:tc>
          <w:tcPr>
            <w:tcW w:type="dxa" w:w="2160"/>
          </w:tcPr>
          <w:p>
            <w:r/>
            <w:r>
              <w:rPr>
                <w:rFonts w:ascii="Times New Roman" w:hAnsi="Times New Roman" w:eastAsia="標楷體"/>
                <w:b w:val="0"/>
                <w:sz w:val="20"/>
              </w:rPr>
              <w:t>0.003</w:t>
            </w:r>
          </w:p>
        </w:tc>
      </w:tr>
      <w:tr>
        <w:tc>
          <w:tcPr>
            <w:tcW w:type="dxa" w:w="2160"/>
          </w:tcPr>
          <w:p>
            <w:r/>
            <w:r>
              <w:rPr>
                <w:rFonts w:ascii="Times New Roman" w:hAnsi="Times New Roman" w:eastAsia="標楷體"/>
                <w:b w:val="0"/>
                <w:sz w:val="20"/>
              </w:rPr>
              <w:t>No Hill</w:t>
            </w:r>
          </w:p>
        </w:tc>
        <w:tc>
          <w:tcPr>
            <w:tcW w:type="dxa" w:w="2160"/>
          </w:tcPr>
          <w:p>
            <w:r/>
            <w:r>
              <w:rPr>
                <w:rFonts w:ascii="Times New Roman" w:hAnsi="Times New Roman" w:eastAsia="標楷體"/>
                <w:b w:val="0"/>
                <w:sz w:val="20"/>
              </w:rPr>
              <w:t>98.6 ± 13.4</w:t>
            </w:r>
          </w:p>
        </w:tc>
        <w:tc>
          <w:tcPr>
            <w:tcW w:type="dxa" w:w="2160"/>
          </w:tcPr>
          <w:p>
            <w:r/>
            <w:r>
              <w:rPr>
                <w:rFonts w:ascii="Times New Roman" w:hAnsi="Times New Roman" w:eastAsia="標楷體"/>
                <w:b w:val="0"/>
                <w:sz w:val="20"/>
              </w:rPr>
              <w:t>−5.3</w:t>
            </w:r>
          </w:p>
        </w:tc>
        <w:tc>
          <w:tcPr>
            <w:tcW w:type="dxa" w:w="2160"/>
          </w:tcPr>
          <w:p>
            <w:r/>
            <w:r>
              <w:rPr>
                <w:rFonts w:ascii="Times New Roman" w:hAnsi="Times New Roman" w:eastAsia="標楷體"/>
                <w:b w:val="0"/>
                <w:sz w:val="20"/>
              </w:rPr>
              <w:t>0.48 (not significant)</w:t>
            </w:r>
          </w:p>
        </w:tc>
      </w:tr>
      <w:tr>
        <w:tc>
          <w:tcPr>
            <w:tcW w:type="dxa" w:w="2160"/>
          </w:tcPr>
          <w:p>
            <w:r/>
            <w:r>
              <w:rPr>
                <w:rFonts w:ascii="Times New Roman" w:hAnsi="Times New Roman" w:eastAsia="標楷體"/>
                <w:b w:val="0"/>
                <w:sz w:val="20"/>
              </w:rPr>
              <w:t>No growth</w:t>
            </w:r>
          </w:p>
        </w:tc>
        <w:tc>
          <w:tcPr>
            <w:tcW w:type="dxa" w:w="2160"/>
          </w:tcPr>
          <w:p>
            <w:r/>
            <w:r>
              <w:rPr>
                <w:rFonts w:ascii="Times New Roman" w:hAnsi="Times New Roman" w:eastAsia="標楷體"/>
                <w:b w:val="0"/>
                <w:sz w:val="20"/>
              </w:rPr>
              <w:t>102.5 ± 7.3</w:t>
            </w:r>
          </w:p>
        </w:tc>
        <w:tc>
          <w:tcPr>
            <w:tcW w:type="dxa" w:w="2160"/>
          </w:tcPr>
          <w:p>
            <w:r/>
            <w:r>
              <w:rPr>
                <w:rFonts w:ascii="Times New Roman" w:hAnsi="Times New Roman" w:eastAsia="標楷體"/>
                <w:b w:val="0"/>
                <w:sz w:val="20"/>
              </w:rPr>
              <w:t>−1.4</w:t>
            </w:r>
          </w:p>
        </w:tc>
        <w:tc>
          <w:tcPr>
            <w:tcW w:type="dxa" w:w="2160"/>
          </w:tcPr>
          <w:p>
            <w:r/>
            <w:r>
              <w:rPr>
                <w:rFonts w:ascii="Times New Roman" w:hAnsi="Times New Roman" w:eastAsia="標楷體"/>
                <w:b w:val="0"/>
                <w:sz w:val="20"/>
              </w:rPr>
              <w:t>0.83 (not significant)</w:t>
            </w:r>
          </w:p>
        </w:tc>
      </w:tr>
      <w:tr>
        <w:tc>
          <w:tcPr>
            <w:tcW w:type="dxa" w:w="2160"/>
          </w:tcPr>
          <w:p>
            <w:r/>
            <w:r>
              <w:rPr>
                <w:rFonts w:ascii="Times New Roman" w:hAnsi="Times New Roman" w:eastAsia="標楷體"/>
                <w:b w:val="0"/>
                <w:sz w:val="20"/>
              </w:rPr>
              <w:t>Hard terrain</w:t>
            </w:r>
          </w:p>
        </w:tc>
        <w:tc>
          <w:tcPr>
            <w:tcW w:type="dxa" w:w="2160"/>
          </w:tcPr>
          <w:p>
            <w:r/>
            <w:r>
              <w:rPr>
                <w:rFonts w:ascii="Times New Roman" w:hAnsi="Times New Roman" w:eastAsia="標楷體"/>
                <w:b w:val="0"/>
                <w:sz w:val="20"/>
              </w:rPr>
              <w:t>36.0 ± 6.1</w:t>
            </w:r>
          </w:p>
        </w:tc>
        <w:tc>
          <w:tcPr>
            <w:tcW w:type="dxa" w:w="2160"/>
          </w:tcPr>
          <w:p>
            <w:r/>
            <w:r>
              <w:rPr>
                <w:rFonts w:ascii="Times New Roman" w:hAnsi="Times New Roman" w:eastAsia="標楷體"/>
                <w:b w:val="0"/>
                <w:sz w:val="20"/>
              </w:rPr>
              <w:t>−67.9</w:t>
            </w:r>
          </w:p>
        </w:tc>
        <w:tc>
          <w:tcPr>
            <w:tcW w:type="dxa" w:w="2160"/>
          </w:tcPr>
          <w:p>
            <w:r/>
            <w:r>
              <w:rPr>
                <w:rFonts w:ascii="Times New Roman" w:hAnsi="Times New Roman" w:eastAsia="標楷體"/>
                <w:b w:val="0"/>
                <w:sz w:val="20"/>
              </w:rPr>
              <w:t>&lt;0.001</w:t>
            </w:r>
          </w:p>
        </w:tc>
      </w:tr>
    </w:tbl>
    <w:p>
      <w:r>
        <w:rPr>
          <w:rFonts w:ascii="Times New Roman" w:hAnsi="Times New Roman" w:eastAsia="標楷體"/>
          <w:b w:val="0"/>
          <w:sz w:val="24"/>
        </w:rPr>
        <w:t xml:space="preserve">A counterintuitive result appears here: </w:t>
      </w:r>
      <w:r>
        <w:rPr>
          <w:rFonts w:ascii="Times New Roman" w:hAnsi="Times New Roman" w:eastAsia="標楷體"/>
          <w:b/>
          <w:sz w:val="24"/>
        </w:rPr>
        <w:t>disabling fatigue or activation actually raises the training reward.</w:t>
      </w:r>
      <w:r>
        <w:rPr>
          <w:rFonts w:ascii="Times New Roman" w:hAnsi="Times New Roman" w:eastAsia="標楷體"/>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標楷體"/>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pPr>
        <w:pStyle w:val="Heading2"/>
        <w:jc w:val="left"/>
      </w:pPr>
      <w:r>
        <w:rPr>
          <w:rFonts w:ascii="Times New Roman" w:hAnsi="Times New Roman" w:eastAsia="標楷體"/>
          <w:b/>
          <w:sz w:val="26"/>
        </w:rPr>
        <w:t>3.3 Phase 3: The Bio-Inspired Claim and Out-of-Distribution Robustness (Core)</w:t>
      </w:r>
    </w:p>
    <w:p>
      <w:r>
        <w:rPr>
          <w:rFonts w:ascii="Times New Roman" w:hAnsi="Times New Roman" w:eastAsia="標楷體"/>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標楷體"/>
          <w:b/>
          <w:sz w:val="24"/>
        </w:rPr>
        <w:t>Core finding</w:t>
      </w:r>
      <w:r>
        <w:rPr>
          <w:rFonts w:ascii="Times New Roman" w:hAnsi="Times New Roman" w:eastAsia="標楷體"/>
          <w:b w:val="0"/>
          <w:sz w:val="24"/>
        </w:rPr>
        <w:t xml:space="preserve">: the ablated policies that "won the reward" in Phase 2 won by </w:t>
      </w:r>
      <w:r>
        <w:rPr>
          <w:rFonts w:ascii="Times New Roman" w:hAnsi="Times New Roman" w:eastAsia="標楷體"/>
          <w:b/>
          <w:sz w:val="24"/>
        </w:rPr>
        <w:t>leaving the hardware-feasible region.</w:t>
      </w:r>
    </w:p>
    <w:p>
      <w:pPr>
        <w:pStyle w:val="ListBullet"/>
      </w:pPr>
      <w:r>
        <w:rPr>
          <w:rFonts w:ascii="Times New Roman" w:hAnsi="Times New Roman" w:eastAsia="標楷體"/>
          <w:b w:val="0"/>
          <w:sz w:val="24"/>
        </w:rPr>
        <w:t xml:space="preserve">After disabling activation, the peak torque surged to </w:t>
      </w:r>
      <w:r>
        <w:rPr>
          <w:rFonts w:ascii="Times New Roman" w:hAnsi="Times New Roman" w:eastAsia="標楷體"/>
          <w:b/>
          <w:sz w:val="24"/>
        </w:rPr>
        <w:t>42.5 N·m</w:t>
      </w:r>
      <w:r>
        <w:rPr>
          <w:rFonts w:ascii="Times New Roman" w:hAnsi="Times New Roman" w:eastAsia="標楷體"/>
          <w:b w:val="0"/>
          <w:sz w:val="24"/>
        </w:rPr>
        <w:t>, approaching the Go2's 45 N·m limit (about 1.8× the simulation clipping value of 23.5).</w:t>
      </w:r>
    </w:p>
    <w:p>
      <w:pPr>
        <w:pStyle w:val="ListBullet"/>
      </w:pPr>
      <w:r>
        <w:rPr>
          <w:rFonts w:ascii="Times New Roman" w:hAnsi="Times New Roman" w:eastAsia="標楷體"/>
          <w:b w:val="0"/>
          <w:sz w:val="24"/>
        </w:rPr>
        <w:t xml:space="preserve">After disabling fatigue, walking on flat ground with no disturbance already consumed </w:t>
      </w:r>
      <w:r>
        <w:rPr>
          <w:rFonts w:ascii="Times New Roman" w:hAnsi="Times New Roman" w:eastAsia="標楷體"/>
          <w:b/>
          <w:sz w:val="24"/>
        </w:rPr>
        <w:t>2.5× the mechanical energy and 35× the action jerk.</w:t>
      </w:r>
    </w:p>
    <w:p>
      <w:r>
        <w:rPr>
          <w:rFonts w:ascii="Times New Roman" w:hAnsi="Times New Roman" w:eastAsia="標楷體"/>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標楷體"/>
          <w:b/>
          <w:sz w:val="24"/>
        </w:rPr>
        <w:t>lock down peak torque.</w:t>
      </w:r>
      <w:r>
        <w:rPr>
          <w:rFonts w:ascii="Times New Roman" w:hAnsi="Times New Roman" w:eastAsia="標楷體"/>
          <w:b w:val="0"/>
          <w:sz w:val="24"/>
        </w:rPr>
        <w:t xml:space="preserve"> In the payload tests, the reference policy reproduced the limitation SATA's paper acknowledges in §VI-A (the body height gradually sinks as the payload increases).</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標楷體"/>
          <w:b w:val="0"/>
          <w:i/>
          <w:sz w:val="20"/>
        </w:rPr>
        <w:t>The hardware-feasibility chart under the no-disturbance scenario (from `nominal_feasibility.png`): peak torque / energy / action jerk for each condition, against the real-hardware reference lines.</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pPr>
        <w:pStyle w:val="Heading2"/>
        <w:jc w:val="left"/>
      </w:pPr>
      <w:r>
        <w:rPr>
          <w:rFonts w:ascii="Times New Roman" w:hAnsi="Times New Roman" w:eastAsia="標楷體"/>
          <w:b/>
          <w:sz w:val="26"/>
        </w:rPr>
        <w:t>3.4 Phase 4: Residual Compensation</w:t>
      </w:r>
    </w:p>
    <w:p>
      <w:r>
        <w:rPr>
          <w:rFonts w:ascii="Times New Roman" w:hAnsi="Times New Roman" w:eastAsia="標楷體"/>
          <w:b w:val="0"/>
          <w:sz w:val="24"/>
        </w:rPr>
        <w:t xml:space="preserve">On the </w:t>
      </w:r>
      <w:r>
        <w:rPr>
          <w:rFonts w:ascii="Times New Roman" w:hAnsi="Times New Roman" w:eastAsia="標楷體"/>
          <w:b/>
          <w:sz w:val="24"/>
        </w:rPr>
        <w:t>frozen</w:t>
      </w:r>
      <w:r>
        <w:rPr>
          <w:rFonts w:ascii="Times New Roman" w:hAnsi="Times New Roman" w:eastAsia="標楷體"/>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標楷體"/>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標楷體"/>
          <w:b w:val="0"/>
          <w:sz w:val="24"/>
        </w:rPr>
        <w:t xml:space="preserve">Results (two-tailed Welch's test of residual vs. reference, eight seeds): under an 8 kg payload, the reward rose from 60.5 to 82.7 (+37%), but the p-value was 0.068, </w:t>
      </w:r>
      <w:r>
        <w:rPr>
          <w:rFonts w:ascii="Times New Roman" w:hAnsi="Times New Roman" w:eastAsia="標楷體"/>
          <w:b/>
          <w:sz w:val="24"/>
        </w:rPr>
        <w:t>not statistically significant</w:t>
      </w:r>
      <w:r>
        <w:rPr>
          <w:rFonts w:ascii="Times New Roman" w:hAnsi="Times New Roman" w:eastAsia="標楷體"/>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標楷體"/>
          <w:b/>
          <w:sz w:val="24"/>
        </w:rPr>
        <w:t>the frozen policy cannot observe the residual and treats it as an unmodeled disturbance to resist;</w:t>
      </w:r>
      <w:r>
        <w:rPr>
          <w:rFonts w:ascii="Times New Roman" w:hAnsi="Times New Roman" w:eastAsia="標楷體"/>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標楷體"/>
          <w:b w:val="0"/>
          <w:i/>
          <w:sz w:val="20"/>
        </w:rPr>
        <w:t>The reward and peak torque of the residual compensation under each payload (from `residual_payload.png`).</w:t>
      </w:r>
    </w:p>
    <w:p>
      <w:pPr>
        <w:pStyle w:val="Heading2"/>
        <w:jc w:val="left"/>
      </w:pPr>
      <w:r>
        <w:rPr>
          <w:rFonts w:ascii="Times New Roman" w:hAnsi="Times New Roman" w:eastAsia="標楷體"/>
          <w:b/>
          <w:sz w:val="26"/>
        </w:rPr>
        <w:t>3.5 Incidental Observation: Trainability (Left as an Open Question)</w:t>
      </w:r>
    </w:p>
    <w:p>
      <w:r>
        <w:rPr>
          <w:rFonts w:ascii="Times New Roman" w:hAnsi="Times New Roman" w:eastAsia="標楷體"/>
          <w:b w:val="0"/>
          <w:sz w:val="24"/>
        </w:rPr>
        <w:t xml:space="preserve">On re-reading the paper's §V-A1, we noticed that the framing of its ablation is actually about </w:t>
      </w:r>
      <w:r>
        <w:rPr>
          <w:rFonts w:ascii="Times New Roman" w:hAnsi="Times New Roman" w:eastAsia="標楷體"/>
          <w:b/>
          <w:sz w:val="24"/>
        </w:rPr>
        <w:t>trainability</w:t>
      </w:r>
      <w:r>
        <w:rPr>
          <w:rFonts w:ascii="Times New Roman" w:hAnsi="Times New Roman" w:eastAsia="標楷體"/>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標楷體"/>
          <w:b w:val="0"/>
          <w:sz w:val="24"/>
        </w:rPr>
        <w:t xml:space="preserve">The result was that it still trained successfully, and the reward was even higher (138.6 ± 4.7). However, we </w:t>
      </w:r>
      <w:r>
        <w:rPr>
          <w:rFonts w:ascii="Times New Roman" w:hAnsi="Times New Roman" w:eastAsia="標楷體"/>
          <w:b/>
          <w:sz w:val="24"/>
        </w:rPr>
        <w:t>deliberately draw no conclusion</w:t>
      </w:r>
      <w:r>
        <w:rPr>
          <w:rFonts w:ascii="Times New Roman" w:hAnsi="Times New Roman" w:eastAsia="標楷體"/>
          <w:b w:val="0"/>
          <w:sz w:val="24"/>
        </w:rPr>
        <w:t xml:space="preserve"> from this, for two reasons. First, with all three disabled, our torque pipeline degenerates into purely scaled raw torque, which is not necessarily equivalent to the baseline the paper used (the paper did not release the code for that ablation). Second, </w:t>
      </w:r>
      <w:r>
        <w:rPr>
          <w:rFonts w:ascii="Times New Roman" w:hAnsi="Times New Roman" w:eastAsia="標楷體"/>
          <w:b/>
          <w:sz w:val="24"/>
        </w:rPr>
        <w:t>reward does not equal gait quality</w:t>
      </w:r>
      <w:r>
        <w:rPr>
          <w:rFonts w:ascii="Times New Roman" w:hAnsi="Times New Roman" w:eastAsia="標楷體"/>
          <w:b w:val="0"/>
          <w:sz w:val="24"/>
        </w:rPr>
        <w:t xml:space="preserve"> -- the paper's "cannot learn" refers to gait quality (shuffling in place), whereas we did not establish a gait-quality metric. This high reward therefore cannot refute the paper. We leave it as an honest open question.</w:t>
      </w:r>
    </w:p>
    <w:p>
      <w:pPr>
        <w:pStyle w:val="Heading1"/>
        <w:jc w:val="left"/>
      </w:pPr>
      <w:r>
        <w:rPr>
          <w:rFonts w:ascii="Times New Roman" w:hAnsi="Times New Roman" w:eastAsia="標楷體"/>
          <w:b/>
          <w:sz w:val="32"/>
        </w:rPr>
        <w:t>Chapter 4. Practical Implementation II: Cross-Engine Migration to Isaac Lab</w:t>
      </w:r>
    </w:p>
    <w:p>
      <w:r>
        <w:rPr>
          <w:rFonts w:ascii="Times New Roman" w:hAnsi="Times New Roman" w:eastAsia="標楷體"/>
          <w:b w:val="0"/>
          <w:sz w:val="24"/>
        </w:rPr>
        <w:t xml:space="preserve">Isaac Gym Preview 4 has been discontinued. NVIDIA's official successor is </w:t>
      </w:r>
      <w:r>
        <w:rPr>
          <w:rFonts w:ascii="Times New Roman" w:hAnsi="Times New Roman" w:eastAsia="標楷體"/>
          <w:b/>
          <w:sz w:val="24"/>
        </w:rPr>
        <w:t>Isaac Lab</w:t>
      </w:r>
      <w:r>
        <w:rPr>
          <w:rFonts w:ascii="Times New Roman" w:hAnsi="Times New Roman" w:eastAsia="標楷體"/>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標楷體"/>
          <w:b/>
          <w:sz w:val="24"/>
        </w:rPr>
        <w:t>can a faithful port still hold when only the simulation engine is swapped?</w:t>
      </w:r>
    </w:p>
    <w:p>
      <w:pPr>
        <w:pStyle w:val="Heading2"/>
        <w:jc w:val="left"/>
      </w:pPr>
      <w:r>
        <w:rPr>
          <w:rFonts w:ascii="Times New Roman" w:hAnsi="Times New Roman" w:eastAsia="標楷體"/>
          <w:b/>
          <w:sz w:val="26"/>
        </w:rPr>
        <w:t>4.1 Design Principle of the Migration</w:t>
      </w:r>
    </w:p>
    <w:p>
      <w:r>
        <w:rPr>
          <w:rFonts w:ascii="Times New Roman" w:hAnsi="Times New Roman" w:eastAsia="標楷體"/>
          <w:b w:val="0"/>
          <w:sz w:val="24"/>
        </w:rPr>
        <w:t xml:space="preserve">The key is to </w:t>
      </w:r>
      <w:r>
        <w:rPr>
          <w:rFonts w:ascii="Times New Roman" w:hAnsi="Times New Roman" w:eastAsia="標楷體"/>
          <w:b/>
          <w:sz w:val="24"/>
        </w:rPr>
        <w:t>fix the robot as the control variable</w:t>
      </w:r>
      <w:r>
        <w:rPr>
          <w:rFonts w:ascii="Times New Roman" w:hAnsi="Times New Roman" w:eastAsia="標楷體"/>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標楷體"/>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pPr>
        <w:pStyle w:val="Heading2"/>
        <w:jc w:val="left"/>
      </w:pPr>
      <w:r>
        <w:rPr>
          <w:rFonts w:ascii="Times New Roman" w:hAnsi="Times New Roman" w:eastAsia="標楷體"/>
          <w:b/>
          <w:sz w:val="26"/>
        </w:rPr>
        <w:t>4.2 Fidelity Debugging: Six Fixes</w:t>
      </w:r>
    </w:p>
    <w:p>
      <w:r>
        <w:rPr>
          <w:rFonts w:ascii="Times New Roman" w:hAnsi="Times New Roman" w:eastAsia="標楷體"/>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標楷體"/>
          <w:b/>
          <w:sz w:val="24"/>
        </w:rPr>
        <w:t>position</w:t>
      </w:r>
      <w:r>
        <w:rPr>
          <w:rFonts w:ascii="Times New Roman" w:hAnsi="Times New Roman" w:eastAsia="標楷體"/>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of the debugging journey: left is the belly-crawl caused by an early reward-configuration bug; right is the clean walk after the fix (from `01_flat_rewardBug_crawl.gif` and `06_roughReplay_cleanWalk_still.png`).</w:t>
      </w:r>
    </w:p>
    <w:p>
      <w:pPr>
        <w:pStyle w:val="Heading2"/>
        <w:jc w:val="left"/>
      </w:pPr>
      <w:r>
        <w:rPr>
          <w:rFonts w:ascii="Times New Roman" w:hAnsi="Times New Roman" w:eastAsia="標楷體"/>
          <w:b/>
          <w:sz w:val="26"/>
        </w:rPr>
        <w:t>4.3 Eight-Seed Reproduction Results</w:t>
      </w:r>
    </w:p>
    <w:p>
      <w:r>
        <w:rPr>
          <w:rFonts w:ascii="Times New Roman" w:hAnsi="Times New Roman" w:eastAsia="標楷體"/>
          <w:b w:val="0"/>
          <w:sz w:val="24"/>
        </w:rPr>
        <w:t>We retrained eight seeds of the full bio-inspired stack on SATA's rough terrain and compared item by item against the Isaac Gym baseline: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r>
          </w:p>
        </w:tc>
        <w:tc>
          <w:tcPr>
            <w:tcW w:type="dxa" w:w="2880"/>
          </w:tcPr>
          <w:p>
            <w:r/>
            <w:r>
              <w:rPr>
                <w:rFonts w:ascii="Times New Roman" w:hAnsi="Times New Roman" w:eastAsia="標楷體"/>
                <w:b/>
                <w:sz w:val="20"/>
              </w:rPr>
              <w:t>Mean reward (eight seeds)</w:t>
            </w:r>
          </w:p>
        </w:tc>
        <w:tc>
          <w:tcPr>
            <w:tcW w:type="dxa" w:w="2880"/>
          </w:tcPr>
          <w:p>
            <w:r/>
            <w:r>
              <w:rPr>
                <w:rFonts w:ascii="Times New Roman" w:hAnsi="Times New Roman" w:eastAsia="標楷體"/>
                <w:b/>
                <w:sz w:val="20"/>
              </w:rPr>
              <w:t>Excluding one collapsed seed (seven seeds)</w:t>
            </w:r>
          </w:p>
        </w:tc>
      </w:tr>
      <w:tr>
        <w:tc>
          <w:tcPr>
            <w:tcW w:type="dxa" w:w="2880"/>
          </w:tcPr>
          <w:p>
            <w:r/>
            <w:r>
              <w:rPr>
                <w:rFonts w:ascii="Times New Roman" w:hAnsi="Times New Roman" w:eastAsia="標楷體"/>
                <w:b w:val="0"/>
                <w:sz w:val="20"/>
              </w:rPr>
              <w:t>Isaac Lab (this study)</w:t>
            </w:r>
          </w:p>
        </w:tc>
        <w:tc>
          <w:tcPr>
            <w:tcW w:type="dxa" w:w="2880"/>
          </w:tcPr>
          <w:p>
            <w:r/>
            <w:r>
              <w:rPr>
                <w:rFonts w:ascii="Times New Roman" w:hAnsi="Times New Roman" w:eastAsia="標楷體"/>
                <w:b w:val="0"/>
                <w:sz w:val="20"/>
              </w:rPr>
              <w:t>76.8 ± 16.2</w:t>
            </w:r>
          </w:p>
        </w:tc>
        <w:tc>
          <w:tcPr>
            <w:tcW w:type="dxa" w:w="2880"/>
          </w:tcPr>
          <w:p>
            <w:r/>
            <w:r>
              <w:rPr>
                <w:rFonts w:ascii="Times New Roman" w:hAnsi="Times New Roman" w:eastAsia="標楷體"/>
                <w:b w:val="0"/>
                <w:sz w:val="20"/>
              </w:rPr>
              <w:t>82.3 ± 5.0</w:t>
            </w:r>
          </w:p>
        </w:tc>
      </w:tr>
      <w:tr>
        <w:tc>
          <w:tcPr>
            <w:tcW w:type="dxa" w:w="2880"/>
          </w:tcPr>
          <w:p>
            <w:r/>
            <w:r>
              <w:rPr>
                <w:rFonts w:ascii="Times New Roman" w:hAnsi="Times New Roman" w:eastAsia="標楷體"/>
                <w:b w:val="0"/>
                <w:sz w:val="20"/>
              </w:rPr>
              <w:t>Isaac Gym (SATA baseline)</w:t>
            </w:r>
          </w:p>
        </w:tc>
        <w:tc>
          <w:tcPr>
            <w:tcW w:type="dxa" w:w="2880"/>
          </w:tcPr>
          <w:p>
            <w:r/>
            <w:r>
              <w:rPr>
                <w:rFonts w:ascii="Times New Roman" w:hAnsi="Times New Roman" w:eastAsia="標楷體"/>
                <w:b w:val="0"/>
                <w:sz w:val="20"/>
              </w:rPr>
              <w:t>103.6 ± 16.0</w:t>
            </w:r>
          </w:p>
        </w:tc>
        <w:tc>
          <w:tcPr>
            <w:tcW w:type="dxa" w:w="2880"/>
          </w:tcPr>
          <w:p>
            <w:r/>
            <w:r>
              <w:rPr>
                <w:rFonts w:ascii="Times New Roman" w:hAnsi="Times New Roman" w:eastAsia="標楷體"/>
                <w:b w:val="0"/>
                <w:sz w:val="20"/>
              </w:rPr>
              <w:t>108.6 ± 8.0</w:t>
            </w:r>
          </w:p>
        </w:tc>
      </w:tr>
    </w:tbl>
    <w:p>
      <w:r>
        <w:rPr>
          <w:rFonts w:ascii="Times New Roman" w:hAnsi="Times New Roman" w:eastAsia="標楷體"/>
          <w:b w:val="0"/>
          <w:sz w:val="24"/>
        </w:rPr>
        <w:t xml:space="preserve">Both engines exhibit the </w:t>
      </w:r>
      <w:r>
        <w:rPr>
          <w:rFonts w:ascii="Times New Roman" w:hAnsi="Times New Roman" w:eastAsia="標楷體"/>
          <w:b/>
          <w:sz w:val="24"/>
        </w:rPr>
        <w:t>same structure</w:t>
      </w:r>
      <w:r>
        <w:rPr>
          <w:rFonts w:ascii="Times New Roman" w:hAnsi="Times New Roman" w:eastAsia="標楷體"/>
          <w:b w:val="0"/>
          <w:sz w:val="24"/>
        </w:rPr>
        <w:t>: seven seeds cluster together while one collapses late in PPO. We report the eight-seed numbers including the collapse as the headline result, rather than the prettier seven-seed numbers.</w:t>
      </w:r>
    </w:p>
    <w:p>
      <w:r>
        <w:rPr>
          <w:rFonts w:ascii="Times New Roman" w:hAnsi="Times New Roman" w:eastAsia="標楷體"/>
          <w:b w:val="0"/>
          <w:sz w:val="24"/>
        </w:rPr>
        <w:t xml:space="preserve">Decomposing the per-step reward term by term further reveals that </w:t>
      </w:r>
      <w:r>
        <w:rPr>
          <w:rFonts w:ascii="Times New Roman" w:hAnsi="Times New Roman" w:eastAsia="標楷體"/>
          <w:b/>
          <w:sz w:val="24"/>
        </w:rPr>
        <w:t>the gap between the positive task-reward terms (forward progress, head height, lateral movement, turning) and the Isaac Gym baseline is within about 0.002 per step</w:t>
      </w:r>
      <w:r>
        <w:rPr>
          <w:rFonts w:ascii="Times New Roman" w:hAnsi="Times New Roman" w:eastAsia="標楷體"/>
          <w:b w:val="0"/>
          <w:sz w:val="24"/>
        </w:rPr>
        <w:t xml:space="preserve"> -- that is, the policy reproduced SATA's per-step task performance. The remaining reward gap concentrates in a single penalty term (the joint-acceleration penalty), whose definition differs across engines (SATA uses finite differences; we use the instantaneous acceleration from PhysX5, which captures contact-impact spikes that finite differences smooth out). We do not claim the two engines are equivalent; whether the gap is fully explained by this definitional difference remains an open question.</w:t>
      </w:r>
    </w:p>
    <w:p>
      <w:pPr>
        <w:pStyle w:val="Heading1"/>
        <w:jc w:val="left"/>
      </w:pPr>
      <w:r>
        <w:rPr>
          <w:rFonts w:ascii="Times New Roman" w:hAnsi="Times New Roman" w:eastAsia="標楷體"/>
          <w:b/>
          <w:sz w:val="32"/>
        </w:rPr>
        <w:t>Chapter 5. Results and Methodological Rigor</w:t>
      </w:r>
    </w:p>
    <w:p>
      <w:r>
        <w:rPr>
          <w:rFonts w:ascii="Times New Roman" w:hAnsi="Times New Roman" w:eastAsia="標楷體"/>
          <w:b w:val="0"/>
          <w:sz w:val="24"/>
        </w:rPr>
        <w:t>The credibility of this study rests on a series of deliberate methodological choices:</w:t>
      </w:r>
    </w:p>
    <w:p>
      <w:pPr>
        <w:pStyle w:val="ListBullet"/>
      </w:pPr>
      <w:r>
        <w:rPr>
          <w:rFonts w:ascii="Times New Roman" w:hAnsi="Times New Roman" w:eastAsia="標楷體"/>
          <w:b/>
          <w:sz w:val="24"/>
        </w:rPr>
        <w:t>At least five seeds per condition</w:t>
      </w:r>
      <w:r>
        <w:rPr>
          <w:rFonts w:ascii="Times New Roman" w:hAnsi="Times New Roman" w:eastAsia="標楷體"/>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標楷體"/>
          <w:b/>
          <w:sz w:val="24"/>
        </w:rPr>
        <w:t>Welch's t-test (unequal variances)</w:t>
      </w:r>
      <w:r>
        <w:rPr>
          <w:rFonts w:ascii="Times New Roman" w:hAnsi="Times New Roman" w:eastAsia="標楷體"/>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標楷體"/>
          <w:b/>
          <w:sz w:val="24"/>
        </w:rPr>
        <w:t>Two-tailed tests as the honest default</w:t>
      </w:r>
      <w:r>
        <w:rPr>
          <w:rFonts w:ascii="Times New Roman" w:hAnsi="Times New Roman" w:eastAsia="標楷體"/>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標楷體"/>
          <w:b/>
          <w:sz w:val="24"/>
        </w:rPr>
        <w:t>Reporting the sample standard deviation (ddof=1)</w:t>
      </w:r>
      <w:r>
        <w:rPr>
          <w:rFonts w:ascii="Times New Roman" w:hAnsi="Times New Roman" w:eastAsia="標楷體"/>
          <w:b w:val="0"/>
          <w:sz w:val="24"/>
        </w:rPr>
        <w:t>, and faithfully reporting the final-iteration reward (including that late-collapsing seed).</w:t>
      </w:r>
    </w:p>
    <w:p>
      <w:pPr>
        <w:pStyle w:val="ListBullet"/>
      </w:pPr>
      <w:r>
        <w:rPr>
          <w:rFonts w:ascii="Times New Roman" w:hAnsi="Times New Roman" w:eastAsia="標楷體"/>
          <w:b/>
          <w:sz w:val="24"/>
        </w:rPr>
        <w:t>"Not detected" does not equal "useless"</w:t>
      </w:r>
      <w:r>
        <w:rPr>
          <w:rFonts w:ascii="Times New Roman" w:hAnsi="Times New Roman" w:eastAsia="標楷體"/>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標楷體"/>
          <w:b/>
          <w:sz w:val="24"/>
        </w:rPr>
        <w:t>Simulation only (the biggest limitation of this project)</w:t>
      </w:r>
      <w:r>
        <w:rPr>
          <w:rFonts w:ascii="Times New Roman" w:hAnsi="Times New Roman" w:eastAsia="標楷體"/>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標楷體"/>
          <w:b w:val="0"/>
          <w:sz w:val="24"/>
        </w:rPr>
        <w:t xml:space="preserve">We also used data to </w:t>
      </w:r>
      <w:r>
        <w:rPr>
          <w:rFonts w:ascii="Times New Roman" w:hAnsi="Times New Roman" w:eastAsia="標楷體"/>
          <w:b/>
          <w:sz w:val="24"/>
        </w:rPr>
        <w:t>correct two analogies from our own first draft</w:t>
      </w:r>
      <w:r>
        <w:rPr>
          <w:rFonts w:ascii="Times New Roman" w:hAnsi="Times New Roman" w:eastAsia="標楷體"/>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pPr>
        <w:pStyle w:val="Heading1"/>
        <w:jc w:val="left"/>
      </w:pPr>
      <w:r>
        <w:rPr>
          <w:rFonts w:ascii="Times New Roman" w:hAnsi="Times New Roman" w:eastAsia="標楷體"/>
          <w:b/>
          <w:sz w:val="32"/>
        </w:rPr>
        <w:t>Chapter 6. Conclusion and Reflection</w:t>
      </w:r>
    </w:p>
    <w:p>
      <w:r>
        <w:rPr>
          <w:rFonts w:ascii="Times New Roman" w:hAnsi="Times New Roman" w:eastAsia="標楷體"/>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標楷體"/>
          <w:b/>
          <w:sz w:val="24"/>
        </w:rPr>
        <w:t>sim-to-real feasibility constraints</w:t>
      </w:r>
      <w:r>
        <w:rPr>
          <w:rFonts w:ascii="Times New Roman" w:hAnsi="Times New Roman" w:eastAsia="標楷體"/>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標楷體"/>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pPr>
        <w:pStyle w:val="Heading1"/>
        <w:jc w:val="left"/>
      </w:pPr>
      <w:r>
        <w:rPr>
          <w:rFonts w:ascii="Times New Roman" w:hAnsi="Times New Roman" w:eastAsia="標楷體"/>
          <w:b/>
          <w:sz w:val="32"/>
        </w:rPr>
        <w:t>References</w:t>
      </w:r>
    </w:p>
    <w:p>
      <w:pPr>
        <w:pStyle w:val="ListNumber"/>
      </w:pPr>
      <w:r>
        <w:rPr>
          <w:rFonts w:ascii="Times New Roman" w:hAnsi="Times New Roman" w:eastAsia="標楷體"/>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標楷體"/>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標楷體"/>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標楷體"/>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標楷體"/>
          <w:b w:val="0"/>
          <w:sz w:val="24"/>
        </w:rPr>
        <w:t>Chen, S., Zhang, B., Mueller, M. W., Rai, A., &amp; Sreenath, K. (2022). *Learning Torque Control for Quadrupedal Locomotion*. arXiv:2203.05194.</w:t>
      </w:r>
    </w:p>
    <w:p>
      <w:pPr>
        <w:pStyle w:val="ListNumber"/>
      </w:pPr>
      <w:r>
        <w:rPr>
          <w:rFonts w:ascii="Times New Roman" w:hAnsi="Times New Roman" w:eastAsia="標楷體"/>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標楷體"/>
          <w:b w:val="0"/>
          <w:sz w:val="24"/>
        </w:rPr>
        <w:t>Hwangbo, J., et al. (2019). Learning agile and dynamic motor skills for legged robots. *Science Robotics*, 4(26). arXiv:1901.08652.</w:t>
      </w:r>
    </w:p>
    <w:p>
      <w:pPr>
        <w:pStyle w:val="ListNumber"/>
      </w:pPr>
      <w:r>
        <w:rPr>
          <w:rFonts w:ascii="Times New Roman" w:hAnsi="Times New Roman" w:eastAsia="標楷體"/>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標楷體"/>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標楷體"/>
          <w:b w:val="0"/>
          <w:sz w:val="24"/>
        </w:rPr>
        <w:t>Bellegarda, G., &amp; Ijspeert, A. (2022). CPG-RL: Learning Central Pattern Generators for Quadruped Locomotion. *IEEE Robotics and Automation Letters*. arXiv:2211.00458.</w:t>
      </w:r>
    </w:p>
    <w:p>
      <w:pPr>
        <w:pStyle w:val="Heading1"/>
        <w:jc w:val="left"/>
      </w:pPr>
      <w:r>
        <w:rPr>
          <w:rFonts w:ascii="Times New Roman" w:hAnsi="Times New Roman" w:eastAsia="標楷體"/>
          <w:b/>
          <w:sz w:val="32"/>
        </w:rPr>
        <w:t>Open Source</w:t>
      </w:r>
    </w:p>
    <w:p>
      <w:r>
        <w:rPr>
          <w:rFonts w:ascii="Times New Roman" w:hAnsi="Times New Roman" w:eastAsia="標楷體"/>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標楷體"/>
          <w:b/>
          <w:sz w:val="24"/>
        </w:rPr>
        <w:t>SATA reproduction and analysis on Isaac Gym</w:t>
      </w:r>
      <w:r>
        <w:rPr>
          <w:rFonts w:ascii="Times New Roman" w:hAnsi="Times New Roman" w:eastAsia="標楷體"/>
          <w:b w:val="0"/>
          <w:sz w:val="24"/>
        </w:rPr>
        <w:t>:</w:t>
      </w:r>
    </w:p>
    <w:p>
      <w:r>
        <w:rPr>
          <w:rFonts w:ascii="Times New Roman" w:hAnsi="Times New Roman" w:eastAsia="標楷體"/>
          <w:b w:val="0"/>
          <w:sz w:val="24"/>
        </w:rPr>
        <w:t>https://github.com/Stanley-1013/bio-inspired-adaptive-locomotion</w:t>
      </w:r>
    </w:p>
    <w:p>
      <w:pPr>
        <w:pStyle w:val="ListBullet"/>
      </w:pPr>
      <w:r>
        <w:rPr>
          <w:rFonts w:ascii="Times New Roman" w:hAnsi="Times New Roman" w:eastAsia="標楷體"/>
          <w:b/>
          <w:sz w:val="24"/>
        </w:rPr>
        <w:t>Cross-engine reproduction migrated to Isaac Lab</w:t>
      </w:r>
      <w:r>
        <w:rPr>
          <w:rFonts w:ascii="Times New Roman" w:hAnsi="Times New Roman" w:eastAsia="標楷體"/>
          <w:b w:val="0"/>
          <w:sz w:val="24"/>
        </w:rPr>
        <w:t>:</w:t>
      </w:r>
    </w:p>
    <w:p>
      <w:r>
        <w:rPr>
          <w:rFonts w:ascii="Times New Roman" w:hAnsi="Times New Roman" w:eastAsia="標楷體"/>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