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Style w:val="Heading1"/>
        <w:pageBreakBefore/>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pageBreakBefore/>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that trains and analyzes a torque-based quadruped locomotion controller using neural-network policies, Proximal Policy Optimization (PPO), and ablation studies. Most RL controllers use </w:t>
      </w:r>
      <w:r>
        <w:rPr>
          <w:rFonts w:ascii="Times New Roman" w:hAnsi="Times New Roman" w:eastAsia="標楷體"/>
          <w:b/>
          <w:sz w:val="24"/>
        </w:rPr>
        <w:t>position control</w:t>
      </w:r>
      <w:r>
        <w:rPr>
          <w:rFonts w:ascii="Times New Roman" w:hAnsi="Times New Roman" w:eastAsia="標楷體"/>
          <w:b w:val="0"/>
          <w:sz w:val="24"/>
        </w:rPr>
        <w:t xml:space="preserve"> (outputting target joint angles that a low-level PD controller converts to torque): easy to train, but stiff, insufficiently compliant, and prone to overreacting to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more compliant, but its highly nonlinear action space and inefficient early exploration have long made it hard to train. We fully reproduce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which "shapes" the torque action space with three bio-inspired mechanisms (activation low-pass, Hill force-velocity model, motor fatigue) plus a developmental growth curriculum, making it both easier to learn and more physically feasible.</w:t>
      </w:r>
    </w:p>
    <w:p>
      <w:r>
        <w:rPr>
          <w:rFonts w:ascii="Times New Roman" w:hAnsi="Times New Roman" w:eastAsia="標楷體"/>
          <w:b w:val="0"/>
          <w:sz w:val="24"/>
        </w:rPr>
        <w:t>The implementation has two stages. On Isaac Gym we reproduce SATA (eight seeds, reward 103.9 ± 15.9) and analyze it via per-mechanism ablation, a hardware-feasibility evaluation of all forty-eight policies under payload and push disturbances, and a classical residual term. The core finding is counter-intuitive: ablations that *raise* training reward in a clean simulator do so by *leaving the hardware-feasible range*—disabling activation drives peak torque to 42.5 N·m (near the real Go2's 45 N·m limit), and disabling fatigue uses 2.5× energy and 35× action jerk. The bio mechanisms thus act as sim-to-real feasibility constraints, not reward devices. The second stage migrates the pipeline to NVIDIA Isaac Lab, holding the robot fixed as the control variable: a faithful port reproduces SATA's per-step task performance (positive task terms within about 0.002 per step). All results were trained, evaluated, and reproduced by us; both projects are open-sourced. We maintain statistical rigor throughout (at least five seeds per condition, mean ± sample std, Welch's t-test) and leave unconfirmed phenomena (e.g., trainability) as open questions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pageBreakBefore/>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pageBreakBefore/>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π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λ = 0.95, γ = 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ε = 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(vₓ, v_y, ω_yaw)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vₓ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ω_yaw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pageBreakBefore/>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pageBreakBefore/>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pageBreakBefore/>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pageBreakBefore/>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pageBreakBefore/>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pageBreakBefore/>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pageBreakBefore/>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