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560"/>
        <w:jc w:val="center"/>
      </w:pPr>
      <w:r>
        <w:rPr>
          <w:rFonts w:ascii="Times New Roman" w:hAnsi="Times New Roman" w:eastAsia="標楷體"/>
          <w:b w:val="0"/>
          <w:sz w:val="26"/>
        </w:rPr>
        <w:t>Department of Biomechatronics Engineering</w:t>
      </w:r>
    </w:p>
    <w:p>
      <w:pPr>
        <w:spacing w:after="200" w:before="40"/>
        <w:jc w:val="center"/>
      </w:pPr>
      <w:r>
        <w:rPr>
          <w:rFonts w:ascii="Times New Roman" w:hAnsi="Times New Roman" w:eastAsia="標楷體"/>
          <w:b w:val="0"/>
          <w:sz w:val="26"/>
        </w:rPr>
        <w:t>College of Bioresources and Agriculture</w:t>
      </w:r>
    </w:p>
    <w:p>
      <w:pPr>
        <w:spacing w:after="200" w:before="40"/>
        <w:jc w:val="center"/>
      </w:pPr>
      <w:r>
        <w:rPr>
          <w:rFonts w:ascii="Times New Roman" w:hAnsi="Times New Roman" w:eastAsia="標楷體"/>
          <w:b w:val="0"/>
          <w:sz w:val="30"/>
        </w:rPr>
        <w:t>National Taiwan University</w:t>
      </w:r>
    </w:p>
    <w:p>
      <w:pPr>
        <w:spacing w:after="200" w:before="40"/>
        <w:jc w:val="center"/>
      </w:pPr>
      <w:r>
        <w:rPr>
          <w:rFonts w:ascii="Times New Roman" w:hAnsi="Times New Roman" w:eastAsia="標楷體"/>
          <w:b w:val="0"/>
          <w:sz w:val="30"/>
        </w:rPr>
        <w:t>Artificial Intelligence Implementation Final Report</w:t>
      </w:r>
    </w:p>
    <w:p>
      <w:pPr>
        <w:spacing w:after="200" w:before="40"/>
        <w:jc w:val="center"/>
      </w:pPr>
      <w:r>
        <w:rPr>
          <w:rFonts w:ascii="Times New Roman" w:hAnsi="Times New Roman" w:eastAsia="標楷體"/>
          <w:b w:val="0"/>
          <w:sz w:val="30"/>
        </w:rPr>
        <w:t>Reproducing and Migrating Bio-Inspired Torque-Based Quadruped Locomotion Control across Simulators</w:t>
      </w:r>
    </w:p>
    <w:p>
      <w:pPr>
        <w:spacing w:after="200" w:before="40"/>
        <w:jc w:val="center"/>
      </w:pPr>
      <w:r>
        <w:rPr>
          <w:rFonts w:ascii="Times New Roman" w:hAnsi="Times New Roman" w:eastAsia="標楷體"/>
          <w:b w:val="0"/>
          <w:sz w:val="28"/>
        </w:rPr>
        <w:t>Li Chuan-Han</w:t>
      </w:r>
    </w:p>
    <w:p>
      <w:pPr>
        <w:spacing w:after="200" w:before="40"/>
        <w:jc w:val="center"/>
      </w:pPr>
      <w:r>
        <w:rPr>
          <w:rFonts w:ascii="Times New Roman" w:hAnsi="Times New Roman" w:eastAsia="標楷體"/>
          <w:b w:val="0"/>
          <w:sz w:val="26"/>
        </w:rPr>
        <w:t>Student ID: B11611027</w:t>
      </w:r>
    </w:p>
    <w:p>
      <w:pPr>
        <w:spacing w:after="200" w:before="40"/>
        <w:jc w:val="center"/>
      </w:pPr>
      <w:r>
        <w:rPr>
          <w:rFonts w:ascii="Times New Roman" w:hAnsi="Times New Roman" w:eastAsia="標楷體"/>
          <w:b w:val="0"/>
          <w:sz w:val="28"/>
        </w:rPr>
        <w:t>June, 2026</w:t>
      </w:r>
    </w:p>
    <w:p>
      <w:pPr>
        <w:pageBreakBefore/>
      </w:pPr>
    </w:p>
    <w:p>
      <w:pPr>
        <w:pStyle w:val="Heading1"/>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Core Technology: Torque Control and the Bio-Inspired Locomotion Layer</w:t>
      </w:r>
    </w:p>
    <w:p>
      <w:pPr>
        <w:pStyle w:val="ListBullet"/>
      </w:pPr>
      <w:r>
        <w:rPr>
          <w:rFonts w:ascii="Times New Roman" w:hAnsi="Times New Roman" w:eastAsia="標楷體"/>
          <w:b w:val="0"/>
          <w:sz w:val="24"/>
        </w:rPr>
        <w:t>Chapter 3. Practical Implementation I: Reproducing and Analyzing SATA on Isaac Gym</w:t>
      </w:r>
    </w:p>
    <w:p>
      <w:pPr>
        <w:pStyle w:val="ListBullet"/>
      </w:pPr>
      <w:r>
        <w:rPr>
          <w:rFonts w:ascii="Times New Roman" w:hAnsi="Times New Roman" w:eastAsia="標楷體"/>
          <w:b w:val="0"/>
          <w:sz w:val="24"/>
        </w:rPr>
        <w:t>Chapter 4. Practical Implementation II: Cross-Engine Migration to Isaac Lab</w:t>
      </w:r>
    </w:p>
    <w:p>
      <w:pPr>
        <w:pStyle w:val="ListBullet"/>
      </w:pPr>
      <w:r>
        <w:rPr>
          <w:rFonts w:ascii="Times New Roman" w:hAnsi="Times New Roman" w:eastAsia="標楷體"/>
          <w:b w:val="0"/>
          <w:sz w:val="24"/>
        </w:rPr>
        <w:t>Chapter 5. Results and Methodological Rigor</w:t>
      </w:r>
    </w:p>
    <w:p>
      <w:pPr>
        <w:pStyle w:val="ListBullet"/>
      </w:pPr>
      <w:r>
        <w:rPr>
          <w:rFonts w:ascii="Times New Roman" w:hAnsi="Times New Roman" w:eastAsia="標楷體"/>
          <w:b w:val="0"/>
          <w:sz w:val="24"/>
        </w:rPr>
        <w:t>Chapter 6.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jc w:val="left"/>
      </w:pPr>
      <w:r>
        <w:rPr>
          <w:rFonts w:ascii="Times New Roman" w:hAnsi="Times New Roman" w:eastAsia="標楷體"/>
          <w:b/>
          <w:sz w:val="32"/>
        </w:rPr>
        <w:t>Abstract</w:t>
      </w:r>
    </w:p>
    <w:p>
      <w:r>
        <w:rPr>
          <w:rFonts w:ascii="Times New Roman" w:hAnsi="Times New Roman" w:eastAsia="標楷體"/>
          <w:b w:val="0"/>
          <w:sz w:val="24"/>
        </w:rPr>
        <w:t xml:space="preserve">Reinforcement learning controllers for quadruped robots predominantly rely on </w:t>
      </w:r>
      <w:r>
        <w:rPr>
          <w:rFonts w:ascii="Times New Roman" w:hAnsi="Times New Roman" w:eastAsia="標楷體"/>
          <w:b/>
          <w:sz w:val="24"/>
        </w:rPr>
        <w:t>position control</w:t>
      </w:r>
      <w:r>
        <w:rPr>
          <w:rFonts w:ascii="Times New Roman" w:hAnsi="Times New Roman" w:eastAsia="標楷體"/>
          <w:b w:val="0"/>
          <w:sz w:val="24"/>
        </w:rPr>
        <w:t xml:space="preserve">: the policy network outputs target joint angles, which a low-level proportional-derivative (PD) controller then converts into joint torques. Position control is easy to train but produces stiff behavior with insufficient compliance, and it tends to overreact when confronted with unforeseen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a more compliant alternative, but its action space is highly nonlinear, exploration is inefficient in early training, and it has long been regarded as difficult to train. This report centers on </w:t>
      </w:r>
      <w:r>
        <w:rPr>
          <w:rFonts w:ascii="Times New Roman" w:hAnsi="Times New Roman" w:eastAsia="標楷體"/>
          <w:b/>
          <w:sz w:val="24"/>
        </w:rPr>
        <w:t>SATA</w:t>
      </w:r>
      <w:r>
        <w:rPr>
          <w:rFonts w:ascii="Times New Roman" w:hAnsi="Times New Roman" w:eastAsia="標楷體"/>
          <w:b w:val="0"/>
          <w:sz w:val="24"/>
        </w:rPr>
        <w:t xml:space="preserve"> (Safe and Adaptive Torque-Based Locomotion, arXiv:2502.12674), proposed by Li et al. in 2025 at the marmotlab of the National University of Singapore. We fully reproduce its torque control pipeline on the Unitree Go2 quadruped and analyze it through the lens of questions raised by adaptive and robust control.</w:t>
      </w:r>
    </w:p>
    <w:p>
      <w:r>
        <w:rPr>
          <w:rFonts w:ascii="Times New Roman" w:hAnsi="Times New Roman" w:eastAsia="標楷體"/>
          <w:b w:val="0"/>
          <w:sz w:val="24"/>
        </w:rPr>
        <w:t xml:space="preserve">The implementation in this study spans two stages. In the </w:t>
      </w:r>
      <w:r>
        <w:rPr>
          <w:rFonts w:ascii="Times New Roman" w:hAnsi="Times New Roman" w:eastAsia="標楷體"/>
          <w:b/>
          <w:sz w:val="24"/>
        </w:rPr>
        <w:t>first stage</w:t>
      </w:r>
      <w:r>
        <w:rPr>
          <w:rFonts w:ascii="Times New Roman" w:hAnsi="Times New Roman" w:eastAsia="標楷體"/>
          <w:b w:val="0"/>
          <w:sz w:val="24"/>
        </w:rPr>
        <w:t xml:space="preserve">, we reproduce SATA on the Isaac Gym simulator and conduct a systematic four-phase analysis: reproducing the reference policy (eight random seeds), ablating each of the three bio-inspired mechanisms one at a time, evaluating the hardware feasibility of all forty-eight policies under payload and external-force disturbances, and testing a classical residual compensation term. In the </w:t>
      </w:r>
      <w:r>
        <w:rPr>
          <w:rFonts w:ascii="Times New Roman" w:hAnsi="Times New Roman" w:eastAsia="標楷體"/>
          <w:b/>
          <w:sz w:val="24"/>
        </w:rPr>
        <w:t>second stage</w:t>
      </w:r>
      <w:r>
        <w:rPr>
          <w:rFonts w:ascii="Times New Roman" w:hAnsi="Times New Roman" w:eastAsia="標楷體"/>
          <w:b w:val="0"/>
          <w:sz w:val="24"/>
        </w:rPr>
        <w:t>, we migrate the entire pipeline to NVIDIA's next-generation engine, Isaac Lab, and compare cross-engine fidelity item by item while holding the robot (Go2) fixed as the control variable.</w:t>
      </w:r>
    </w:p>
    <w:p>
      <w:r>
        <w:rPr>
          <w:rFonts w:ascii="Times New Roman" w:hAnsi="Times New Roman" w:eastAsia="標楷體"/>
          <w:b w:val="0"/>
          <w:sz w:val="24"/>
        </w:rPr>
        <w:t xml:space="preserve">This report emphasizes </w:t>
      </w:r>
      <w:r>
        <w:rPr>
          <w:rFonts w:ascii="Times New Roman" w:hAnsi="Times New Roman" w:eastAsia="標楷體"/>
          <w:b/>
          <w:sz w:val="24"/>
        </w:rPr>
        <w:t>hands-on implementation</w:t>
      </w:r>
      <w:r>
        <w:rPr>
          <w:rFonts w:ascii="Times New Roman" w:hAnsi="Times New Roman" w:eastAsia="標楷體"/>
          <w:b w:val="0"/>
          <w:sz w:val="24"/>
        </w:rPr>
        <w:t>: all results were trained, evaluated, and reproduced by us, rather than merely cited from the paper. Both projects are open-sourced (links at the end), and anyone may use, inspect, or build upon them under their respective licenses. We maintain statistical rigor throughout the analysis (at least five seeds per condition, reporting means and sample standard deviations, and using Welch's t-test), and where a phenomenon cannot be confirmed, we honestly leave it as an open question rather than overclaiming.</w:t>
      </w:r>
    </w:p>
    <w:p>
      <w:r>
        <w:rPr>
          <w:rFonts w:ascii="Times New Roman" w:hAnsi="Times New Roman" w:eastAsia="標楷體"/>
          <w:b/>
          <w:sz w:val="24"/>
        </w:rPr>
        <w:t>Keywords</w:t>
      </w:r>
      <w:r>
        <w:rPr>
          <w:rFonts w:ascii="Times New Roman" w:hAnsi="Times New Roman" w:eastAsia="標楷體"/>
          <w:b w:val="0"/>
          <w:sz w:val="24"/>
        </w:rPr>
        <w:t>: Torque Control, Bio-Inspired Locomotion, Reinforcement Learning, Quadruped, Cross-Engine Reproduction, Isaac Gym, Isaac Lab</w:t>
      </w:r>
    </w:p>
    <w:p>
      <w:pPr>
        <w:pStyle w:val="Heading1"/>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 xml:space="preserve">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 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jc w:val="left"/>
      </w:pPr>
      <w:r>
        <w:rPr>
          <w:rFonts w:ascii="Times New Roman" w:hAnsi="Times New Roman" w:eastAsia="標楷體"/>
          <w:b/>
          <w:sz w:val="32"/>
        </w:rPr>
        <w:t>Chapter 2.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2.1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2.2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jc w:val="left"/>
      </w:pPr>
      <w:r>
        <w:rPr>
          <w:rFonts w:ascii="Times New Roman" w:hAnsi="Times New Roman" w:eastAsia="標楷體"/>
          <w:b/>
          <w:sz w:val="32"/>
        </w:rPr>
        <w:t>Chapter 3.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3.1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3.2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3.3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3.4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3.5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jc w:val="left"/>
      </w:pPr>
      <w:r>
        <w:rPr>
          <w:rFonts w:ascii="Times New Roman" w:hAnsi="Times New Roman" w:eastAsia="標楷體"/>
          <w:b/>
          <w:sz w:val="32"/>
        </w:rPr>
        <w:t>Chapter 4.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4.1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4.2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4.3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jc w:val="left"/>
      </w:pPr>
      <w:r>
        <w:rPr>
          <w:rFonts w:ascii="Times New Roman" w:hAnsi="Times New Roman" w:eastAsia="標楷體"/>
          <w:b/>
          <w:sz w:val="32"/>
        </w:rPr>
        <w:t>Chapter 5.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jc w:val="left"/>
      </w:pPr>
      <w:r>
        <w:rPr>
          <w:rFonts w:ascii="Times New Roman" w:hAnsi="Times New Roman" w:eastAsia="標楷體"/>
          <w:b/>
          <w:sz w:val="32"/>
        </w:rPr>
        <w:t>Chapter 6.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