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90F53B" w14:textId="77777777" w:rsidR="00F31CD2" w:rsidRPr="00FB03DC" w:rsidRDefault="00F31CD2">
      <w:pPr>
        <w:tabs>
          <w:tab w:val="left" w:pos="525"/>
          <w:tab w:val="left" w:pos="1050"/>
          <w:tab w:val="left" w:pos="1575"/>
        </w:tabs>
        <w:spacing w:line="360" w:lineRule="auto"/>
        <w:jc w:val="center"/>
        <w:rPr>
          <w:rFonts w:ascii="仿宋" w:eastAsia="仿宋" w:hAnsi="仿宋"/>
          <w:bCs/>
          <w:sz w:val="48"/>
          <w:szCs w:val="48"/>
          <w:lang w:eastAsia="zh-CN"/>
        </w:rPr>
      </w:pPr>
    </w:p>
    <w:p w14:paraId="551CCCDF" w14:textId="77777777" w:rsidR="00F31CD2" w:rsidRPr="00FB03DC" w:rsidRDefault="00F31CD2">
      <w:pPr>
        <w:tabs>
          <w:tab w:val="left" w:pos="525"/>
          <w:tab w:val="left" w:pos="1050"/>
          <w:tab w:val="left" w:pos="1575"/>
        </w:tabs>
        <w:spacing w:line="360" w:lineRule="auto"/>
        <w:jc w:val="center"/>
        <w:rPr>
          <w:rFonts w:ascii="仿宋" w:eastAsia="仿宋" w:hAnsi="仿宋"/>
          <w:b/>
          <w:sz w:val="36"/>
          <w:shd w:val="pct10" w:color="auto" w:fill="FFFFFF"/>
          <w:lang w:eastAsia="zh-CN"/>
        </w:rPr>
      </w:pPr>
    </w:p>
    <w:p w14:paraId="4CEC6B57" w14:textId="77777777" w:rsidR="00F31CD2" w:rsidRPr="00FB03DC" w:rsidRDefault="00F31CD2">
      <w:pPr>
        <w:tabs>
          <w:tab w:val="left" w:pos="525"/>
          <w:tab w:val="left" w:pos="1050"/>
          <w:tab w:val="left" w:pos="1575"/>
        </w:tabs>
        <w:spacing w:line="360" w:lineRule="auto"/>
        <w:jc w:val="center"/>
        <w:rPr>
          <w:rFonts w:ascii="仿宋" w:eastAsia="仿宋" w:hAnsi="仿宋"/>
          <w:b/>
          <w:sz w:val="36"/>
          <w:shd w:val="pct10" w:color="auto" w:fill="FFFFFF"/>
          <w:lang w:eastAsia="zh-CN"/>
        </w:rPr>
      </w:pPr>
    </w:p>
    <w:p w14:paraId="24DECAC3" w14:textId="77777777" w:rsidR="00F31CD2" w:rsidRPr="00FB03DC" w:rsidRDefault="00F31CD2">
      <w:pPr>
        <w:tabs>
          <w:tab w:val="left" w:pos="525"/>
          <w:tab w:val="left" w:pos="1050"/>
          <w:tab w:val="left" w:pos="1575"/>
        </w:tabs>
        <w:spacing w:line="360" w:lineRule="auto"/>
        <w:jc w:val="center"/>
        <w:rPr>
          <w:rFonts w:ascii="仿宋" w:eastAsia="仿宋" w:hAnsi="仿宋"/>
          <w:b/>
          <w:sz w:val="36"/>
          <w:shd w:val="pct10" w:color="auto" w:fill="FFFFFF"/>
          <w:lang w:eastAsia="zh-CN"/>
        </w:rPr>
      </w:pPr>
    </w:p>
    <w:p w14:paraId="121572BC" w14:textId="77777777" w:rsidR="00F31CD2" w:rsidRPr="00FB03DC" w:rsidRDefault="00F31CD2">
      <w:pPr>
        <w:tabs>
          <w:tab w:val="left" w:pos="525"/>
          <w:tab w:val="left" w:pos="1050"/>
          <w:tab w:val="left" w:pos="1575"/>
        </w:tabs>
        <w:spacing w:line="360" w:lineRule="auto"/>
        <w:jc w:val="center"/>
        <w:rPr>
          <w:rFonts w:ascii="仿宋" w:eastAsia="仿宋" w:hAnsi="仿宋"/>
          <w:b/>
          <w:sz w:val="36"/>
          <w:shd w:val="pct10" w:color="auto" w:fill="FFFFFF"/>
          <w:lang w:eastAsia="zh-CN"/>
        </w:rPr>
      </w:pPr>
    </w:p>
    <w:p w14:paraId="5BDF4C3E" w14:textId="77777777" w:rsidR="00F31CD2" w:rsidRPr="00FB03DC" w:rsidRDefault="00F31CD2">
      <w:pPr>
        <w:tabs>
          <w:tab w:val="left" w:pos="525"/>
          <w:tab w:val="left" w:pos="1050"/>
          <w:tab w:val="left" w:pos="1575"/>
        </w:tabs>
        <w:spacing w:line="360" w:lineRule="auto"/>
        <w:jc w:val="center"/>
        <w:rPr>
          <w:rFonts w:ascii="仿宋" w:eastAsia="仿宋" w:hAnsi="仿宋"/>
          <w:b/>
          <w:sz w:val="36"/>
          <w:shd w:val="pct10" w:color="auto" w:fill="FFFFFF"/>
          <w:lang w:eastAsia="zh-CN"/>
        </w:rPr>
      </w:pPr>
    </w:p>
    <w:p w14:paraId="207CDE56" w14:textId="77777777" w:rsidR="00F31CD2" w:rsidRPr="00FB03DC" w:rsidRDefault="00F31CD2">
      <w:pPr>
        <w:tabs>
          <w:tab w:val="left" w:pos="525"/>
          <w:tab w:val="left" w:pos="1050"/>
          <w:tab w:val="left" w:pos="1575"/>
        </w:tabs>
        <w:spacing w:line="360" w:lineRule="auto"/>
        <w:jc w:val="center"/>
        <w:rPr>
          <w:rFonts w:ascii="仿宋" w:eastAsia="仿宋" w:hAnsi="仿宋"/>
          <w:sz w:val="36"/>
          <w:shd w:val="pct10" w:color="auto" w:fill="FFFFFF"/>
          <w:lang w:eastAsia="zh-CN"/>
        </w:rPr>
      </w:pPr>
    </w:p>
    <w:p w14:paraId="716A4DB9" w14:textId="5BF921DF" w:rsidR="00F31CD2" w:rsidRPr="00FB03DC" w:rsidRDefault="00A71D56">
      <w:pPr>
        <w:tabs>
          <w:tab w:val="left" w:pos="525"/>
          <w:tab w:val="left" w:pos="1050"/>
          <w:tab w:val="left" w:pos="1575"/>
          <w:tab w:val="left" w:pos="7560"/>
        </w:tabs>
        <w:spacing w:line="360" w:lineRule="auto"/>
        <w:ind w:firstLine="201"/>
        <w:jc w:val="center"/>
        <w:rPr>
          <w:rFonts w:ascii="仿宋" w:eastAsia="仿宋" w:hAnsi="仿宋"/>
          <w:b/>
          <w:spacing w:val="20"/>
          <w:sz w:val="36"/>
          <w:szCs w:val="36"/>
          <w:lang w:eastAsia="zh-CN"/>
        </w:rPr>
      </w:pPr>
      <w:r w:rsidRPr="00FB03DC">
        <w:rPr>
          <w:rFonts w:ascii="仿宋" w:eastAsia="仿宋" w:hAnsi="仿宋"/>
          <w:b/>
          <w:spacing w:val="20"/>
          <w:sz w:val="36"/>
          <w:szCs w:val="36"/>
          <w:lang w:eastAsia="zh-CN"/>
        </w:rPr>
        <w:t>华泰</w:t>
      </w:r>
      <w:r w:rsidR="00FB03DC" w:rsidRPr="00FB03DC">
        <w:rPr>
          <w:rFonts w:ascii="仿宋" w:eastAsia="仿宋" w:hAnsi="仿宋"/>
          <w:b/>
          <w:spacing w:val="20"/>
          <w:sz w:val="36"/>
          <w:szCs w:val="36"/>
          <w:lang w:eastAsia="zh-CN"/>
        </w:rPr>
        <w:t>银泰</w:t>
      </w:r>
      <w:r w:rsidR="00443F9C">
        <w:rPr>
          <w:rFonts w:ascii="仿宋" w:eastAsia="仿宋" w:hAnsi="仿宋"/>
          <w:b/>
          <w:spacing w:val="20"/>
          <w:sz w:val="36"/>
          <w:szCs w:val="36"/>
          <w:lang w:eastAsia="zh-CN"/>
        </w:rPr>
        <w:t>精选广元6号</w:t>
      </w:r>
      <w:r w:rsidRPr="00FB03DC">
        <w:rPr>
          <w:rFonts w:ascii="仿宋" w:eastAsia="仿宋" w:hAnsi="仿宋"/>
          <w:b/>
          <w:spacing w:val="20"/>
          <w:sz w:val="36"/>
          <w:szCs w:val="36"/>
          <w:lang w:eastAsia="zh-CN"/>
        </w:rPr>
        <w:t xml:space="preserve">集合资产管理计划 </w:t>
      </w:r>
    </w:p>
    <w:p w14:paraId="1634B329" w14:textId="77777777" w:rsidR="00F31CD2" w:rsidRPr="00FB03DC" w:rsidRDefault="00A71D56">
      <w:pPr>
        <w:tabs>
          <w:tab w:val="left" w:pos="525"/>
          <w:tab w:val="left" w:pos="1050"/>
          <w:tab w:val="left" w:pos="1575"/>
          <w:tab w:val="left" w:pos="7560"/>
        </w:tabs>
        <w:spacing w:line="360" w:lineRule="auto"/>
        <w:ind w:firstLine="201"/>
        <w:jc w:val="center"/>
        <w:rPr>
          <w:rFonts w:ascii="仿宋" w:eastAsia="仿宋" w:hAnsi="仿宋"/>
          <w:b/>
          <w:spacing w:val="20"/>
          <w:sz w:val="36"/>
          <w:szCs w:val="36"/>
          <w:lang w:eastAsia="zh-CN"/>
        </w:rPr>
      </w:pPr>
      <w:r w:rsidRPr="00FB03DC">
        <w:rPr>
          <w:rFonts w:ascii="仿宋" w:eastAsia="仿宋" w:hAnsi="仿宋"/>
          <w:b/>
          <w:spacing w:val="20"/>
          <w:sz w:val="36"/>
          <w:szCs w:val="36"/>
          <w:lang w:eastAsia="zh-CN"/>
        </w:rPr>
        <w:t>资产管理合同</w:t>
      </w:r>
    </w:p>
    <w:p w14:paraId="7EC9F698" w14:textId="77777777" w:rsidR="00F31CD2" w:rsidRPr="00FB03DC" w:rsidRDefault="00F31CD2">
      <w:pPr>
        <w:tabs>
          <w:tab w:val="left" w:pos="525"/>
          <w:tab w:val="left" w:pos="1050"/>
          <w:tab w:val="left" w:pos="1575"/>
        </w:tabs>
        <w:spacing w:line="360" w:lineRule="auto"/>
        <w:jc w:val="center"/>
        <w:rPr>
          <w:rFonts w:ascii="仿宋" w:eastAsia="仿宋" w:hAnsi="仿宋"/>
          <w:sz w:val="36"/>
          <w:shd w:val="pct10" w:color="auto" w:fill="FFFFFF"/>
          <w:lang w:eastAsia="zh-CN"/>
        </w:rPr>
      </w:pPr>
    </w:p>
    <w:p w14:paraId="25062918" w14:textId="655CCBA6" w:rsidR="00F31CD2" w:rsidRPr="00FB03DC" w:rsidRDefault="00A71D56">
      <w:pPr>
        <w:tabs>
          <w:tab w:val="left" w:pos="525"/>
          <w:tab w:val="left" w:pos="1050"/>
          <w:tab w:val="left" w:pos="1575"/>
        </w:tabs>
        <w:spacing w:line="360" w:lineRule="auto"/>
        <w:jc w:val="center"/>
        <w:rPr>
          <w:rFonts w:ascii="仿宋" w:eastAsia="仿宋" w:hAnsi="仿宋"/>
          <w:sz w:val="28"/>
          <w:lang w:eastAsia="zh-CN"/>
        </w:rPr>
      </w:pPr>
      <w:r w:rsidRPr="00FB03DC">
        <w:rPr>
          <w:rFonts w:ascii="仿宋" w:eastAsia="仿宋" w:hAnsi="仿宋"/>
          <w:sz w:val="28"/>
          <w:lang w:eastAsia="zh-CN"/>
        </w:rPr>
        <w:t>合同编号：</w:t>
      </w:r>
      <w:r w:rsidRPr="00FB03DC">
        <w:rPr>
          <w:rFonts w:ascii="仿宋" w:eastAsia="仿宋" w:hAnsi="仿宋" w:hint="eastAsia"/>
          <w:sz w:val="28"/>
          <w:lang w:eastAsia="zh-CN"/>
        </w:rPr>
        <w:t>ABCWM-HTYTJXGY</w:t>
      </w:r>
      <w:r w:rsidR="00FB03DC" w:rsidRPr="00FB03DC">
        <w:rPr>
          <w:rFonts w:ascii="仿宋" w:eastAsia="仿宋" w:hAnsi="仿宋"/>
          <w:sz w:val="28"/>
          <w:lang w:eastAsia="zh-CN"/>
        </w:rPr>
        <w:t>0</w:t>
      </w:r>
      <w:r w:rsidR="00443F9C">
        <w:rPr>
          <w:rFonts w:ascii="仿宋" w:eastAsia="仿宋" w:hAnsi="仿宋"/>
          <w:sz w:val="28"/>
          <w:lang w:eastAsia="zh-CN"/>
        </w:rPr>
        <w:t>6</w:t>
      </w:r>
      <w:r w:rsidR="00FB03DC" w:rsidRPr="00FB03DC">
        <w:rPr>
          <w:rFonts w:ascii="仿宋" w:eastAsia="仿宋" w:hAnsi="仿宋" w:hint="eastAsia"/>
          <w:sz w:val="28"/>
          <w:lang w:eastAsia="zh-CN"/>
        </w:rPr>
        <w:t>-</w:t>
      </w:r>
      <w:r w:rsidRPr="00FB03DC">
        <w:rPr>
          <w:rFonts w:ascii="仿宋" w:eastAsia="仿宋" w:hAnsi="仿宋" w:hint="eastAsia"/>
          <w:sz w:val="28"/>
          <w:lang w:eastAsia="zh-CN"/>
        </w:rPr>
        <w:t>YY-2025-001</w:t>
      </w:r>
    </w:p>
    <w:p w14:paraId="3178605A" w14:textId="77777777" w:rsidR="000F7132" w:rsidRPr="00FB03DC" w:rsidRDefault="000F7132" w:rsidP="00FB03DC">
      <w:pPr>
        <w:tabs>
          <w:tab w:val="left" w:pos="525"/>
          <w:tab w:val="left" w:pos="1050"/>
          <w:tab w:val="left" w:pos="1575"/>
        </w:tabs>
        <w:spacing w:line="360" w:lineRule="auto"/>
        <w:jc w:val="center"/>
        <w:rPr>
          <w:rFonts w:ascii="仿宋" w:eastAsia="仿宋" w:hAnsi="仿宋"/>
          <w:bCs/>
          <w:sz w:val="28"/>
          <w:szCs w:val="48"/>
          <w:lang w:eastAsia="zh-CN"/>
        </w:rPr>
      </w:pPr>
      <w:r w:rsidRPr="00FB03DC">
        <w:rPr>
          <w:rFonts w:ascii="仿宋" w:eastAsia="仿宋" w:hAnsi="仿宋" w:hint="eastAsia"/>
          <w:lang w:eastAsia="zh-CN"/>
        </w:rPr>
        <w:t>托管人合同编号：</w:t>
      </w:r>
      <w:r w:rsidRPr="00FB03DC">
        <w:rPr>
          <w:rFonts w:ascii="仿宋" w:eastAsia="仿宋" w:hAnsi="仿宋" w:hint="eastAsia"/>
          <w:bCs/>
          <w:szCs w:val="48"/>
          <w:lang w:eastAsia="zh-CN"/>
        </w:rPr>
        <w:t>北京</w:t>
      </w:r>
      <w:r w:rsidRPr="00FB03DC">
        <w:rPr>
          <w:rFonts w:ascii="仿宋" w:eastAsia="仿宋" w:hAnsi="仿宋"/>
          <w:bCs/>
          <w:szCs w:val="48"/>
          <w:lang w:eastAsia="zh-CN"/>
        </w:rPr>
        <w:t>-QSJH2025091</w:t>
      </w:r>
    </w:p>
    <w:p w14:paraId="78634B91" w14:textId="2D1E5C51" w:rsidR="00F31CD2" w:rsidRPr="00FB03DC" w:rsidRDefault="00F31CD2">
      <w:pPr>
        <w:pStyle w:val="14"/>
        <w:rPr>
          <w:rFonts w:ascii="仿宋" w:eastAsia="仿宋" w:hAnsi="仿宋"/>
          <w:lang w:eastAsia="zh-CN"/>
        </w:rPr>
      </w:pPr>
    </w:p>
    <w:p w14:paraId="1456EF51" w14:textId="77777777" w:rsidR="00F31CD2" w:rsidRPr="00FB03DC" w:rsidRDefault="00F31CD2">
      <w:pPr>
        <w:rPr>
          <w:rFonts w:ascii="仿宋" w:eastAsia="仿宋" w:hAnsi="仿宋"/>
          <w:lang w:eastAsia="zh-CN"/>
        </w:rPr>
      </w:pPr>
    </w:p>
    <w:p w14:paraId="6627B0CB" w14:textId="77777777" w:rsidR="00F31CD2" w:rsidRPr="00FB03DC" w:rsidRDefault="00F31CD2">
      <w:pPr>
        <w:rPr>
          <w:rFonts w:ascii="仿宋" w:eastAsia="仿宋" w:hAnsi="仿宋"/>
          <w:lang w:eastAsia="zh-CN"/>
        </w:rPr>
      </w:pPr>
    </w:p>
    <w:p w14:paraId="1BB648B2" w14:textId="77777777" w:rsidR="00F31CD2" w:rsidRPr="00FB03DC" w:rsidRDefault="00F31CD2">
      <w:pPr>
        <w:rPr>
          <w:rFonts w:ascii="仿宋" w:eastAsia="仿宋" w:hAnsi="仿宋"/>
          <w:lang w:eastAsia="zh-CN"/>
        </w:rPr>
      </w:pPr>
    </w:p>
    <w:p w14:paraId="3B0F8C30" w14:textId="77777777" w:rsidR="00F31CD2" w:rsidRPr="00FB03DC" w:rsidRDefault="00F31CD2">
      <w:pPr>
        <w:rPr>
          <w:rFonts w:ascii="仿宋" w:eastAsia="仿宋" w:hAnsi="仿宋"/>
          <w:lang w:eastAsia="zh-CN"/>
        </w:rPr>
      </w:pPr>
    </w:p>
    <w:p w14:paraId="5E81D7C4" w14:textId="77777777" w:rsidR="00F31CD2" w:rsidRPr="00FB03DC" w:rsidRDefault="00F31CD2">
      <w:pPr>
        <w:rPr>
          <w:rFonts w:ascii="仿宋" w:eastAsia="仿宋" w:hAnsi="仿宋"/>
          <w:lang w:eastAsia="zh-CN"/>
        </w:rPr>
      </w:pPr>
    </w:p>
    <w:p w14:paraId="363F5B3C" w14:textId="77777777" w:rsidR="00F31CD2" w:rsidRPr="00FB03DC" w:rsidRDefault="00F31CD2">
      <w:pPr>
        <w:rPr>
          <w:rFonts w:ascii="仿宋" w:eastAsia="仿宋" w:hAnsi="仿宋"/>
          <w:lang w:eastAsia="zh-CN"/>
        </w:rPr>
      </w:pPr>
    </w:p>
    <w:p w14:paraId="379BEF41" w14:textId="77777777" w:rsidR="00F31CD2" w:rsidRPr="00FB03DC" w:rsidRDefault="00A71D56">
      <w:pPr>
        <w:spacing w:before="312"/>
        <w:jc w:val="center"/>
        <w:rPr>
          <w:rFonts w:ascii="仿宋" w:eastAsia="仿宋" w:hAnsi="仿宋"/>
          <w:b/>
          <w:sz w:val="28"/>
          <w:szCs w:val="28"/>
          <w:lang w:eastAsia="zh-CN"/>
        </w:rPr>
      </w:pPr>
      <w:r w:rsidRPr="00FB03DC">
        <w:rPr>
          <w:rFonts w:ascii="仿宋" w:eastAsia="仿宋" w:hAnsi="仿宋"/>
          <w:b/>
          <w:sz w:val="28"/>
          <w:szCs w:val="28"/>
          <w:lang w:eastAsia="zh-CN"/>
        </w:rPr>
        <w:t>管理人：华泰证券（上海）资产管理有限公司</w:t>
      </w:r>
    </w:p>
    <w:p w14:paraId="74365E03" w14:textId="2758916E" w:rsidR="00F31CD2" w:rsidRPr="00FB03DC" w:rsidRDefault="00A71D56">
      <w:pPr>
        <w:spacing w:before="312"/>
        <w:jc w:val="center"/>
        <w:rPr>
          <w:rFonts w:ascii="仿宋" w:eastAsia="仿宋" w:hAnsi="仿宋"/>
          <w:b/>
          <w:sz w:val="28"/>
          <w:szCs w:val="28"/>
          <w:lang w:eastAsia="zh-CN"/>
        </w:rPr>
      </w:pPr>
      <w:r w:rsidRPr="00FB03DC">
        <w:rPr>
          <w:rFonts w:ascii="仿宋" w:eastAsia="仿宋" w:hAnsi="仿宋"/>
          <w:b/>
          <w:sz w:val="28"/>
          <w:szCs w:val="28"/>
          <w:lang w:eastAsia="zh-CN"/>
        </w:rPr>
        <w:t>托管人：中国银行股份有限公司北京市分行</w:t>
      </w:r>
    </w:p>
    <w:p w14:paraId="64C18B47" w14:textId="77777777" w:rsidR="00F31CD2" w:rsidRPr="00FB03DC" w:rsidRDefault="00F31CD2">
      <w:pPr>
        <w:pStyle w:val="14"/>
        <w:jc w:val="both"/>
        <w:rPr>
          <w:rFonts w:ascii="仿宋" w:eastAsia="仿宋" w:hAnsi="仿宋"/>
          <w:lang w:eastAsia="zh-CN"/>
        </w:rPr>
      </w:pPr>
    </w:p>
    <w:p w14:paraId="70091C19" w14:textId="77777777" w:rsidR="00F31CD2" w:rsidRPr="00FB03DC" w:rsidRDefault="00A71D56">
      <w:pPr>
        <w:spacing w:line="360" w:lineRule="auto"/>
        <w:jc w:val="center"/>
        <w:rPr>
          <w:rFonts w:ascii="仿宋" w:eastAsia="仿宋" w:hAnsi="仿宋"/>
          <w:b/>
          <w:sz w:val="28"/>
          <w:szCs w:val="28"/>
        </w:rPr>
      </w:pPr>
      <w:r w:rsidRPr="00FB03DC">
        <w:rPr>
          <w:rFonts w:ascii="仿宋" w:eastAsia="仿宋" w:hAnsi="仿宋"/>
          <w:b/>
          <w:sz w:val="28"/>
          <w:szCs w:val="28"/>
        </w:rPr>
        <w:t>二Ｏ二五年  月</w:t>
      </w:r>
    </w:p>
    <w:p w14:paraId="2887EE35" w14:textId="77777777" w:rsidR="00F31CD2" w:rsidRPr="00FB03DC" w:rsidRDefault="00F31CD2">
      <w:pPr>
        <w:rPr>
          <w:rFonts w:ascii="仿宋" w:eastAsia="仿宋" w:hAnsi="仿宋"/>
          <w:b/>
          <w:sz w:val="36"/>
        </w:rPr>
      </w:pPr>
    </w:p>
    <w:p w14:paraId="01CA3C4D" w14:textId="77777777" w:rsidR="00F31CD2" w:rsidRPr="00FB03DC" w:rsidRDefault="00A71D56">
      <w:pPr>
        <w:spacing w:line="360" w:lineRule="auto"/>
        <w:jc w:val="center"/>
        <w:rPr>
          <w:rFonts w:ascii="仿宋" w:eastAsia="仿宋" w:hAnsi="仿宋"/>
        </w:rPr>
      </w:pPr>
      <w:r w:rsidRPr="00FB03DC">
        <w:rPr>
          <w:rFonts w:ascii="仿宋" w:eastAsia="仿宋" w:hAnsi="仿宋"/>
          <w:sz w:val="36"/>
        </w:rPr>
        <w:lastRenderedPageBreak/>
        <w:t>目    录</w:t>
      </w:r>
    </w:p>
    <w:p w14:paraId="46780FAB" w14:textId="77777777" w:rsidR="00F31CD2" w:rsidRPr="00FB03DC" w:rsidRDefault="00A71D56">
      <w:pPr>
        <w:pStyle w:val="26"/>
        <w:tabs>
          <w:tab w:val="right" w:leader="dot" w:pos="8296"/>
        </w:tabs>
        <w:spacing w:line="240" w:lineRule="atLeast"/>
        <w:rPr>
          <w:rFonts w:ascii="仿宋" w:eastAsia="仿宋" w:hAnsi="仿宋"/>
          <w:smallCaps w:val="0"/>
          <w:sz w:val="21"/>
          <w:szCs w:val="22"/>
          <w:lang w:eastAsia="zh-CN"/>
        </w:rPr>
      </w:pPr>
      <w:r w:rsidRPr="00FB03DC">
        <w:rPr>
          <w:rFonts w:ascii="仿宋" w:eastAsia="仿宋" w:hAnsi="仿宋"/>
          <w:smallCaps w:val="0"/>
        </w:rPr>
        <w:fldChar w:fldCharType="begin"/>
      </w:r>
      <w:r w:rsidRPr="00FB03DC">
        <w:rPr>
          <w:rFonts w:ascii="仿宋" w:eastAsia="仿宋" w:hAnsi="仿宋"/>
          <w:smallCaps w:val="0"/>
        </w:rPr>
        <w:instrText xml:space="preserve"> TOC \o "1-2" \h \z \u </w:instrText>
      </w:r>
      <w:r w:rsidRPr="00FB03DC">
        <w:rPr>
          <w:rFonts w:ascii="仿宋" w:eastAsia="仿宋" w:hAnsi="仿宋"/>
          <w:smallCaps w:val="0"/>
        </w:rPr>
        <w:fldChar w:fldCharType="separate"/>
      </w:r>
      <w:hyperlink w:anchor="_Toc198731910" w:tooltip="Current Document" w:history="1">
        <w:r w:rsidRPr="00FB03DC">
          <w:rPr>
            <w:rStyle w:val="aff8"/>
            <w:rFonts w:ascii="仿宋" w:eastAsia="仿宋" w:hAnsi="仿宋"/>
            <w:bCs/>
            <w:lang w:eastAsia="zh-CN"/>
          </w:rPr>
          <w:t>一、前言</w:t>
        </w:r>
        <w:r w:rsidRPr="00FB03DC">
          <w:rPr>
            <w:rFonts w:ascii="仿宋" w:eastAsia="仿宋" w:hAnsi="仿宋"/>
          </w:rPr>
          <w:tab/>
        </w:r>
        <w:r w:rsidRPr="00FB03DC">
          <w:rPr>
            <w:rFonts w:ascii="仿宋" w:eastAsia="仿宋" w:hAnsi="仿宋"/>
          </w:rPr>
          <w:fldChar w:fldCharType="begin"/>
        </w:r>
        <w:r w:rsidRPr="00FB03DC">
          <w:rPr>
            <w:rFonts w:ascii="仿宋" w:eastAsia="仿宋" w:hAnsi="仿宋"/>
          </w:rPr>
          <w:instrText xml:space="preserve"> PAGEREF _Toc198731910 \h </w:instrText>
        </w:r>
        <w:r w:rsidRPr="00FB03DC">
          <w:rPr>
            <w:rFonts w:ascii="仿宋" w:eastAsia="仿宋" w:hAnsi="仿宋"/>
          </w:rPr>
        </w:r>
        <w:r w:rsidRPr="00FB03DC">
          <w:rPr>
            <w:rFonts w:ascii="仿宋" w:eastAsia="仿宋" w:hAnsi="仿宋"/>
          </w:rPr>
          <w:fldChar w:fldCharType="separate"/>
        </w:r>
        <w:r w:rsidRPr="00FB03DC">
          <w:rPr>
            <w:rFonts w:ascii="仿宋" w:eastAsia="仿宋" w:hAnsi="仿宋"/>
          </w:rPr>
          <w:t>6</w:t>
        </w:r>
        <w:r w:rsidRPr="00FB03DC">
          <w:rPr>
            <w:rFonts w:ascii="仿宋" w:eastAsia="仿宋" w:hAnsi="仿宋"/>
          </w:rPr>
          <w:fldChar w:fldCharType="end"/>
        </w:r>
      </w:hyperlink>
    </w:p>
    <w:p w14:paraId="06FDE7B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11" w:tooltip="Current Document" w:history="1">
        <w:r w:rsidR="00A71D56" w:rsidRPr="00FB03DC">
          <w:rPr>
            <w:rStyle w:val="aff8"/>
            <w:rFonts w:ascii="仿宋" w:eastAsia="仿宋" w:hAnsi="仿宋"/>
            <w:bCs/>
            <w:lang w:eastAsia="zh-CN"/>
          </w:rPr>
          <w:t>二、释义</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_Toc198731911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7</w:t>
        </w:r>
        <w:r w:rsidR="00A71D56" w:rsidRPr="00FB03DC">
          <w:rPr>
            <w:rFonts w:ascii="仿宋" w:eastAsia="仿宋" w:hAnsi="仿宋"/>
          </w:rPr>
          <w:fldChar w:fldCharType="end"/>
        </w:r>
      </w:hyperlink>
    </w:p>
    <w:p w14:paraId="55AF4B18"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12" w:tooltip="Current Document" w:history="1">
        <w:r w:rsidR="00A71D56" w:rsidRPr="00FB03DC">
          <w:rPr>
            <w:rStyle w:val="aff8"/>
            <w:rFonts w:ascii="仿宋" w:eastAsia="仿宋" w:hAnsi="仿宋"/>
            <w:bCs/>
            <w:lang w:eastAsia="zh-CN"/>
          </w:rPr>
          <w:t>三、承诺与声明</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_Toc198731912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11</w:t>
        </w:r>
        <w:r w:rsidR="00A71D56" w:rsidRPr="00FB03DC">
          <w:rPr>
            <w:rFonts w:ascii="仿宋" w:eastAsia="仿宋" w:hAnsi="仿宋"/>
          </w:rPr>
          <w:fldChar w:fldCharType="end"/>
        </w:r>
      </w:hyperlink>
    </w:p>
    <w:p w14:paraId="40E0BBF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16" w:tooltip="Current Document" w:history="1">
        <w:r w:rsidR="00A71D56" w:rsidRPr="00FB03DC">
          <w:rPr>
            <w:rStyle w:val="aff8"/>
            <w:rFonts w:ascii="仿宋" w:eastAsia="仿宋" w:hAnsi="仿宋"/>
            <w:bCs/>
            <w:lang w:eastAsia="zh-CN"/>
          </w:rPr>
          <w:t>四、当事人及权利义务</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_Toc198731916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13</w:t>
        </w:r>
        <w:r w:rsidR="00A71D56" w:rsidRPr="00FB03DC">
          <w:rPr>
            <w:rFonts w:ascii="仿宋" w:eastAsia="仿宋" w:hAnsi="仿宋"/>
          </w:rPr>
          <w:fldChar w:fldCharType="end"/>
        </w:r>
      </w:hyperlink>
    </w:p>
    <w:p w14:paraId="08981AA6"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22" w:tooltip="Current Document" w:history="1">
        <w:r w:rsidR="00A71D56" w:rsidRPr="00FB03DC">
          <w:rPr>
            <w:rStyle w:val="aff8"/>
            <w:rFonts w:ascii="仿宋" w:eastAsia="仿宋" w:hAnsi="仿宋"/>
            <w:bCs/>
            <w:lang w:eastAsia="zh-CN"/>
          </w:rPr>
          <w:t>五、资产管理计划的基本情况</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_Toc198731922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20</w:t>
        </w:r>
        <w:r w:rsidR="00A71D56" w:rsidRPr="00FB03DC">
          <w:rPr>
            <w:rFonts w:ascii="仿宋" w:eastAsia="仿宋" w:hAnsi="仿宋"/>
          </w:rPr>
          <w:fldChar w:fldCharType="end"/>
        </w:r>
      </w:hyperlink>
    </w:p>
    <w:p w14:paraId="4E4307F4"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34" w:tooltip="Current Document" w:history="1">
        <w:r w:rsidR="00A71D56" w:rsidRPr="00FB03DC">
          <w:rPr>
            <w:rStyle w:val="aff8"/>
            <w:rFonts w:ascii="仿宋" w:eastAsia="仿宋" w:hAnsi="仿宋"/>
            <w:bCs/>
            <w:lang w:eastAsia="zh-CN"/>
          </w:rPr>
          <w:t>六、资产管理计划的募集</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_Toc198731934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23</w:t>
        </w:r>
        <w:r w:rsidR="00A71D56" w:rsidRPr="00FB03DC">
          <w:rPr>
            <w:rFonts w:ascii="仿宋" w:eastAsia="仿宋" w:hAnsi="仿宋"/>
          </w:rPr>
          <w:fldChar w:fldCharType="end"/>
        </w:r>
      </w:hyperlink>
    </w:p>
    <w:p w14:paraId="7C94F793"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37" w:tooltip="Current Document" w:history="1">
        <w:r w:rsidR="00A71D56" w:rsidRPr="00FB03DC">
          <w:rPr>
            <w:rStyle w:val="aff8"/>
            <w:rFonts w:ascii="仿宋" w:eastAsia="仿宋" w:hAnsi="仿宋"/>
            <w:bCs/>
            <w:lang w:eastAsia="zh-CN"/>
          </w:rPr>
          <w:t>七、资产管理计划的成立与备案</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_Toc198731937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26</w:t>
        </w:r>
        <w:r w:rsidR="00A71D56" w:rsidRPr="00FB03DC">
          <w:rPr>
            <w:rFonts w:ascii="仿宋" w:eastAsia="仿宋" w:hAnsi="仿宋"/>
          </w:rPr>
          <w:fldChar w:fldCharType="end"/>
        </w:r>
      </w:hyperlink>
    </w:p>
    <w:p w14:paraId="79EABDBB"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43" w:tooltip="Current Document" w:history="1">
        <w:r w:rsidR="00A71D56" w:rsidRPr="00FB03DC">
          <w:rPr>
            <w:rStyle w:val="aff8"/>
            <w:rFonts w:ascii="仿宋" w:eastAsia="仿宋" w:hAnsi="仿宋"/>
            <w:bCs/>
            <w:lang w:eastAsia="zh-CN"/>
          </w:rPr>
          <w:t>八、资产管理计划的参与、退出与转让</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_Toc198731943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27</w:t>
        </w:r>
        <w:r w:rsidR="00A71D56" w:rsidRPr="00FB03DC">
          <w:rPr>
            <w:rFonts w:ascii="仿宋" w:eastAsia="仿宋" w:hAnsi="仿宋"/>
          </w:rPr>
          <w:fldChar w:fldCharType="end"/>
        </w:r>
      </w:hyperlink>
    </w:p>
    <w:p w14:paraId="3D7DAE8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54" w:tooltip="Current Document" w:history="1">
        <w:r w:rsidR="00A71D56" w:rsidRPr="00FB03DC">
          <w:rPr>
            <w:rStyle w:val="aff8"/>
            <w:rFonts w:ascii="仿宋" w:eastAsia="仿宋" w:hAnsi="仿宋"/>
            <w:bCs/>
            <w:lang w:eastAsia="zh-CN"/>
          </w:rPr>
          <w:t>九、份额持有人大会及日常机构</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_Toc198731954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36</w:t>
        </w:r>
        <w:r w:rsidR="00A71D56" w:rsidRPr="00FB03DC">
          <w:rPr>
            <w:rFonts w:ascii="仿宋" w:eastAsia="仿宋" w:hAnsi="仿宋"/>
          </w:rPr>
          <w:fldChar w:fldCharType="end"/>
        </w:r>
      </w:hyperlink>
    </w:p>
    <w:p w14:paraId="199DA480"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55" w:tooltip="Current Document" w:history="1">
        <w:r w:rsidR="00A71D56" w:rsidRPr="00FB03DC">
          <w:rPr>
            <w:rStyle w:val="aff8"/>
            <w:rFonts w:ascii="仿宋" w:eastAsia="仿宋" w:hAnsi="仿宋"/>
            <w:bCs/>
            <w:lang w:eastAsia="zh-CN"/>
          </w:rPr>
          <w:t>十、资产管理计划份额的登记</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_Toc198731955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37</w:t>
        </w:r>
        <w:r w:rsidR="00A71D56" w:rsidRPr="00FB03DC">
          <w:rPr>
            <w:rFonts w:ascii="仿宋" w:eastAsia="仿宋" w:hAnsi="仿宋"/>
          </w:rPr>
          <w:fldChar w:fldCharType="end"/>
        </w:r>
      </w:hyperlink>
    </w:p>
    <w:p w14:paraId="4FBC771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61" w:tooltip="Current Document" w:history="1">
        <w:r w:rsidR="00A71D56" w:rsidRPr="00FB03DC">
          <w:rPr>
            <w:rStyle w:val="aff8"/>
            <w:rFonts w:ascii="仿宋" w:eastAsia="仿宋" w:hAnsi="仿宋"/>
            <w:bCs/>
            <w:lang w:eastAsia="zh-CN"/>
          </w:rPr>
          <w:t>十一、资产管理计划的投资</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_Toc198731961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39</w:t>
        </w:r>
        <w:r w:rsidR="00A71D56" w:rsidRPr="00FB03DC">
          <w:rPr>
            <w:rFonts w:ascii="仿宋" w:eastAsia="仿宋" w:hAnsi="仿宋"/>
          </w:rPr>
          <w:fldChar w:fldCharType="end"/>
        </w:r>
      </w:hyperlink>
    </w:p>
    <w:p w14:paraId="0C31E78E"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73" w:tooltip="Current Document" w:history="1">
        <w:r w:rsidR="00A71D56" w:rsidRPr="00FB03DC">
          <w:rPr>
            <w:rStyle w:val="aff8"/>
            <w:rFonts w:ascii="仿宋" w:eastAsia="仿宋" w:hAnsi="仿宋"/>
            <w:bCs/>
            <w:lang w:eastAsia="zh-CN"/>
          </w:rPr>
          <w:t>十二、服务机构及投资顾问</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_Toc198731973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43</w:t>
        </w:r>
        <w:r w:rsidR="00A71D56" w:rsidRPr="00FB03DC">
          <w:rPr>
            <w:rFonts w:ascii="仿宋" w:eastAsia="仿宋" w:hAnsi="仿宋"/>
          </w:rPr>
          <w:fldChar w:fldCharType="end"/>
        </w:r>
      </w:hyperlink>
    </w:p>
    <w:p w14:paraId="718CF485"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74" w:tooltip="Current Document" w:history="1">
        <w:r w:rsidR="00A71D56" w:rsidRPr="00FB03DC">
          <w:rPr>
            <w:rStyle w:val="aff8"/>
            <w:rFonts w:ascii="仿宋" w:eastAsia="仿宋" w:hAnsi="仿宋"/>
            <w:bCs/>
            <w:lang w:eastAsia="zh-CN"/>
          </w:rPr>
          <w:t>十三、分级安排</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_Toc198731974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44</w:t>
        </w:r>
        <w:r w:rsidR="00A71D56" w:rsidRPr="00FB03DC">
          <w:rPr>
            <w:rFonts w:ascii="仿宋" w:eastAsia="仿宋" w:hAnsi="仿宋"/>
          </w:rPr>
          <w:fldChar w:fldCharType="end"/>
        </w:r>
      </w:hyperlink>
    </w:p>
    <w:p w14:paraId="478D8C86"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75" w:tooltip="Current Document" w:history="1">
        <w:r w:rsidR="00A71D56" w:rsidRPr="00FB03DC">
          <w:rPr>
            <w:rStyle w:val="aff8"/>
            <w:rFonts w:ascii="仿宋" w:eastAsia="仿宋" w:hAnsi="仿宋"/>
            <w:bCs/>
            <w:lang w:eastAsia="zh-CN"/>
          </w:rPr>
          <w:t>十四、利益冲突及关联交易</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_Toc198731975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45</w:t>
        </w:r>
        <w:r w:rsidR="00A71D56" w:rsidRPr="00FB03DC">
          <w:rPr>
            <w:rFonts w:ascii="仿宋" w:eastAsia="仿宋" w:hAnsi="仿宋"/>
          </w:rPr>
          <w:fldChar w:fldCharType="end"/>
        </w:r>
      </w:hyperlink>
    </w:p>
    <w:p w14:paraId="1C54D46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79" w:tooltip="Current Document" w:history="1">
        <w:r w:rsidR="00A71D56" w:rsidRPr="00FB03DC">
          <w:rPr>
            <w:rStyle w:val="aff8"/>
            <w:rFonts w:ascii="仿宋" w:eastAsia="仿宋" w:hAnsi="仿宋"/>
            <w:bCs/>
            <w:lang w:eastAsia="zh-CN"/>
          </w:rPr>
          <w:t>十五、投资经理的指定与变更</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_Toc198731979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48</w:t>
        </w:r>
        <w:r w:rsidR="00A71D56" w:rsidRPr="00FB03DC">
          <w:rPr>
            <w:rFonts w:ascii="仿宋" w:eastAsia="仿宋" w:hAnsi="仿宋"/>
          </w:rPr>
          <w:fldChar w:fldCharType="end"/>
        </w:r>
      </w:hyperlink>
    </w:p>
    <w:p w14:paraId="7D6590EA"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80" w:tooltip="Current Document" w:history="1">
        <w:r w:rsidR="00A71D56" w:rsidRPr="00FB03DC">
          <w:rPr>
            <w:rStyle w:val="aff8"/>
            <w:rFonts w:ascii="仿宋" w:eastAsia="仿宋" w:hAnsi="仿宋"/>
            <w:bCs/>
            <w:lang w:eastAsia="zh-CN"/>
          </w:rPr>
          <w:t>十六、资产管理计划的财产</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_Toc198731980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49</w:t>
        </w:r>
        <w:r w:rsidR="00A71D56" w:rsidRPr="00FB03DC">
          <w:rPr>
            <w:rFonts w:ascii="仿宋" w:eastAsia="仿宋" w:hAnsi="仿宋"/>
          </w:rPr>
          <w:fldChar w:fldCharType="end"/>
        </w:r>
      </w:hyperlink>
    </w:p>
    <w:p w14:paraId="3C7559DE"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83" w:tooltip="Current Document" w:history="1">
        <w:r w:rsidR="00A71D56" w:rsidRPr="00FB03DC">
          <w:rPr>
            <w:rStyle w:val="aff8"/>
            <w:rFonts w:ascii="仿宋" w:eastAsia="仿宋" w:hAnsi="仿宋"/>
            <w:bCs/>
            <w:lang w:eastAsia="zh-CN"/>
          </w:rPr>
          <w:t>十七、投资指令的发送、确认和执行</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_Toc198731983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52</w:t>
        </w:r>
        <w:r w:rsidR="00A71D56" w:rsidRPr="00FB03DC">
          <w:rPr>
            <w:rFonts w:ascii="仿宋" w:eastAsia="仿宋" w:hAnsi="仿宋"/>
          </w:rPr>
          <w:fldChar w:fldCharType="end"/>
        </w:r>
      </w:hyperlink>
    </w:p>
    <w:p w14:paraId="7D05730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93" w:tooltip="Current Document" w:history="1">
        <w:r w:rsidR="00A71D56" w:rsidRPr="00FB03DC">
          <w:rPr>
            <w:rStyle w:val="aff8"/>
            <w:rFonts w:ascii="仿宋" w:eastAsia="仿宋" w:hAnsi="仿宋"/>
            <w:bCs/>
          </w:rPr>
          <w:t>十八、交易及交收清算安排</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_Toc198731993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59</w:t>
        </w:r>
        <w:r w:rsidR="00A71D56" w:rsidRPr="00FB03DC">
          <w:rPr>
            <w:rFonts w:ascii="仿宋" w:eastAsia="仿宋" w:hAnsi="仿宋"/>
          </w:rPr>
          <w:fldChar w:fldCharType="end"/>
        </w:r>
      </w:hyperlink>
    </w:p>
    <w:p w14:paraId="551B14DB"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94" w:tooltip="Current Document" w:history="1">
        <w:r w:rsidR="00A71D56" w:rsidRPr="00FB03DC">
          <w:rPr>
            <w:rStyle w:val="aff8"/>
            <w:rFonts w:ascii="仿宋" w:eastAsia="仿宋" w:hAnsi="仿宋"/>
            <w:bCs/>
            <w:lang w:eastAsia="zh-CN"/>
          </w:rPr>
          <w:t>十九、越权交易</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_Toc198731994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62</w:t>
        </w:r>
        <w:r w:rsidR="00A71D56" w:rsidRPr="00FB03DC">
          <w:rPr>
            <w:rFonts w:ascii="仿宋" w:eastAsia="仿宋" w:hAnsi="仿宋"/>
          </w:rPr>
          <w:fldChar w:fldCharType="end"/>
        </w:r>
      </w:hyperlink>
    </w:p>
    <w:p w14:paraId="0AFC07AE"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1998" w:tooltip="Current Document" w:history="1">
        <w:r w:rsidR="00A71D56" w:rsidRPr="00FB03DC">
          <w:rPr>
            <w:rStyle w:val="aff8"/>
            <w:rFonts w:ascii="仿宋" w:eastAsia="仿宋" w:hAnsi="仿宋"/>
            <w:bCs/>
            <w:lang w:eastAsia="zh-CN"/>
          </w:rPr>
          <w:t>二十、资产管理计划财产的估值和会计核算</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_Toc198731998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64</w:t>
        </w:r>
        <w:r w:rsidR="00A71D56" w:rsidRPr="00FB03DC">
          <w:rPr>
            <w:rFonts w:ascii="仿宋" w:eastAsia="仿宋" w:hAnsi="仿宋"/>
          </w:rPr>
          <w:fldChar w:fldCharType="end"/>
        </w:r>
      </w:hyperlink>
    </w:p>
    <w:p w14:paraId="01BF43D4" w14:textId="77777777" w:rsidR="00F31CD2" w:rsidRPr="00FB03DC" w:rsidRDefault="00374BD4">
      <w:pPr>
        <w:pStyle w:val="14"/>
        <w:tabs>
          <w:tab w:val="right" w:leader="dot" w:pos="8296"/>
        </w:tabs>
        <w:spacing w:before="0" w:after="0" w:line="240" w:lineRule="atLeast"/>
        <w:ind w:left="210"/>
        <w:rPr>
          <w:rFonts w:ascii="仿宋" w:eastAsia="仿宋" w:hAnsi="仿宋"/>
          <w:b w:val="0"/>
          <w:bCs w:val="0"/>
          <w:caps w:val="0"/>
          <w:sz w:val="21"/>
          <w:szCs w:val="22"/>
          <w:lang w:eastAsia="zh-CN"/>
        </w:rPr>
      </w:pPr>
      <w:hyperlink w:anchor="_Toc198732001" w:tooltip="Current Document" w:history="1">
        <w:r w:rsidR="00A71D56" w:rsidRPr="00FB03DC">
          <w:rPr>
            <w:rStyle w:val="aff8"/>
            <w:rFonts w:ascii="仿宋" w:eastAsia="仿宋" w:hAnsi="仿宋"/>
            <w:b w:val="0"/>
            <w:lang w:eastAsia="zh-CN"/>
          </w:rPr>
          <w:t>二十一、资产管理计划的费用与税收</w:t>
        </w:r>
        <w:r w:rsidR="00A71D56" w:rsidRPr="00FB03DC">
          <w:rPr>
            <w:rFonts w:ascii="仿宋" w:eastAsia="仿宋" w:hAnsi="仿宋"/>
            <w:b w:val="0"/>
          </w:rPr>
          <w:tab/>
        </w:r>
        <w:r w:rsidR="00A71D56" w:rsidRPr="00FB03DC">
          <w:rPr>
            <w:rFonts w:ascii="仿宋" w:eastAsia="仿宋" w:hAnsi="仿宋"/>
            <w:b w:val="0"/>
          </w:rPr>
          <w:fldChar w:fldCharType="begin"/>
        </w:r>
        <w:r w:rsidR="00A71D56" w:rsidRPr="00FB03DC">
          <w:rPr>
            <w:rFonts w:ascii="仿宋" w:eastAsia="仿宋" w:hAnsi="仿宋"/>
            <w:b w:val="0"/>
          </w:rPr>
          <w:instrText xml:space="preserve"> PAGEREF _Toc198732001 \h </w:instrText>
        </w:r>
        <w:r w:rsidR="00A71D56" w:rsidRPr="00FB03DC">
          <w:rPr>
            <w:rFonts w:ascii="仿宋" w:eastAsia="仿宋" w:hAnsi="仿宋"/>
            <w:b w:val="0"/>
          </w:rPr>
        </w:r>
        <w:r w:rsidR="00A71D56" w:rsidRPr="00FB03DC">
          <w:rPr>
            <w:rFonts w:ascii="仿宋" w:eastAsia="仿宋" w:hAnsi="仿宋"/>
            <w:b w:val="0"/>
          </w:rPr>
          <w:fldChar w:fldCharType="separate"/>
        </w:r>
        <w:r w:rsidR="00A71D56" w:rsidRPr="00FB03DC">
          <w:rPr>
            <w:rFonts w:ascii="仿宋" w:eastAsia="仿宋" w:hAnsi="仿宋"/>
            <w:b w:val="0"/>
          </w:rPr>
          <w:t>69</w:t>
        </w:r>
        <w:r w:rsidR="00A71D56" w:rsidRPr="00FB03DC">
          <w:rPr>
            <w:rFonts w:ascii="仿宋" w:eastAsia="仿宋" w:hAnsi="仿宋"/>
            <w:b w:val="0"/>
          </w:rPr>
          <w:fldChar w:fldCharType="end"/>
        </w:r>
      </w:hyperlink>
    </w:p>
    <w:p w14:paraId="2199D689"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06" w:tooltip="Current Document" w:history="1">
        <w:r w:rsidR="00A71D56" w:rsidRPr="00FB03DC">
          <w:rPr>
            <w:rStyle w:val="aff8"/>
            <w:rFonts w:ascii="仿宋" w:eastAsia="仿宋" w:hAnsi="仿宋"/>
            <w:bCs/>
            <w:lang w:eastAsia="zh-CN"/>
          </w:rPr>
          <w:t>二十二、资产管理计划的收益分配</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_Toc198732006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72</w:t>
        </w:r>
        <w:r w:rsidR="00A71D56" w:rsidRPr="00FB03DC">
          <w:rPr>
            <w:rFonts w:ascii="仿宋" w:eastAsia="仿宋" w:hAnsi="仿宋"/>
          </w:rPr>
          <w:fldChar w:fldCharType="end"/>
        </w:r>
      </w:hyperlink>
    </w:p>
    <w:p w14:paraId="25C81A4B"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11" w:tooltip="Current Document" w:history="1">
        <w:r w:rsidR="00A71D56" w:rsidRPr="00FB03DC">
          <w:rPr>
            <w:rStyle w:val="aff8"/>
            <w:rFonts w:ascii="仿宋" w:eastAsia="仿宋" w:hAnsi="仿宋"/>
            <w:bCs/>
            <w:lang w:eastAsia="zh-CN"/>
          </w:rPr>
          <w:t>二十三、信息披露与报告</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_Toc198732011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74</w:t>
        </w:r>
        <w:r w:rsidR="00A71D56" w:rsidRPr="00FB03DC">
          <w:rPr>
            <w:rFonts w:ascii="仿宋" w:eastAsia="仿宋" w:hAnsi="仿宋"/>
          </w:rPr>
          <w:fldChar w:fldCharType="end"/>
        </w:r>
      </w:hyperlink>
    </w:p>
    <w:p w14:paraId="08A57588"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12" w:tooltip="Current Document" w:history="1">
        <w:r w:rsidR="00A71D56" w:rsidRPr="00FB03DC">
          <w:rPr>
            <w:rStyle w:val="aff8"/>
            <w:rFonts w:ascii="仿宋" w:eastAsia="仿宋" w:hAnsi="仿宋"/>
            <w:bCs/>
            <w:lang w:eastAsia="zh-CN"/>
          </w:rPr>
          <w:t>二十四、风险揭示</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_Toc198732012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77</w:t>
        </w:r>
        <w:r w:rsidR="00A71D56" w:rsidRPr="00FB03DC">
          <w:rPr>
            <w:rFonts w:ascii="仿宋" w:eastAsia="仿宋" w:hAnsi="仿宋"/>
          </w:rPr>
          <w:fldChar w:fldCharType="end"/>
        </w:r>
      </w:hyperlink>
    </w:p>
    <w:p w14:paraId="4E9AA46B"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15" w:tooltip="Current Document" w:history="1">
        <w:r w:rsidR="00A71D56" w:rsidRPr="00FB03DC">
          <w:rPr>
            <w:rStyle w:val="aff8"/>
            <w:rFonts w:ascii="仿宋" w:eastAsia="仿宋" w:hAnsi="仿宋"/>
            <w:bCs/>
            <w:lang w:eastAsia="zh-CN"/>
          </w:rPr>
          <w:t>二十五、资产管理合同的变更、终止与财产清算</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_Toc198732015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86</w:t>
        </w:r>
        <w:r w:rsidR="00A71D56" w:rsidRPr="00FB03DC">
          <w:rPr>
            <w:rFonts w:ascii="仿宋" w:eastAsia="仿宋" w:hAnsi="仿宋"/>
          </w:rPr>
          <w:fldChar w:fldCharType="end"/>
        </w:r>
      </w:hyperlink>
    </w:p>
    <w:p w14:paraId="1DA277B0"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21" w:tooltip="Current Document" w:history="1">
        <w:r w:rsidR="00A71D56" w:rsidRPr="00FB03DC">
          <w:rPr>
            <w:rStyle w:val="aff8"/>
            <w:rFonts w:ascii="仿宋" w:eastAsia="仿宋" w:hAnsi="仿宋"/>
            <w:bCs/>
            <w:lang w:eastAsia="zh-CN"/>
          </w:rPr>
          <w:t>二十六、违约责任</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_Toc198732021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93</w:t>
        </w:r>
        <w:r w:rsidR="00A71D56" w:rsidRPr="00FB03DC">
          <w:rPr>
            <w:rFonts w:ascii="仿宋" w:eastAsia="仿宋" w:hAnsi="仿宋"/>
          </w:rPr>
          <w:fldChar w:fldCharType="end"/>
        </w:r>
      </w:hyperlink>
    </w:p>
    <w:p w14:paraId="7CD6541B"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22" w:tooltip="Current Document" w:history="1">
        <w:r w:rsidR="00A71D56" w:rsidRPr="00FB03DC">
          <w:rPr>
            <w:rStyle w:val="aff8"/>
            <w:rFonts w:ascii="仿宋" w:eastAsia="仿宋" w:hAnsi="仿宋"/>
            <w:bCs/>
            <w:lang w:eastAsia="zh-CN"/>
          </w:rPr>
          <w:t>二十七、争议的处理</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_Toc198732022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95</w:t>
        </w:r>
        <w:r w:rsidR="00A71D56" w:rsidRPr="00FB03DC">
          <w:rPr>
            <w:rFonts w:ascii="仿宋" w:eastAsia="仿宋" w:hAnsi="仿宋"/>
          </w:rPr>
          <w:fldChar w:fldCharType="end"/>
        </w:r>
      </w:hyperlink>
    </w:p>
    <w:p w14:paraId="4565805A"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23" w:tooltip="Current Document" w:history="1">
        <w:r w:rsidR="00A71D56" w:rsidRPr="00FB03DC">
          <w:rPr>
            <w:rStyle w:val="aff8"/>
            <w:rFonts w:ascii="仿宋" w:eastAsia="仿宋" w:hAnsi="仿宋"/>
            <w:bCs/>
            <w:lang w:eastAsia="zh-CN"/>
          </w:rPr>
          <w:t>二十八、资产管理合同的效力</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_Toc198732023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96</w:t>
        </w:r>
        <w:r w:rsidR="00A71D56" w:rsidRPr="00FB03DC">
          <w:rPr>
            <w:rFonts w:ascii="仿宋" w:eastAsia="仿宋" w:hAnsi="仿宋"/>
          </w:rPr>
          <w:fldChar w:fldCharType="end"/>
        </w:r>
      </w:hyperlink>
    </w:p>
    <w:p w14:paraId="61F9CFF0" w14:textId="77777777" w:rsidR="00F31CD2" w:rsidRPr="00FB03DC" w:rsidRDefault="00374BD4">
      <w:pPr>
        <w:pStyle w:val="26"/>
        <w:tabs>
          <w:tab w:val="right" w:leader="dot" w:pos="8296"/>
        </w:tabs>
        <w:spacing w:line="240" w:lineRule="atLeast"/>
        <w:rPr>
          <w:rFonts w:ascii="仿宋" w:eastAsia="仿宋" w:hAnsi="仿宋"/>
          <w:smallCaps w:val="0"/>
          <w:sz w:val="21"/>
          <w:szCs w:val="22"/>
          <w:lang w:eastAsia="zh-CN"/>
        </w:rPr>
      </w:pPr>
      <w:hyperlink w:anchor="_Toc198732027" w:tooltip="Current Document" w:history="1">
        <w:r w:rsidR="00A71D56" w:rsidRPr="00FB03DC">
          <w:rPr>
            <w:rStyle w:val="aff8"/>
            <w:rFonts w:ascii="仿宋" w:eastAsia="仿宋" w:hAnsi="仿宋"/>
            <w:lang w:eastAsia="zh-CN"/>
          </w:rPr>
          <w:t>附件一：管理人关联方名单（更新日期：2025年3月）</w:t>
        </w:r>
        <w:r w:rsidR="00A71D56" w:rsidRPr="00FB03DC">
          <w:rPr>
            <w:rFonts w:ascii="仿宋" w:eastAsia="仿宋" w:hAnsi="仿宋"/>
          </w:rPr>
          <w:tab/>
        </w:r>
        <w:r w:rsidR="00A71D56" w:rsidRPr="00FB03DC">
          <w:rPr>
            <w:rFonts w:ascii="仿宋" w:eastAsia="仿宋" w:hAnsi="仿宋"/>
          </w:rPr>
          <w:fldChar w:fldCharType="begin"/>
        </w:r>
        <w:r w:rsidR="00A71D56" w:rsidRPr="00FB03DC">
          <w:rPr>
            <w:rFonts w:ascii="仿宋" w:eastAsia="仿宋" w:hAnsi="仿宋"/>
          </w:rPr>
          <w:instrText xml:space="preserve"> PAGEREF _Toc198732027 \h </w:instrText>
        </w:r>
        <w:r w:rsidR="00A71D56" w:rsidRPr="00FB03DC">
          <w:rPr>
            <w:rFonts w:ascii="仿宋" w:eastAsia="仿宋" w:hAnsi="仿宋"/>
          </w:rPr>
        </w:r>
        <w:r w:rsidR="00A71D56" w:rsidRPr="00FB03DC">
          <w:rPr>
            <w:rFonts w:ascii="仿宋" w:eastAsia="仿宋" w:hAnsi="仿宋"/>
          </w:rPr>
          <w:fldChar w:fldCharType="separate"/>
        </w:r>
        <w:r w:rsidR="00A71D56" w:rsidRPr="00FB03DC">
          <w:rPr>
            <w:rFonts w:ascii="仿宋" w:eastAsia="仿宋" w:hAnsi="仿宋"/>
          </w:rPr>
          <w:t>99</w:t>
        </w:r>
        <w:r w:rsidR="00A71D56" w:rsidRPr="00FB03DC">
          <w:rPr>
            <w:rFonts w:ascii="仿宋" w:eastAsia="仿宋" w:hAnsi="仿宋"/>
          </w:rPr>
          <w:fldChar w:fldCharType="end"/>
        </w:r>
      </w:hyperlink>
    </w:p>
    <w:p w14:paraId="47AB22D2" w14:textId="1F0017DB" w:rsidR="00F31CD2" w:rsidRPr="00FB03DC" w:rsidRDefault="00374BD4">
      <w:pPr>
        <w:pStyle w:val="14"/>
        <w:tabs>
          <w:tab w:val="right" w:leader="dot" w:pos="8296"/>
        </w:tabs>
        <w:spacing w:before="0" w:after="0" w:line="240" w:lineRule="atLeast"/>
        <w:ind w:left="210"/>
        <w:rPr>
          <w:rFonts w:ascii="仿宋" w:eastAsia="仿宋" w:hAnsi="仿宋"/>
          <w:b w:val="0"/>
          <w:bCs w:val="0"/>
          <w:caps w:val="0"/>
          <w:sz w:val="21"/>
          <w:szCs w:val="22"/>
          <w:lang w:eastAsia="zh-CN"/>
        </w:rPr>
      </w:pPr>
      <w:hyperlink w:anchor="_Toc198732028" w:tooltip="Current Document" w:history="1">
        <w:r w:rsidR="00A71D56" w:rsidRPr="00FB03DC">
          <w:rPr>
            <w:rStyle w:val="aff8"/>
            <w:rFonts w:ascii="仿宋" w:eastAsia="仿宋" w:hAnsi="仿宋"/>
            <w:b w:val="0"/>
            <w:lang w:eastAsia="zh-CN"/>
          </w:rPr>
          <w:t>附件二：华泰</w:t>
        </w:r>
        <w:r w:rsidR="00FB03DC" w:rsidRPr="00FB03DC">
          <w:rPr>
            <w:rStyle w:val="aff8"/>
            <w:rFonts w:ascii="仿宋" w:eastAsia="仿宋" w:hAnsi="仿宋"/>
            <w:b w:val="0"/>
            <w:lang w:eastAsia="zh-CN"/>
          </w:rPr>
          <w:t>银泰</w:t>
        </w:r>
        <w:r w:rsidR="00443F9C">
          <w:rPr>
            <w:rStyle w:val="aff8"/>
            <w:rFonts w:ascii="仿宋" w:eastAsia="仿宋" w:hAnsi="仿宋"/>
            <w:b w:val="0"/>
            <w:lang w:eastAsia="zh-CN"/>
          </w:rPr>
          <w:t>精选广元6号</w:t>
        </w:r>
        <w:r w:rsidR="00A71D56" w:rsidRPr="00FB03DC">
          <w:rPr>
            <w:rStyle w:val="aff8"/>
            <w:rFonts w:ascii="仿宋" w:eastAsia="仿宋" w:hAnsi="仿宋"/>
            <w:b w:val="0"/>
            <w:lang w:eastAsia="zh-CN"/>
          </w:rPr>
          <w:t>集合资产管理计划风险揭示书</w:t>
        </w:r>
        <w:r w:rsidR="00A71D56" w:rsidRPr="00FB03DC">
          <w:rPr>
            <w:rFonts w:ascii="仿宋" w:eastAsia="仿宋" w:hAnsi="仿宋"/>
            <w:b w:val="0"/>
          </w:rPr>
          <w:tab/>
        </w:r>
        <w:r w:rsidR="00A71D56" w:rsidRPr="00FB03DC">
          <w:rPr>
            <w:rFonts w:ascii="仿宋" w:eastAsia="仿宋" w:hAnsi="仿宋"/>
            <w:b w:val="0"/>
          </w:rPr>
          <w:fldChar w:fldCharType="begin"/>
        </w:r>
        <w:r w:rsidR="00A71D56" w:rsidRPr="00FB03DC">
          <w:rPr>
            <w:rFonts w:ascii="仿宋" w:eastAsia="仿宋" w:hAnsi="仿宋"/>
            <w:b w:val="0"/>
          </w:rPr>
          <w:instrText xml:space="preserve"> PAGEREF _Toc198732028 \h </w:instrText>
        </w:r>
        <w:r w:rsidR="00A71D56" w:rsidRPr="00FB03DC">
          <w:rPr>
            <w:rFonts w:ascii="仿宋" w:eastAsia="仿宋" w:hAnsi="仿宋"/>
            <w:b w:val="0"/>
          </w:rPr>
        </w:r>
        <w:r w:rsidR="00A71D56" w:rsidRPr="00FB03DC">
          <w:rPr>
            <w:rFonts w:ascii="仿宋" w:eastAsia="仿宋" w:hAnsi="仿宋"/>
            <w:b w:val="0"/>
          </w:rPr>
          <w:fldChar w:fldCharType="separate"/>
        </w:r>
        <w:r w:rsidR="00A71D56" w:rsidRPr="00FB03DC">
          <w:rPr>
            <w:rFonts w:ascii="仿宋" w:eastAsia="仿宋" w:hAnsi="仿宋"/>
            <w:b w:val="0"/>
          </w:rPr>
          <w:t>102</w:t>
        </w:r>
        <w:r w:rsidR="00A71D56" w:rsidRPr="00FB03DC">
          <w:rPr>
            <w:rFonts w:ascii="仿宋" w:eastAsia="仿宋" w:hAnsi="仿宋"/>
            <w:b w:val="0"/>
          </w:rPr>
          <w:fldChar w:fldCharType="end"/>
        </w:r>
      </w:hyperlink>
    </w:p>
    <w:p w14:paraId="0B63BD11" w14:textId="176D106D" w:rsidR="00F31CD2" w:rsidRPr="00FB03DC" w:rsidRDefault="00A71D56">
      <w:pPr>
        <w:rPr>
          <w:rFonts w:ascii="仿宋" w:eastAsia="仿宋" w:hAnsi="仿宋"/>
          <w:b/>
          <w:sz w:val="24"/>
          <w:lang w:eastAsia="zh-CN"/>
        </w:rPr>
      </w:pPr>
      <w:r w:rsidRPr="00FB03DC">
        <w:rPr>
          <w:rFonts w:ascii="仿宋" w:eastAsia="仿宋" w:hAnsi="仿宋"/>
          <w:smallCaps/>
          <w:sz w:val="20"/>
          <w:szCs w:val="20"/>
        </w:rPr>
        <w:fldChar w:fldCharType="end"/>
      </w:r>
      <w:r w:rsidRPr="00FB03DC">
        <w:rPr>
          <w:rFonts w:ascii="仿宋" w:eastAsia="仿宋" w:hAnsi="仿宋"/>
          <w:sz w:val="20"/>
          <w:szCs w:val="20"/>
          <w:lang w:eastAsia="zh-CN"/>
        </w:rPr>
        <w:br w:type="page"/>
      </w:r>
      <w:r w:rsidRPr="00FB03DC">
        <w:rPr>
          <w:rFonts w:ascii="仿宋" w:eastAsia="仿宋" w:hAnsi="仿宋"/>
          <w:b/>
          <w:sz w:val="24"/>
          <w:lang w:eastAsia="zh-CN"/>
        </w:rPr>
        <w:lastRenderedPageBreak/>
        <w:t>特别约定：《华泰</w:t>
      </w:r>
      <w:r w:rsidR="00FB03DC" w:rsidRPr="00FB03DC">
        <w:rPr>
          <w:rFonts w:ascii="仿宋" w:eastAsia="仿宋" w:hAnsi="仿宋"/>
          <w:b/>
          <w:sz w:val="24"/>
          <w:lang w:eastAsia="zh-CN"/>
        </w:rPr>
        <w:t>银泰</w:t>
      </w:r>
      <w:r w:rsidR="00443F9C">
        <w:rPr>
          <w:rFonts w:ascii="仿宋" w:eastAsia="仿宋" w:hAnsi="仿宋"/>
          <w:b/>
          <w:sz w:val="24"/>
          <w:lang w:eastAsia="zh-CN"/>
        </w:rPr>
        <w:t>精选广元6号</w:t>
      </w:r>
      <w:r w:rsidRPr="00FB03DC">
        <w:rPr>
          <w:rFonts w:ascii="仿宋" w:eastAsia="仿宋" w:hAnsi="仿宋"/>
          <w:b/>
          <w:sz w:val="24"/>
          <w:lang w:eastAsia="zh-CN"/>
        </w:rPr>
        <w:t>集合资产管理计划资产管理合同》（以下简称“本合同”或“集合资产管理合同”）可以以电子签名方式签订，管理人、托管人作为本合同签署方，已接受本合同项下的全部条款；投资者（华泰</w:t>
      </w:r>
      <w:r w:rsidR="00FB03DC" w:rsidRPr="00FB03DC">
        <w:rPr>
          <w:rFonts w:ascii="仿宋" w:eastAsia="仿宋" w:hAnsi="仿宋"/>
          <w:b/>
          <w:sz w:val="24"/>
          <w:lang w:eastAsia="zh-CN"/>
        </w:rPr>
        <w:t>银泰</w:t>
      </w:r>
      <w:r w:rsidR="00443F9C">
        <w:rPr>
          <w:rFonts w:ascii="仿宋" w:eastAsia="仿宋" w:hAnsi="仿宋"/>
          <w:b/>
          <w:sz w:val="24"/>
          <w:lang w:eastAsia="zh-CN"/>
        </w:rPr>
        <w:t>精选广元6号</w:t>
      </w:r>
      <w:r w:rsidRPr="00FB03DC">
        <w:rPr>
          <w:rFonts w:ascii="仿宋" w:eastAsia="仿宋" w:hAnsi="仿宋"/>
          <w:b/>
          <w:sz w:val="24"/>
          <w:lang w:eastAsia="zh-CN"/>
        </w:rPr>
        <w:t>集合资产管理计划的投资者）作为本合同一方，以电子签名方式签署本合同即表明投资者完全接受本合同项下的全部条款，同时本合同成立。</w:t>
      </w:r>
    </w:p>
    <w:p w14:paraId="0C58E270" w14:textId="77777777" w:rsidR="00F31CD2" w:rsidRPr="00FB03DC" w:rsidRDefault="00A71D56">
      <w:pPr>
        <w:spacing w:before="156"/>
        <w:rPr>
          <w:rFonts w:ascii="仿宋" w:eastAsia="仿宋" w:hAnsi="仿宋"/>
          <w:b/>
          <w:sz w:val="24"/>
          <w:lang w:eastAsia="zh-CN"/>
        </w:rPr>
      </w:pPr>
      <w:r w:rsidRPr="00FB03DC">
        <w:rPr>
          <w:rFonts w:ascii="仿宋" w:eastAsia="仿宋" w:hAnsi="仿宋"/>
          <w:b/>
          <w:sz w:val="24"/>
          <w:lang w:eastAsia="zh-CN"/>
        </w:rPr>
        <w:t>投资者、管理人、托管人同意遵守《电子签名法》、《证券公司资产管理电子签名合同操作指引》的有关规定，三方一致同意投资者自签署《电子签名约定书》之日起，投资者以电子签名方式接受电子签名合同（即本合同、集合计划说明书）、风险揭示书或其他文书的，视为签署本合同、集合计划说明书、风险揭示书或其他文书，与在纸质合同、纸质风险揭示书或其他文书上手写签名或者盖章具有同等的法律效力，无须另行签署纸质合同、纸质风险揭示书或其他文书。</w:t>
      </w:r>
    </w:p>
    <w:p w14:paraId="48F38B13" w14:textId="77777777" w:rsidR="00F31CD2" w:rsidRPr="00FB03DC" w:rsidRDefault="00F31CD2">
      <w:pPr>
        <w:spacing w:line="360" w:lineRule="auto"/>
        <w:rPr>
          <w:rFonts w:ascii="仿宋" w:eastAsia="仿宋" w:hAnsi="仿宋"/>
          <w:b/>
          <w:sz w:val="24"/>
          <w:lang w:eastAsia="zh-CN"/>
        </w:rPr>
      </w:pPr>
    </w:p>
    <w:p w14:paraId="422B2E12" w14:textId="77777777" w:rsidR="00F31CD2" w:rsidRPr="00FB03DC" w:rsidRDefault="00F31CD2">
      <w:pPr>
        <w:rPr>
          <w:rFonts w:ascii="仿宋" w:eastAsia="仿宋" w:hAnsi="仿宋"/>
          <w:b/>
          <w:bCs/>
          <w:sz w:val="32"/>
          <w:szCs w:val="32"/>
          <w:lang w:eastAsia="zh-CN"/>
        </w:rPr>
      </w:pPr>
      <w:bookmarkStart w:id="0" w:name="_Toc334185930"/>
    </w:p>
    <w:p w14:paraId="0D933E09" w14:textId="77777777" w:rsidR="00F31CD2" w:rsidRPr="00FB03DC" w:rsidRDefault="00A71D56">
      <w:pPr>
        <w:pStyle w:val="2"/>
        <w:spacing w:before="0" w:after="0" w:line="360" w:lineRule="auto"/>
        <w:ind w:firstLine="643"/>
        <w:rPr>
          <w:rFonts w:ascii="仿宋" w:eastAsia="仿宋" w:hAnsi="仿宋"/>
          <w:b/>
          <w:bCs/>
          <w:lang w:eastAsia="zh-CN"/>
        </w:rPr>
      </w:pPr>
      <w:bookmarkStart w:id="1" w:name="_Toc51775857"/>
      <w:bookmarkStart w:id="2" w:name="_Toc30310"/>
      <w:bookmarkStart w:id="3" w:name="_Toc10902"/>
      <w:bookmarkStart w:id="4" w:name="_Toc10057"/>
      <w:bookmarkStart w:id="5" w:name="_Toc6313406"/>
      <w:bookmarkStart w:id="6" w:name="_Toc28359"/>
      <w:bookmarkStart w:id="7" w:name="_Toc30383"/>
      <w:bookmarkStart w:id="8" w:name="_Toc32708"/>
      <w:bookmarkStart w:id="9" w:name="_Toc159589286"/>
      <w:r w:rsidRPr="00FB03DC">
        <w:rPr>
          <w:rFonts w:ascii="仿宋" w:eastAsia="仿宋" w:hAnsi="仿宋"/>
          <w:b/>
          <w:bCs/>
          <w:lang w:eastAsia="zh-CN"/>
        </w:rPr>
        <w:br w:type="page"/>
      </w:r>
      <w:bookmarkStart w:id="10" w:name="_Toc198731910"/>
      <w:r w:rsidRPr="00FB03DC">
        <w:rPr>
          <w:rFonts w:ascii="仿宋" w:eastAsia="仿宋" w:hAnsi="仿宋"/>
          <w:b/>
          <w:bCs/>
          <w:lang w:eastAsia="zh-CN"/>
        </w:rPr>
        <w:lastRenderedPageBreak/>
        <w:t>一、前言</w:t>
      </w:r>
      <w:bookmarkEnd w:id="0"/>
      <w:bookmarkEnd w:id="1"/>
      <w:bookmarkEnd w:id="2"/>
      <w:bookmarkEnd w:id="3"/>
      <w:bookmarkEnd w:id="4"/>
      <w:bookmarkEnd w:id="5"/>
      <w:bookmarkEnd w:id="6"/>
      <w:bookmarkEnd w:id="7"/>
      <w:bookmarkEnd w:id="8"/>
      <w:bookmarkEnd w:id="9"/>
      <w:bookmarkEnd w:id="10"/>
    </w:p>
    <w:p w14:paraId="64BF9C69" w14:textId="60E2FCD9"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为规范华泰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集合资产管理计划(以下简称“集合计划”或“计划”)运作，明确《华泰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资产管理合同》（以下简称“本合同”）当事人的权利与义务，依照《中华人民共和国民法典》（以下简称《民法典》）、《中华人民共和国证券法》（以下简称《证券法》）、《中华人民共和国证券投资基金法》（以下简称《基金法》）、《中华人民共和国期货和衍生品法》（以下简称《期货和衍生品法》）、《证券期货经营机构私募资产管理业务管理办法》（以下简称《管理办法》）、《证券期货经营机构私募资产管理计划运作管理规定》（以下简称《运作规定》）以及《集合资产管理计划资产管理合同内容与格式指引》（以下简称《集合指引》）等法律、行政法规、中国证券监督管理委员会（以下简称中国证监会）规定以及中国证券投资基金业协会（以下简称协会）自律规则，投资者、管理人、托管人在平等自愿、公平、诚实信用原则的基础上订立本合同。本合同是规定当事人之间基本权利义务的法律文件，</w:t>
      </w:r>
      <w:r w:rsidRPr="00FB03DC">
        <w:rPr>
          <w:rFonts w:ascii="仿宋" w:eastAsia="仿宋" w:hAnsi="仿宋" w:hint="eastAsia"/>
          <w:sz w:val="24"/>
          <w:lang w:eastAsia="zh-CN"/>
        </w:rPr>
        <w:t>其他与本计划相关的涉及本合同各当事人之间权利义务关系的任何文件或表述，如与本合同不一致或有冲突，均以本合同及本合同的有效补充和修订为准。</w:t>
      </w:r>
      <w:r w:rsidRPr="00FB03DC">
        <w:rPr>
          <w:rFonts w:ascii="仿宋" w:eastAsia="仿宋" w:hAnsi="仿宋"/>
          <w:sz w:val="24"/>
          <w:lang w:eastAsia="zh-CN"/>
        </w:rPr>
        <w:t>当事人按照本合同、《华泰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集合资产管理计划说明书》（以下简称《说明书》）及其他有关规定享有权利、承担义务。</w:t>
      </w:r>
    </w:p>
    <w:p w14:paraId="25E04A6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资产管理计划管理人按照规定向协会办理资产管理计划的设立、变更备案，并及时报送资产管理计划的运行情况、风险情况以及终止清算报告等信息。协会办理资产管理计划备案不代表协会对资产管理计划的合规性、投资价值及投资风险作出保证和判断，也不表明协会对备案材料的真实性、准确性、完整性作出保证。投资者应当充分了解资产管理计划的投资范围、投资策略和风险收益等信息，根据自身风险承担能力审慎选择资产管理计划，自主判断投资价值，自行承担投资风险。</w:t>
      </w:r>
    </w:p>
    <w:p w14:paraId="289223BC" w14:textId="77777777" w:rsidR="00F31CD2" w:rsidRPr="00FB03DC" w:rsidRDefault="00F31CD2">
      <w:pPr>
        <w:spacing w:line="360" w:lineRule="auto"/>
        <w:ind w:firstLine="640"/>
        <w:rPr>
          <w:rFonts w:ascii="仿宋" w:eastAsia="仿宋" w:hAnsi="仿宋"/>
          <w:sz w:val="32"/>
          <w:szCs w:val="32"/>
          <w:lang w:eastAsia="zh-CN"/>
        </w:rPr>
      </w:pPr>
    </w:p>
    <w:p w14:paraId="0971BB7E" w14:textId="77777777" w:rsidR="00F31CD2" w:rsidRPr="00FB03DC" w:rsidRDefault="00F31CD2">
      <w:pPr>
        <w:spacing w:line="360" w:lineRule="auto"/>
        <w:rPr>
          <w:rFonts w:ascii="仿宋" w:eastAsia="仿宋" w:hAnsi="仿宋"/>
          <w:b/>
          <w:bCs/>
          <w:sz w:val="32"/>
          <w:szCs w:val="32"/>
          <w:lang w:eastAsia="zh-CN"/>
        </w:rPr>
      </w:pPr>
      <w:bookmarkStart w:id="11" w:name="_Toc375840939"/>
      <w:bookmarkStart w:id="12" w:name="_Toc383095930"/>
    </w:p>
    <w:p w14:paraId="6B327C3B" w14:textId="77777777" w:rsidR="00F31CD2" w:rsidRPr="00FB03DC" w:rsidRDefault="00A71D56">
      <w:pPr>
        <w:pStyle w:val="2"/>
        <w:spacing w:before="0" w:after="0" w:line="360" w:lineRule="auto"/>
        <w:ind w:firstLine="643"/>
        <w:rPr>
          <w:rFonts w:ascii="仿宋" w:eastAsia="仿宋" w:hAnsi="仿宋"/>
          <w:b/>
          <w:bCs/>
          <w:lang w:eastAsia="zh-CN"/>
        </w:rPr>
      </w:pPr>
      <w:bookmarkStart w:id="13" w:name="_Toc20573"/>
      <w:bookmarkStart w:id="14" w:name="_Toc51775858"/>
      <w:bookmarkStart w:id="15" w:name="_Toc26151"/>
      <w:bookmarkStart w:id="16" w:name="_Toc27725"/>
      <w:bookmarkStart w:id="17" w:name="_Toc159589287"/>
      <w:bookmarkStart w:id="18" w:name="_Toc6313407"/>
      <w:bookmarkStart w:id="19" w:name="_Toc8143"/>
      <w:bookmarkStart w:id="20" w:name="_Toc29211"/>
      <w:bookmarkStart w:id="21" w:name="_Toc15028"/>
      <w:r w:rsidRPr="00FB03DC">
        <w:rPr>
          <w:rFonts w:ascii="仿宋" w:eastAsia="仿宋" w:hAnsi="仿宋"/>
          <w:b/>
          <w:bCs/>
          <w:lang w:eastAsia="zh-CN"/>
        </w:rPr>
        <w:br w:type="page"/>
      </w:r>
      <w:bookmarkStart w:id="22" w:name="_Toc198731911"/>
      <w:r w:rsidRPr="00FB03DC">
        <w:rPr>
          <w:rFonts w:ascii="仿宋" w:eastAsia="仿宋" w:hAnsi="仿宋"/>
          <w:b/>
          <w:bCs/>
          <w:lang w:eastAsia="zh-CN"/>
        </w:rPr>
        <w:lastRenderedPageBreak/>
        <w:t>二、</w:t>
      </w:r>
      <w:bookmarkEnd w:id="11"/>
      <w:bookmarkEnd w:id="12"/>
      <w:r w:rsidRPr="00FB03DC">
        <w:rPr>
          <w:rFonts w:ascii="仿宋" w:eastAsia="仿宋" w:hAnsi="仿宋"/>
          <w:b/>
          <w:bCs/>
          <w:lang w:eastAsia="zh-CN"/>
        </w:rPr>
        <w:t>释义</w:t>
      </w:r>
      <w:bookmarkEnd w:id="13"/>
      <w:bookmarkEnd w:id="14"/>
      <w:bookmarkEnd w:id="15"/>
      <w:bookmarkEnd w:id="16"/>
      <w:bookmarkEnd w:id="17"/>
      <w:bookmarkEnd w:id="18"/>
      <w:bookmarkEnd w:id="19"/>
      <w:bookmarkEnd w:id="20"/>
      <w:bookmarkEnd w:id="21"/>
      <w:bookmarkEnd w:id="22"/>
    </w:p>
    <w:p w14:paraId="0AD4CAC3"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在本合同中，除非文义另有所指，下列词语或简称具有如下含义：</w:t>
      </w:r>
    </w:p>
    <w:p w14:paraId="207360E6" w14:textId="64E74B78"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本集合资产管理计划、本集合计划、集合计划、资产管理计划、本计划、计划：指华泰</w:t>
      </w:r>
      <w:r w:rsidR="00FB03DC" w:rsidRPr="00FB03DC">
        <w:rPr>
          <w:rFonts w:ascii="仿宋" w:eastAsia="仿宋" w:hAnsi="仿宋"/>
          <w:sz w:val="24"/>
          <w:szCs w:val="22"/>
          <w:lang w:eastAsia="zh-CN"/>
        </w:rPr>
        <w:t>银泰</w:t>
      </w:r>
      <w:r w:rsidR="00443F9C">
        <w:rPr>
          <w:rFonts w:ascii="仿宋" w:eastAsia="仿宋" w:hAnsi="仿宋"/>
          <w:sz w:val="24"/>
          <w:szCs w:val="22"/>
          <w:lang w:eastAsia="zh-CN"/>
        </w:rPr>
        <w:t>精选广元6号</w:t>
      </w:r>
      <w:r w:rsidRPr="00FB03DC">
        <w:rPr>
          <w:rFonts w:ascii="仿宋" w:eastAsia="仿宋" w:hAnsi="仿宋"/>
          <w:sz w:val="24"/>
          <w:szCs w:val="24"/>
          <w:lang w:eastAsia="zh-CN"/>
        </w:rPr>
        <w:t>集合资产管理计划。</w:t>
      </w:r>
    </w:p>
    <w:p w14:paraId="05592B07" w14:textId="7B1E2A0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集合计划说明书、说明书：指《华泰</w:t>
      </w:r>
      <w:r w:rsidR="00FB03DC" w:rsidRPr="00FB03DC">
        <w:rPr>
          <w:rFonts w:ascii="仿宋" w:eastAsia="仿宋" w:hAnsi="仿宋"/>
          <w:sz w:val="24"/>
          <w:szCs w:val="22"/>
          <w:lang w:eastAsia="zh-CN"/>
        </w:rPr>
        <w:t>银泰</w:t>
      </w:r>
      <w:r w:rsidR="00443F9C">
        <w:rPr>
          <w:rFonts w:ascii="仿宋" w:eastAsia="仿宋" w:hAnsi="仿宋"/>
          <w:sz w:val="24"/>
          <w:szCs w:val="22"/>
          <w:lang w:eastAsia="zh-CN"/>
        </w:rPr>
        <w:t>精选广元6号</w:t>
      </w:r>
      <w:r w:rsidRPr="00FB03DC">
        <w:rPr>
          <w:rFonts w:ascii="仿宋" w:eastAsia="仿宋" w:hAnsi="仿宋"/>
          <w:sz w:val="24"/>
          <w:szCs w:val="22"/>
          <w:lang w:eastAsia="zh-CN"/>
        </w:rPr>
        <w:t>集合资产管理计划说明书》及对说明书的任何有效的修订和补充。</w:t>
      </w:r>
    </w:p>
    <w:p w14:paraId="48D46C5B" w14:textId="47362FBE" w:rsidR="00F31CD2" w:rsidRPr="00FB03DC" w:rsidRDefault="00A71D56">
      <w:pPr>
        <w:pStyle w:val="ad"/>
        <w:rPr>
          <w:rFonts w:ascii="仿宋" w:eastAsia="仿宋" w:hAnsi="仿宋"/>
          <w:sz w:val="24"/>
          <w:lang w:eastAsia="zh-CN"/>
        </w:rPr>
      </w:pPr>
      <w:r w:rsidRPr="00FB03DC">
        <w:rPr>
          <w:rFonts w:ascii="仿宋" w:eastAsia="仿宋" w:hAnsi="仿宋"/>
          <w:sz w:val="24"/>
          <w:szCs w:val="22"/>
          <w:lang w:eastAsia="zh-CN"/>
        </w:rPr>
        <w:t>集合资产管理合同、资产管理合同、本合同：指《华泰</w:t>
      </w:r>
      <w:r w:rsidR="00FB03DC" w:rsidRPr="00FB03DC">
        <w:rPr>
          <w:rFonts w:ascii="仿宋" w:eastAsia="仿宋" w:hAnsi="仿宋"/>
          <w:sz w:val="24"/>
          <w:szCs w:val="22"/>
          <w:lang w:eastAsia="zh-CN"/>
        </w:rPr>
        <w:t>银泰</w:t>
      </w:r>
      <w:r w:rsidR="00443F9C">
        <w:rPr>
          <w:rFonts w:ascii="仿宋" w:eastAsia="仿宋" w:hAnsi="仿宋"/>
          <w:sz w:val="24"/>
          <w:szCs w:val="22"/>
          <w:lang w:eastAsia="zh-CN"/>
        </w:rPr>
        <w:t>精选广元6号</w:t>
      </w:r>
      <w:r w:rsidRPr="00FB03DC">
        <w:rPr>
          <w:rFonts w:ascii="仿宋" w:eastAsia="仿宋" w:hAnsi="仿宋"/>
          <w:sz w:val="24"/>
          <w:szCs w:val="22"/>
          <w:lang w:eastAsia="zh-CN"/>
        </w:rPr>
        <w:t>集合资产管理计划资产管理合同》及对该合同的任何有效的修订和补充。</w:t>
      </w:r>
    </w:p>
    <w:p w14:paraId="184DBD79" w14:textId="1608078E"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风险揭示书：指《华泰</w:t>
      </w:r>
      <w:r w:rsidR="00FB03DC" w:rsidRPr="00FB03DC">
        <w:rPr>
          <w:rFonts w:ascii="仿宋" w:eastAsia="仿宋" w:hAnsi="仿宋"/>
          <w:sz w:val="24"/>
          <w:szCs w:val="22"/>
          <w:lang w:eastAsia="zh-CN"/>
        </w:rPr>
        <w:t>银泰</w:t>
      </w:r>
      <w:r w:rsidR="00443F9C">
        <w:rPr>
          <w:rFonts w:ascii="仿宋" w:eastAsia="仿宋" w:hAnsi="仿宋"/>
          <w:sz w:val="24"/>
          <w:szCs w:val="22"/>
          <w:lang w:eastAsia="zh-CN"/>
        </w:rPr>
        <w:t>精选广元6号</w:t>
      </w:r>
      <w:r w:rsidRPr="00FB03DC">
        <w:rPr>
          <w:rFonts w:ascii="仿宋" w:eastAsia="仿宋" w:hAnsi="仿宋"/>
          <w:sz w:val="24"/>
          <w:szCs w:val="22"/>
          <w:lang w:eastAsia="zh-CN"/>
        </w:rPr>
        <w:t>集合资产管理计划风险揭示书》。</w:t>
      </w:r>
    </w:p>
    <w:p w14:paraId="796A7956"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《指导意见》：指2018年4月27日，中国人民银行、原中国银行保险监督管理委员会、中国证券监督管理委员会、国家外汇管理局联合发布的《关于规范金融机构资产管理业务的指导意见》。</w:t>
      </w:r>
    </w:p>
    <w:p w14:paraId="04BDC2CB"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《管理办法》：2023年1月12日中国证券监督管理委员会发布的《证券期货经营机构私募资产管理业务管理办法》及国家有关机关不时对其做出的修订等。</w:t>
      </w:r>
    </w:p>
    <w:p w14:paraId="7EE6A49B"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《运作规定》：2023年1月12日中国证券监督管理委员会发布的《证券期货经营机构私募资产管理计划运作管理规定》及国家有关机关不时对其做出的修订等。</w:t>
      </w:r>
    </w:p>
    <w:p w14:paraId="7145DDB8"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中国证监会、证监会：指中国证券监督管理委员会。</w:t>
      </w:r>
    </w:p>
    <w:p w14:paraId="2057CF29"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协会、基金业协会：指中国证券投资基金业协会。</w:t>
      </w:r>
    </w:p>
    <w:p w14:paraId="63B32059"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2"/>
          <w:lang w:eastAsia="zh-CN"/>
        </w:rPr>
        <w:t>集合资产管理合同当事人：指受集合资产管理合同约束，根据集合资产管</w:t>
      </w:r>
      <w:r w:rsidRPr="00FB03DC">
        <w:rPr>
          <w:rFonts w:ascii="仿宋" w:eastAsia="仿宋" w:hAnsi="仿宋"/>
          <w:sz w:val="24"/>
          <w:szCs w:val="24"/>
          <w:lang w:eastAsia="zh-CN"/>
        </w:rPr>
        <w:t>理合同享有权利并承担义务的集合计划管理人、集合计划托管人和投资者。</w:t>
      </w:r>
    </w:p>
    <w:p w14:paraId="69ECE8F8"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2"/>
          <w:lang w:eastAsia="zh-CN"/>
        </w:rPr>
        <w:t>集合计划管理人、管理人：指华泰证券（上海）资产管理有限公司，也简称为“华泰证券资产管理</w:t>
      </w:r>
      <w:r w:rsidRPr="00FB03DC">
        <w:rPr>
          <w:rFonts w:ascii="仿宋" w:eastAsia="仿宋" w:hAnsi="仿宋"/>
          <w:sz w:val="24"/>
          <w:szCs w:val="24"/>
          <w:lang w:eastAsia="zh-CN"/>
        </w:rPr>
        <w:t>”。</w:t>
      </w:r>
    </w:p>
    <w:p w14:paraId="40B26EDA" w14:textId="0BA353C4"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2"/>
          <w:lang w:eastAsia="zh-CN"/>
        </w:rPr>
        <w:t>集合计划托管人、托管人：中国银行股份有限公司北京市分行。</w:t>
      </w:r>
      <w:r w:rsidRPr="00FB03DC">
        <w:rPr>
          <w:rFonts w:ascii="仿宋" w:eastAsia="仿宋" w:hAnsi="仿宋"/>
          <w:sz w:val="24"/>
          <w:szCs w:val="24"/>
          <w:lang w:eastAsia="zh-CN"/>
        </w:rPr>
        <w:t xml:space="preserve">  </w:t>
      </w:r>
    </w:p>
    <w:p w14:paraId="1853653C" w14:textId="76D0E693"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销售机构：指华泰证券（上海）资产管理有限公司以及与管理人签订《华泰</w:t>
      </w:r>
      <w:r w:rsidR="00FB03DC" w:rsidRPr="00FB03DC">
        <w:rPr>
          <w:rFonts w:ascii="仿宋" w:eastAsia="仿宋" w:hAnsi="仿宋"/>
          <w:sz w:val="24"/>
          <w:szCs w:val="22"/>
          <w:lang w:eastAsia="zh-CN"/>
        </w:rPr>
        <w:t>银泰</w:t>
      </w:r>
      <w:r w:rsidR="00443F9C">
        <w:rPr>
          <w:rFonts w:ascii="仿宋" w:eastAsia="仿宋" w:hAnsi="仿宋"/>
          <w:sz w:val="24"/>
          <w:szCs w:val="22"/>
          <w:lang w:eastAsia="zh-CN"/>
        </w:rPr>
        <w:t>精选广元6号</w:t>
      </w:r>
      <w:r w:rsidRPr="00FB03DC">
        <w:rPr>
          <w:rFonts w:ascii="仿宋" w:eastAsia="仿宋" w:hAnsi="仿宋"/>
          <w:sz w:val="24"/>
          <w:szCs w:val="22"/>
          <w:lang w:eastAsia="zh-CN"/>
        </w:rPr>
        <w:t>集合资产管理计划销售协议》的销售机构等。</w:t>
      </w:r>
    </w:p>
    <w:p w14:paraId="525F5F93"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2"/>
          <w:lang w:eastAsia="zh-CN"/>
        </w:rPr>
        <w:lastRenderedPageBreak/>
        <w:t>份额登记机构：指办理登记、存管、过户、清算和结算等份额登记业务的</w:t>
      </w:r>
      <w:r w:rsidRPr="00FB03DC">
        <w:rPr>
          <w:rFonts w:ascii="仿宋" w:eastAsia="仿宋" w:hAnsi="仿宋"/>
          <w:sz w:val="24"/>
          <w:szCs w:val="24"/>
          <w:lang w:eastAsia="zh-CN"/>
        </w:rPr>
        <w:t>机构。本集合计划的份额登记机构为华泰证券（上海）资产管理有限公司。</w:t>
      </w:r>
    </w:p>
    <w:p w14:paraId="2FE26DC2"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合格投资者：指符合《关于规范金融机构资产管理业务的指导意见》、</w:t>
      </w:r>
      <w:r w:rsidRPr="00FB03DC">
        <w:rPr>
          <w:rFonts w:ascii="仿宋" w:eastAsia="仿宋" w:hAnsi="仿宋"/>
          <w:sz w:val="24"/>
          <w:lang w:eastAsia="zh-CN"/>
        </w:rPr>
        <w:t>《证券期货经营机构私募资产管理业务管理办法》、《证券期货经营机构私募资产管理计划运作管理规定》</w:t>
      </w:r>
      <w:r w:rsidRPr="00FB03DC">
        <w:rPr>
          <w:rFonts w:ascii="仿宋" w:eastAsia="仿宋" w:hAnsi="仿宋"/>
          <w:sz w:val="24"/>
          <w:szCs w:val="24"/>
          <w:lang w:eastAsia="zh-CN"/>
        </w:rPr>
        <w:t>的规定，具备相应风险识别能力和风险承担能力，初始投资于本集合计划不低于法律法规要求的一定金额的自然人、法人或者其他组织。</w:t>
      </w:r>
    </w:p>
    <w:p w14:paraId="1C997FC6"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2"/>
          <w:lang w:eastAsia="zh-CN"/>
        </w:rPr>
        <w:t>投资者、客户：指依据集合资产管理合同和集合计划说明书参与本集合计划的投</w:t>
      </w:r>
      <w:r w:rsidRPr="00FB03DC">
        <w:rPr>
          <w:rFonts w:ascii="仿宋" w:eastAsia="仿宋" w:hAnsi="仿宋"/>
          <w:sz w:val="24"/>
          <w:szCs w:val="24"/>
          <w:lang w:eastAsia="zh-CN"/>
        </w:rPr>
        <w:t>资者，包括个人投资者和机构投资者（以及银行理财产品）。</w:t>
      </w:r>
    </w:p>
    <w:p w14:paraId="47C78FAB"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个人投资者：指依据中华人民共和国有关法律法规、监管规定可以投资于本集合资产管理计划的自然人投资者。</w:t>
      </w:r>
    </w:p>
    <w:p w14:paraId="4DDF6A90"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机构投资者：指依法可以投资本集合资产管理计划，在中华人民共和国境内合法注册登记或经有关政府部门批准设立的企业法人、事业法人、社会团体或其他组织。</w:t>
      </w:r>
    </w:p>
    <w:p w14:paraId="0F07EF2E"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份额持有人、持有人：指通过签订集合资产管理合同而依法取得和持有本集合计划份额的投资者。</w:t>
      </w:r>
    </w:p>
    <w:p w14:paraId="3E6F7B85"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集合计划成立日：指集合计划经过销售达到集合计划说明书和集合资产管理合同规定的成立条件，管理人通告集合计划成立的日期。</w:t>
      </w:r>
    </w:p>
    <w:p w14:paraId="55E285EA"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初始募集期：指自本集合计划启动初始募集之日起不超过60天的期间，具体初始募集时间以本集合计划公告为准。</w:t>
      </w:r>
    </w:p>
    <w:p w14:paraId="6E3851B9"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封闭期：特指集合计划成立日后的一个期间，在此期间投资者不得参与、退出本集合计划，</w:t>
      </w:r>
      <w:r w:rsidRPr="00FB03DC">
        <w:rPr>
          <w:rFonts w:ascii="仿宋" w:eastAsia="仿宋" w:hAnsi="仿宋"/>
          <w:sz w:val="24"/>
          <w:szCs w:val="24"/>
          <w:lang w:eastAsia="zh-CN"/>
        </w:rPr>
        <w:t>本集合计划除开放期外的每日均为封闭期。</w:t>
      </w:r>
    </w:p>
    <w:p w14:paraId="01A41FBF"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开放期：指投资者可以办理集合计划参与或退出等业务的工作日。</w:t>
      </w:r>
    </w:p>
    <w:p w14:paraId="1062877B"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开放日：指开放期内的每个工作日。</w:t>
      </w:r>
    </w:p>
    <w:p w14:paraId="2EF429CA"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年度对日：指某一日期之后各年的对应日期，若该年无相应的对应日期则顺延一日。如2010年1月1日的年度对日为之后各年的1月1日，即2011年1月1日等；如2012年2月29日的月对应日为之后各年的2月29日，而2013年2月无29日，故顺延至2013年3月1日等。</w:t>
      </w:r>
    </w:p>
    <w:p w14:paraId="67F400E3"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存续期、管理期限：指计划成立并存续的期间。</w:t>
      </w:r>
    </w:p>
    <w:p w14:paraId="16D2E623"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lastRenderedPageBreak/>
        <w:t>工作日：指上海证券交易所和深圳证券交易所等相关交易所的正常交易日。</w:t>
      </w:r>
    </w:p>
    <w:p w14:paraId="33D38A75"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T日：指办理本集合计划业务申请的工作日。</w:t>
      </w:r>
    </w:p>
    <w:p w14:paraId="557377C1"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T+n日（n指任意正整数）：指T日后的第n个工作日。</w:t>
      </w:r>
    </w:p>
    <w:p w14:paraId="49C60B5E"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天：指自然日。</w:t>
      </w:r>
    </w:p>
    <w:p w14:paraId="4DAEF056"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会计年度：指公历每年1月1日至12月31日。</w:t>
      </w:r>
    </w:p>
    <w:p w14:paraId="4B46EF41"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认购：指投资者在初始募集期申请购买本集合计划份额的行为。</w:t>
      </w:r>
    </w:p>
    <w:p w14:paraId="7B556C8C"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参与：指投资者按集合资产管理合同申请购买本集合计划份额的行为。</w:t>
      </w:r>
    </w:p>
    <w:p w14:paraId="17323232"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首次参与：指投资者在参与之前未持有本集合计划的情形。</w:t>
      </w:r>
    </w:p>
    <w:p w14:paraId="7BBC5B09"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退出：指投资者按集合资产管理合同规定的条件要求赎回全部或部分受托财产的行为。</w:t>
      </w:r>
    </w:p>
    <w:p w14:paraId="03FD754A"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计划收益：指本集合计划投资所得基金红利、银行存款利息及其他合法收入。</w:t>
      </w:r>
    </w:p>
    <w:p w14:paraId="2D8945AA"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集合计划份额、计划份额、份额：指集合计划的最小单位。</w:t>
      </w:r>
    </w:p>
    <w:p w14:paraId="064263ED" w14:textId="77777777" w:rsidR="00F31CD2" w:rsidRPr="00FB03DC" w:rsidRDefault="00A71D56">
      <w:pPr>
        <w:pStyle w:val="Default"/>
        <w:spacing w:line="360" w:lineRule="auto"/>
        <w:ind w:firstLine="480"/>
        <w:rPr>
          <w:rFonts w:ascii="仿宋" w:eastAsia="仿宋" w:hAnsi="仿宋"/>
          <w:lang w:eastAsia="zh-CN"/>
        </w:rPr>
      </w:pPr>
      <w:r w:rsidRPr="00FB03DC">
        <w:rPr>
          <w:rFonts w:ascii="仿宋" w:eastAsia="仿宋" w:hAnsi="仿宋"/>
          <w:lang w:eastAsia="zh-CN"/>
        </w:rPr>
        <w:t>元：指人民币元。</w:t>
      </w:r>
    </w:p>
    <w:p w14:paraId="3C00346B"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计划单位面值、单位面值：人民币</w:t>
      </w:r>
      <w:r w:rsidRPr="00FB03DC">
        <w:rPr>
          <w:rFonts w:ascii="仿宋" w:eastAsia="仿宋" w:hAnsi="仿宋"/>
          <w:sz w:val="24"/>
          <w:szCs w:val="22"/>
          <w:u w:val="single"/>
          <w:lang w:eastAsia="zh-CN"/>
        </w:rPr>
        <w:t>1.00</w:t>
      </w:r>
      <w:r w:rsidRPr="00FB03DC">
        <w:rPr>
          <w:rFonts w:ascii="仿宋" w:eastAsia="仿宋" w:hAnsi="仿宋"/>
          <w:sz w:val="24"/>
          <w:szCs w:val="22"/>
          <w:lang w:eastAsia="zh-CN"/>
        </w:rPr>
        <w:t>元。</w:t>
      </w:r>
    </w:p>
    <w:p w14:paraId="6EE7C4FC"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集合计划资产总值、计划资产总值：指集合计划投资所形成的各类有价证券、银行存款本息及其他资产的价值总和。</w:t>
      </w:r>
    </w:p>
    <w:p w14:paraId="4C7CE8C3"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份额净值：指计算日计划资产净值除以计算日计划总份额。</w:t>
      </w:r>
    </w:p>
    <w:p w14:paraId="6EFA6C5C"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累计净值、累计份额净值：指计划份额净值与计划份额累计分红之和。</w:t>
      </w:r>
    </w:p>
    <w:p w14:paraId="181BF85D"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计划资产估值：指计算评估本集合计划资产和负债的价值，以确定本集合计划资产净值的过程。</w:t>
      </w:r>
    </w:p>
    <w:p w14:paraId="0413D3D7"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不可抗力：</w:t>
      </w:r>
      <w:bookmarkStart w:id="23" w:name="OLE_LINK1"/>
      <w:r w:rsidRPr="00FB03DC">
        <w:rPr>
          <w:rFonts w:ascii="仿宋" w:eastAsia="仿宋" w:hAnsi="仿宋"/>
          <w:sz w:val="24"/>
          <w:szCs w:val="22"/>
          <w:lang w:eastAsia="zh-CN"/>
        </w:rPr>
        <w:t>指本合同当事人不能预见、不能克服、不能避免，且在本合同签署之后发生的，使本合同当事人无法全部或部分履行本合同的任何客观事件，包括但不限于地震、台风、水灾、火灾、战争、暴乱、流行病、政府行为、罢工、停工、停电、通讯失败等，非因管理人、托管人自身原因导致的技术系统异常事故、法律法规调整等情形；因交易所、银行、登记结算机构的交易、结算系统出现故障导致的交易、结算无法进行的情形，因电信服务商原因导致资金划付的网络中断、无法使用的情形，亦构成不可抗力事件。</w:t>
      </w:r>
      <w:bookmarkEnd w:id="23"/>
    </w:p>
    <w:p w14:paraId="07B2A099"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lastRenderedPageBreak/>
        <w:t>管理人指定网站、管理人网站：指https://www.htscamc.com，管理人指定网站变更时以管理人公告为准。</w:t>
      </w:r>
    </w:p>
    <w:p w14:paraId="6AC7B79D"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流动性受限资产：是指由于法律法规、监管、合同或者操作障碍等原因无法以合理价格予以变现的资产，包括到期日在十个交易日以上的逆回购与银行定期存款（含协议约定有条件提前支取的银行存款）、停牌股票、流动受限的新股以及非公开发行股票、资产支持证券（票据）、因发行人债务违约无法进行转让或交易的债券和非金融企业债务融资工具等资产，以及中国证监会认定的其他资产。</w:t>
      </w:r>
    </w:p>
    <w:p w14:paraId="0ADBFE6B" w14:textId="77777777" w:rsidR="00F31CD2" w:rsidRPr="00FB03DC" w:rsidRDefault="00A71D56">
      <w:pPr>
        <w:pStyle w:val="ad"/>
        <w:rPr>
          <w:rFonts w:ascii="仿宋" w:eastAsia="仿宋" w:hAnsi="仿宋"/>
          <w:sz w:val="24"/>
          <w:lang w:eastAsia="zh-CN"/>
        </w:rPr>
      </w:pPr>
      <w:r w:rsidRPr="00FB03DC">
        <w:rPr>
          <w:rFonts w:ascii="仿宋" w:eastAsia="仿宋" w:hAnsi="仿宋"/>
          <w:sz w:val="24"/>
          <w:szCs w:val="22"/>
          <w:lang w:eastAsia="zh-CN"/>
        </w:rPr>
        <w:t>七个工作日可变现资产：包括可在交易所、银行间市场正常交易的股票、债券、非金融企业债务融资工具、期货及标准化期权合约和同业存单，七个工作日内到期或者可支取的逆回购、银行存款，七个工作日内能够确认收到的各类应收款项等。</w:t>
      </w:r>
    </w:p>
    <w:p w14:paraId="34BC166E"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托管人信义义务：托管人信义义务是指托管人按恪尽职守、诚实信用、谨慎勤勉的原则，根据相关法律法规、监管规定和本资产管理合同约定尽职尽责履行安全保管受托财产等托管人职责。</w:t>
      </w:r>
    </w:p>
    <w:p w14:paraId="2EB53F59"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结算模式：本集合计划采用托管人结算模式。</w:t>
      </w:r>
    </w:p>
    <w:p w14:paraId="7A4BF472"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中登、中国结算：指中国证券登记结算有限责任公司。</w:t>
      </w:r>
    </w:p>
    <w:p w14:paraId="4EEDC5AE" w14:textId="77777777" w:rsidR="00F31CD2" w:rsidRPr="00FB03DC" w:rsidRDefault="00A71D56">
      <w:pPr>
        <w:pStyle w:val="ad"/>
        <w:rPr>
          <w:rFonts w:ascii="仿宋" w:eastAsia="仿宋" w:hAnsi="仿宋"/>
          <w:sz w:val="24"/>
          <w:szCs w:val="22"/>
          <w:lang w:eastAsia="zh-CN"/>
        </w:rPr>
      </w:pPr>
      <w:r w:rsidRPr="00FB03DC">
        <w:rPr>
          <w:rFonts w:ascii="仿宋" w:eastAsia="仿宋" w:hAnsi="仿宋"/>
          <w:sz w:val="24"/>
          <w:szCs w:val="22"/>
          <w:lang w:eastAsia="zh-CN"/>
        </w:rPr>
        <w:t>合同签订地：本合同的签订地为</w:t>
      </w:r>
      <w:r w:rsidRPr="00FB03DC">
        <w:rPr>
          <w:rFonts w:ascii="仿宋" w:eastAsia="仿宋" w:hAnsi="仿宋" w:hint="eastAsia"/>
          <w:sz w:val="24"/>
          <w:szCs w:val="22"/>
          <w:lang w:eastAsia="zh-CN"/>
        </w:rPr>
        <w:t>上海市</w:t>
      </w:r>
      <w:r w:rsidRPr="00FB03DC">
        <w:rPr>
          <w:rFonts w:ascii="仿宋" w:eastAsia="仿宋" w:hAnsi="仿宋"/>
          <w:sz w:val="24"/>
          <w:szCs w:val="22"/>
          <w:lang w:eastAsia="zh-CN"/>
        </w:rPr>
        <w:t>。</w:t>
      </w:r>
    </w:p>
    <w:p w14:paraId="12C57F40" w14:textId="77777777" w:rsidR="00F31CD2" w:rsidRPr="00FB03DC" w:rsidRDefault="00F31CD2">
      <w:pPr>
        <w:pStyle w:val="ad"/>
        <w:rPr>
          <w:rFonts w:ascii="仿宋" w:eastAsia="仿宋" w:hAnsi="仿宋"/>
          <w:sz w:val="24"/>
          <w:szCs w:val="22"/>
          <w:lang w:eastAsia="zh-CN"/>
        </w:rPr>
      </w:pPr>
    </w:p>
    <w:p w14:paraId="3DAF8853" w14:textId="77777777" w:rsidR="00F31CD2" w:rsidRPr="00FB03DC" w:rsidRDefault="00F31CD2">
      <w:pPr>
        <w:pStyle w:val="ad"/>
        <w:ind w:firstLine="643"/>
        <w:rPr>
          <w:rFonts w:ascii="仿宋" w:eastAsia="仿宋" w:hAnsi="仿宋"/>
          <w:b/>
          <w:bCs/>
          <w:sz w:val="32"/>
          <w:szCs w:val="32"/>
          <w:lang w:eastAsia="zh-CN"/>
        </w:rPr>
      </w:pPr>
    </w:p>
    <w:p w14:paraId="120DBC56" w14:textId="77777777" w:rsidR="00F31CD2" w:rsidRPr="00FB03DC" w:rsidRDefault="00F31CD2">
      <w:pPr>
        <w:spacing w:line="360" w:lineRule="auto"/>
        <w:rPr>
          <w:rFonts w:ascii="仿宋" w:eastAsia="仿宋" w:hAnsi="仿宋"/>
          <w:b/>
          <w:bCs/>
          <w:sz w:val="32"/>
          <w:szCs w:val="32"/>
          <w:lang w:eastAsia="zh-CN"/>
        </w:rPr>
      </w:pPr>
      <w:bookmarkStart w:id="24" w:name="_Toc6313408"/>
    </w:p>
    <w:p w14:paraId="33FEDD19" w14:textId="77777777" w:rsidR="00F31CD2" w:rsidRPr="00FB03DC" w:rsidRDefault="00A71D56">
      <w:pPr>
        <w:pStyle w:val="2"/>
        <w:spacing w:before="0" w:after="0" w:line="360" w:lineRule="auto"/>
        <w:ind w:firstLine="643"/>
        <w:rPr>
          <w:rFonts w:ascii="仿宋" w:eastAsia="仿宋" w:hAnsi="仿宋"/>
          <w:b/>
          <w:bCs/>
          <w:lang w:eastAsia="zh-CN"/>
        </w:rPr>
      </w:pPr>
      <w:bookmarkStart w:id="25" w:name="_Toc27398"/>
      <w:bookmarkStart w:id="26" w:name="_Toc12630"/>
      <w:bookmarkStart w:id="27" w:name="_Toc25639"/>
      <w:bookmarkStart w:id="28" w:name="_Toc16047"/>
      <w:bookmarkStart w:id="29" w:name="_Toc51775859"/>
      <w:bookmarkStart w:id="30" w:name="_Toc15390"/>
      <w:bookmarkStart w:id="31" w:name="_Toc3901"/>
      <w:bookmarkStart w:id="32" w:name="_Toc159589288"/>
      <w:r w:rsidRPr="00FB03DC">
        <w:rPr>
          <w:rFonts w:ascii="仿宋" w:eastAsia="仿宋" w:hAnsi="仿宋"/>
          <w:b/>
          <w:bCs/>
          <w:lang w:eastAsia="zh-CN"/>
        </w:rPr>
        <w:br w:type="page"/>
      </w:r>
      <w:bookmarkStart w:id="33" w:name="_Toc198731912"/>
      <w:r w:rsidRPr="00FB03DC">
        <w:rPr>
          <w:rFonts w:ascii="仿宋" w:eastAsia="仿宋" w:hAnsi="仿宋"/>
          <w:b/>
          <w:bCs/>
          <w:lang w:eastAsia="zh-CN"/>
        </w:rPr>
        <w:lastRenderedPageBreak/>
        <w:t>三、承诺与声明</w:t>
      </w:r>
      <w:bookmarkEnd w:id="24"/>
      <w:bookmarkEnd w:id="25"/>
      <w:bookmarkEnd w:id="26"/>
      <w:bookmarkEnd w:id="27"/>
      <w:bookmarkEnd w:id="28"/>
      <w:bookmarkEnd w:id="29"/>
      <w:bookmarkEnd w:id="30"/>
      <w:bookmarkEnd w:id="31"/>
      <w:bookmarkEnd w:id="32"/>
      <w:bookmarkEnd w:id="33"/>
    </w:p>
    <w:p w14:paraId="5374E837" w14:textId="77777777" w:rsidR="00F31CD2" w:rsidRPr="00FB03DC" w:rsidRDefault="00A71D56">
      <w:pPr>
        <w:spacing w:line="360" w:lineRule="auto"/>
        <w:ind w:firstLine="480"/>
        <w:outlineLvl w:val="1"/>
        <w:rPr>
          <w:rFonts w:ascii="仿宋" w:eastAsia="仿宋" w:hAnsi="仿宋"/>
          <w:sz w:val="24"/>
          <w:lang w:eastAsia="zh-CN"/>
        </w:rPr>
      </w:pPr>
      <w:bookmarkStart w:id="34" w:name="_Toc28261"/>
      <w:bookmarkStart w:id="35" w:name="_Toc25820"/>
      <w:bookmarkStart w:id="36" w:name="_Toc198731913"/>
      <w:r w:rsidRPr="00FB03DC">
        <w:rPr>
          <w:rFonts w:ascii="仿宋" w:eastAsia="仿宋" w:hAnsi="仿宋"/>
          <w:sz w:val="24"/>
          <w:lang w:eastAsia="zh-CN"/>
        </w:rPr>
        <w:t>（一）管理人承诺</w:t>
      </w:r>
      <w:bookmarkEnd w:id="34"/>
      <w:r w:rsidRPr="00FB03DC">
        <w:rPr>
          <w:rFonts w:ascii="仿宋" w:eastAsia="仿宋" w:hAnsi="仿宋"/>
          <w:sz w:val="24"/>
          <w:lang w:eastAsia="zh-CN"/>
        </w:rPr>
        <w:t>与声明</w:t>
      </w:r>
      <w:bookmarkEnd w:id="35"/>
      <w:bookmarkEnd w:id="36"/>
    </w:p>
    <w:p w14:paraId="46FD618B"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1、在签订本合同前充分向投资者说明了有关法律法规和相关投资工具的运作市场及方式，并充分揭示了相关风险。</w:t>
      </w:r>
    </w:p>
    <w:p w14:paraId="0193E9FE"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2、已经了解投资者的风险偏好、</w:t>
      </w:r>
      <w:r w:rsidRPr="00FB03DC">
        <w:rPr>
          <w:rFonts w:ascii="仿宋" w:eastAsia="仿宋" w:hAnsi="仿宋"/>
          <w:sz w:val="24"/>
          <w:szCs w:val="22"/>
          <w:lang w:eastAsia="zh-CN"/>
        </w:rPr>
        <w:t>风险</w:t>
      </w:r>
      <w:r w:rsidRPr="00FB03DC">
        <w:rPr>
          <w:rFonts w:ascii="仿宋" w:eastAsia="仿宋" w:hAnsi="仿宋"/>
          <w:sz w:val="24"/>
          <w:lang w:eastAsia="zh-CN"/>
        </w:rPr>
        <w:t>认知能力和承受能力，对投资者的财务状况进行了充分评估。</w:t>
      </w:r>
    </w:p>
    <w:p w14:paraId="2284563E"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3、按照《基金法》恪尽职守、</w:t>
      </w:r>
      <w:r w:rsidRPr="00FB03DC">
        <w:rPr>
          <w:rFonts w:ascii="仿宋" w:eastAsia="仿宋" w:hAnsi="仿宋"/>
          <w:sz w:val="24"/>
          <w:szCs w:val="22"/>
          <w:lang w:eastAsia="zh-CN"/>
        </w:rPr>
        <w:t>诚实</w:t>
      </w:r>
      <w:r w:rsidRPr="00FB03DC">
        <w:rPr>
          <w:rFonts w:ascii="仿宋" w:eastAsia="仿宋" w:hAnsi="仿宋"/>
          <w:sz w:val="24"/>
          <w:lang w:eastAsia="zh-CN"/>
        </w:rPr>
        <w:t>信用、谨慎勤勉的原则管理和运用受托资产，不保证受托资产一定盈利，也不保证最低收益或者本金不受损失，以及限定投资损失金额或者比例。</w:t>
      </w:r>
    </w:p>
    <w:p w14:paraId="49ED5F5E" w14:textId="415B5780" w:rsidR="00F31CD2" w:rsidRPr="00FB03DC" w:rsidRDefault="00A71D56">
      <w:pPr>
        <w:pStyle w:val="ad"/>
        <w:rPr>
          <w:rFonts w:ascii="仿宋" w:eastAsia="仿宋" w:hAnsi="仿宋"/>
          <w:sz w:val="24"/>
          <w:lang w:eastAsia="zh-CN"/>
        </w:rPr>
      </w:pPr>
      <w:r w:rsidRPr="00FB03DC">
        <w:rPr>
          <w:rFonts w:ascii="仿宋" w:eastAsia="仿宋" w:hAnsi="仿宋" w:hint="eastAsia"/>
          <w:sz w:val="24"/>
          <w:lang w:eastAsia="zh-CN"/>
        </w:rPr>
        <w:t>4、</w:t>
      </w:r>
      <w:r w:rsidRPr="00FB03DC">
        <w:rPr>
          <w:rFonts w:ascii="仿宋" w:eastAsia="仿宋" w:hAnsi="仿宋" w:cs="FangSong"/>
          <w:color w:val="000000"/>
          <w:sz w:val="24"/>
          <w:lang w:eastAsia="zh-CN"/>
        </w:rPr>
        <w:t>管理人应按照反洗钱法律法规要求，建立反洗钱内部控制制度，落实客户身份识别、客户及交易尽职调查、客户身份资料和交易记录保存、可疑交易监控和报告、名单监控等反洗钱义务，并为托管人履行反洗钱义务提供必要协助。就管理人发行或管理的产品，管理人应按照监管要求开展产品尽职调查和受益所有人识别，并及时向托管人提供产品及其受益所有人信息、产品受益所有人的身份证明文件以及其他相关资料的复印件和影印件。如产品的受益所有人发生变化，管理人应及时通知托管人，并提供变更后的产品受益所有人信息及其身份证明文件。管理人应确保所管理资金来源及用途合规，不涉及洗钱、恐怖融资、制裁违规等违法违规行为</w:t>
      </w:r>
      <w:r w:rsidRPr="00FB03DC">
        <w:rPr>
          <w:rFonts w:ascii="仿宋" w:eastAsia="仿宋" w:hAnsi="仿宋"/>
          <w:sz w:val="24"/>
          <w:lang w:eastAsia="zh-CN"/>
        </w:rPr>
        <w:t>。</w:t>
      </w:r>
    </w:p>
    <w:p w14:paraId="32706C22" w14:textId="77777777" w:rsidR="00F31CD2" w:rsidRPr="00FB03DC" w:rsidRDefault="00A71D56">
      <w:pPr>
        <w:spacing w:line="360" w:lineRule="auto"/>
        <w:ind w:firstLine="480"/>
        <w:outlineLvl w:val="1"/>
        <w:rPr>
          <w:rFonts w:ascii="仿宋" w:eastAsia="仿宋" w:hAnsi="仿宋"/>
          <w:sz w:val="24"/>
          <w:lang w:eastAsia="zh-CN"/>
        </w:rPr>
      </w:pPr>
      <w:bookmarkStart w:id="37" w:name="_Toc14418"/>
      <w:bookmarkStart w:id="38" w:name="_Toc13639"/>
      <w:bookmarkStart w:id="39" w:name="_Toc198731914"/>
      <w:r w:rsidRPr="00FB03DC">
        <w:rPr>
          <w:rFonts w:ascii="仿宋" w:eastAsia="仿宋" w:hAnsi="仿宋"/>
          <w:sz w:val="24"/>
          <w:lang w:eastAsia="zh-CN"/>
        </w:rPr>
        <w:t>（二）托管人承诺</w:t>
      </w:r>
      <w:bookmarkEnd w:id="37"/>
      <w:r w:rsidRPr="00FB03DC">
        <w:rPr>
          <w:rFonts w:ascii="仿宋" w:eastAsia="仿宋" w:hAnsi="仿宋"/>
          <w:sz w:val="24"/>
          <w:lang w:eastAsia="zh-CN"/>
        </w:rPr>
        <w:t>与声明</w:t>
      </w:r>
      <w:bookmarkEnd w:id="38"/>
      <w:bookmarkEnd w:id="39"/>
    </w:p>
    <w:p w14:paraId="1DF12161"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1、按照《基金法》恪尽职守、诚实信用、谨慎勤勉的原则安全保管受托财产，履行信义义务以及本合同约定的其他义务。</w:t>
      </w:r>
    </w:p>
    <w:p w14:paraId="469A5596"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2、根据法律、行政法规、中国证监会及协会的规定和资产管理合同的约定，对管理人的投资或者清算指令等进行监督。</w:t>
      </w:r>
    </w:p>
    <w:p w14:paraId="29D2430B" w14:textId="77777777" w:rsidR="00F31CD2" w:rsidRPr="00FB03DC" w:rsidRDefault="00A71D56">
      <w:pPr>
        <w:pStyle w:val="ad"/>
        <w:rPr>
          <w:rFonts w:ascii="仿宋" w:eastAsia="仿宋" w:hAnsi="仿宋"/>
          <w:sz w:val="24"/>
          <w:lang w:eastAsia="zh-CN"/>
        </w:rPr>
      </w:pPr>
      <w:r w:rsidRPr="00FB03DC">
        <w:rPr>
          <w:rFonts w:ascii="仿宋" w:eastAsia="仿宋" w:hAnsi="仿宋" w:hint="eastAsia"/>
          <w:sz w:val="24"/>
          <w:lang w:eastAsia="zh-CN"/>
        </w:rPr>
        <w:t>3、不以任何方式对资产管理计划资产不受损失或取得最低收益作出承诺。</w:t>
      </w:r>
    </w:p>
    <w:p w14:paraId="0262D7E3" w14:textId="77777777" w:rsidR="00F31CD2" w:rsidRPr="00FB03DC" w:rsidRDefault="00A71D56">
      <w:pPr>
        <w:spacing w:line="360" w:lineRule="auto"/>
        <w:ind w:firstLine="480"/>
        <w:outlineLvl w:val="1"/>
        <w:rPr>
          <w:rFonts w:ascii="仿宋" w:eastAsia="仿宋" w:hAnsi="仿宋"/>
          <w:sz w:val="24"/>
          <w:lang w:eastAsia="zh-CN"/>
        </w:rPr>
      </w:pPr>
      <w:bookmarkStart w:id="40" w:name="_Toc198731915"/>
      <w:bookmarkStart w:id="41" w:name="_Toc27470"/>
      <w:bookmarkStart w:id="42" w:name="_Toc1825"/>
      <w:r w:rsidRPr="00FB03DC">
        <w:rPr>
          <w:rFonts w:ascii="仿宋" w:eastAsia="仿宋" w:hAnsi="仿宋"/>
          <w:sz w:val="24"/>
          <w:lang w:eastAsia="zh-CN"/>
        </w:rPr>
        <w:t>（三）投资者承诺与声明</w:t>
      </w:r>
      <w:bookmarkEnd w:id="40"/>
      <w:bookmarkEnd w:id="41"/>
      <w:bookmarkEnd w:id="42"/>
    </w:p>
    <w:p w14:paraId="2500DF9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投资者签署本合同即表明投资者承诺其为符合《运作规定》等法律法规规定要求的合格投资者，向管理人或者销售机构提供的有关投资目的、投资偏好、投资限制、财产收入情况和风险承受能力等基本情况真实、完整、准确、</w:t>
      </w:r>
      <w:r w:rsidRPr="00FB03DC">
        <w:rPr>
          <w:rFonts w:ascii="仿宋" w:eastAsia="仿宋" w:hAnsi="仿宋"/>
          <w:sz w:val="24"/>
          <w:lang w:eastAsia="zh-CN"/>
        </w:rPr>
        <w:lastRenderedPageBreak/>
        <w:t>合法，不存在虚假记载、误导性陈述或者重大遗漏。前述信息资料如发生任何实质性变更，及时书面告知管理人或者销售机构。</w:t>
      </w:r>
    </w:p>
    <w:p w14:paraId="2D8F035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投资者承诺以真实身份和合法合规的资金参与集合计划，保证财产的来源以及用途符合国家有关规定，未使用贷款、发行债券等筹集的非自有资金或其他非法筹集他人资金参与本集合计划（金融机构以发行产品所合法募集资金认购本计划的除外），投资事项符合法律法规的规定及业务决策程序的要求，且不违反任何对投资者有法律约束力的协议或法规等文件。</w:t>
      </w:r>
    </w:p>
    <w:p w14:paraId="6281179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投资者承诺其知悉《中华人民共和国反洗钱法》、《金融机构大额交易和可疑交易报告管理办法》、《金融机构客户尽职调查和客户身份资料及交易记录保存管理办法》、《金融机构反洗钱和反恐怖融资监督管理办法》、《中国人民银行关于加强反洗钱客户身份识别有关工作的通知》等反洗钱相关法律法规的规定，将严格遵守上述规定，不会违反任何前述规定；承诺用于投资的资金来源不属于违法犯罪所得及其收益；承诺投资的资金来源和去向不涉及洗钱、恐怖融资和逃税等行为；承诺出示真实有效的身份证件或者其他身份证明文件，提供真实有效的业务性质与股权或者控制权结构、受益所有人信息等资料；承诺积极履行反洗钱职责，不借助本业务进行洗钱等违法犯罪活动。投资者承诺其不属于中国有权机关、联合国、欧盟或美国等制裁名单或禁止名单内的企业或个人，不位于被中国有权机关、联合国、欧盟或美国等主权国家或国际组织制裁的国家和地区。</w:t>
      </w:r>
    </w:p>
    <w:p w14:paraId="0D740CE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投资者声明若出资为本人/本机构通过设立的私募资产管理计划等合法募集所得，投资者保证资金来源和用途符合有关法律法规的规定，投资者将按管理人需要如实、及时提供最终投资人身份信息材料，法律法规或监管机关另有规定的除外。</w:t>
      </w:r>
    </w:p>
    <w:p w14:paraId="381EA63F"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5、投资者声明已充分理解本合同条款，了解相关权利义务，了解有关法律法规以及所投资资产管理计划的风险收益特征，知晓管理人、托管人以及相关机构不应对资产管理计划的收益状况或者本金不受损失作出任何承诺，了解“卖者尽责，买者自负”的原则，投资于本计划将自行承担投资风险。</w:t>
      </w:r>
      <w:r w:rsidRPr="00FB03DC">
        <w:rPr>
          <w:rFonts w:ascii="仿宋" w:eastAsia="仿宋" w:hAnsi="仿宋" w:hint="eastAsia"/>
          <w:b/>
          <w:bCs/>
          <w:sz w:val="24"/>
          <w:lang w:eastAsia="zh-CN"/>
        </w:rPr>
        <w:t>为避免疑义，无论本合同、说明书、风险揭示书或其他文件中是否存在不同表述，投</w:t>
      </w:r>
      <w:r w:rsidRPr="00FB03DC">
        <w:rPr>
          <w:rFonts w:ascii="仿宋" w:eastAsia="仿宋" w:hAnsi="仿宋" w:hint="eastAsia"/>
          <w:b/>
          <w:bCs/>
          <w:sz w:val="24"/>
          <w:lang w:eastAsia="zh-CN"/>
        </w:rPr>
        <w:lastRenderedPageBreak/>
        <w:t>资者在本合同或风险揭示书中任何表示接受投资风险及承担投资损失的表述，均不代表投资者接受因管理人、托管人等过错造成的其他损失。</w:t>
      </w:r>
    </w:p>
    <w:p w14:paraId="0ADC938F" w14:textId="77777777" w:rsidR="00F31CD2" w:rsidRPr="00FB03DC" w:rsidRDefault="00A71D56">
      <w:pPr>
        <w:spacing w:line="360" w:lineRule="auto"/>
        <w:ind w:firstLine="482"/>
        <w:rPr>
          <w:rFonts w:ascii="仿宋" w:eastAsia="仿宋" w:hAnsi="仿宋"/>
          <w:b/>
          <w:bCs/>
          <w:sz w:val="24"/>
          <w:szCs w:val="24"/>
          <w:lang w:eastAsia="zh-CN" w:bidi="en-US"/>
        </w:rPr>
      </w:pPr>
      <w:r w:rsidRPr="00FB03DC">
        <w:rPr>
          <w:rFonts w:ascii="仿宋" w:eastAsia="仿宋" w:hAnsi="仿宋"/>
          <w:b/>
          <w:bCs/>
          <w:sz w:val="24"/>
          <w:szCs w:val="24"/>
          <w:lang w:eastAsia="zh-CN" w:bidi="en-US"/>
        </w:rPr>
        <w:t>管理人在此提示：</w:t>
      </w:r>
    </w:p>
    <w:p w14:paraId="4B15922A" w14:textId="77777777" w:rsidR="00F31CD2" w:rsidRPr="00FB03DC" w:rsidRDefault="00A71D56">
      <w:pPr>
        <w:spacing w:line="360" w:lineRule="auto"/>
        <w:ind w:firstLine="482"/>
        <w:rPr>
          <w:rFonts w:ascii="仿宋" w:eastAsia="仿宋" w:hAnsi="仿宋"/>
          <w:b/>
          <w:bCs/>
          <w:sz w:val="24"/>
          <w:szCs w:val="24"/>
          <w:lang w:eastAsia="zh-CN" w:bidi="en-US"/>
        </w:rPr>
      </w:pPr>
      <w:r w:rsidRPr="00FB03DC">
        <w:rPr>
          <w:rFonts w:ascii="仿宋" w:eastAsia="仿宋" w:hAnsi="仿宋"/>
          <w:b/>
          <w:bCs/>
          <w:sz w:val="24"/>
          <w:szCs w:val="24"/>
          <w:lang w:eastAsia="zh-CN" w:bidi="en-US"/>
        </w:rPr>
        <w:t>根据现行法律法规及内部管理要求，管理人对员工有明确的通信管理要求。管理人未授权或指示员工通过个人微信、个人QQ、个人邮箱、个人手机等个人即时通讯工具就产品管理、投资运作等产品相关事宜与投资者进行沟通、交流或确认。如员工个人实施上述通信行为，则该等行为不属于其职务行为，不代表管理人授权认可，对管理人不构成法律约束效力及法律责任。</w:t>
      </w:r>
    </w:p>
    <w:p w14:paraId="15953E76"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szCs w:val="24"/>
          <w:lang w:eastAsia="zh-CN" w:bidi="en-US"/>
        </w:rPr>
        <w:t>投资者在此确认，已充分理解并认可上述提示内容，自行承担投资风险和损失。</w:t>
      </w:r>
    </w:p>
    <w:p w14:paraId="1989E93F" w14:textId="77777777" w:rsidR="00F31CD2" w:rsidRPr="00FB03DC" w:rsidRDefault="00F31CD2">
      <w:pPr>
        <w:spacing w:line="360" w:lineRule="auto"/>
        <w:ind w:firstLine="482"/>
        <w:rPr>
          <w:rFonts w:ascii="仿宋" w:eastAsia="仿宋" w:hAnsi="仿宋"/>
          <w:b/>
          <w:bCs/>
          <w:sz w:val="24"/>
          <w:lang w:eastAsia="zh-CN"/>
        </w:rPr>
      </w:pPr>
    </w:p>
    <w:p w14:paraId="5AC5C816" w14:textId="77777777" w:rsidR="00F31CD2" w:rsidRPr="00FB03DC" w:rsidRDefault="00F31CD2">
      <w:pPr>
        <w:spacing w:line="360" w:lineRule="auto"/>
        <w:ind w:firstLine="480"/>
        <w:rPr>
          <w:rFonts w:ascii="仿宋" w:eastAsia="仿宋" w:hAnsi="仿宋"/>
          <w:sz w:val="24"/>
          <w:lang w:eastAsia="zh-CN"/>
        </w:rPr>
      </w:pPr>
    </w:p>
    <w:p w14:paraId="7099E8A7" w14:textId="77777777" w:rsidR="00F31CD2" w:rsidRPr="00FB03DC" w:rsidRDefault="00F31CD2">
      <w:pPr>
        <w:spacing w:line="360" w:lineRule="auto"/>
        <w:rPr>
          <w:rFonts w:ascii="仿宋" w:eastAsia="仿宋" w:hAnsi="仿宋"/>
          <w:sz w:val="32"/>
          <w:szCs w:val="32"/>
          <w:lang w:eastAsia="zh-CN"/>
        </w:rPr>
      </w:pPr>
    </w:p>
    <w:p w14:paraId="5B7F47C0" w14:textId="77777777" w:rsidR="00F31CD2" w:rsidRPr="00FB03DC" w:rsidRDefault="00A71D56">
      <w:pPr>
        <w:pStyle w:val="2"/>
        <w:spacing w:before="0" w:after="0" w:line="360" w:lineRule="auto"/>
        <w:ind w:firstLine="643"/>
        <w:rPr>
          <w:rFonts w:ascii="仿宋" w:eastAsia="仿宋" w:hAnsi="仿宋"/>
          <w:b/>
          <w:bCs/>
          <w:lang w:eastAsia="zh-CN"/>
        </w:rPr>
      </w:pPr>
      <w:bookmarkStart w:id="43" w:name="_Toc334185931"/>
      <w:bookmarkStart w:id="44" w:name="_Toc6313409"/>
      <w:bookmarkStart w:id="45" w:name="_Toc3173"/>
      <w:bookmarkStart w:id="46" w:name="_Toc51775860"/>
      <w:bookmarkStart w:id="47" w:name="_Toc22890"/>
      <w:bookmarkStart w:id="48" w:name="_Toc8316"/>
      <w:bookmarkStart w:id="49" w:name="_Toc2886"/>
      <w:bookmarkStart w:id="50" w:name="_Toc159589289"/>
      <w:bookmarkStart w:id="51" w:name="_Toc25719"/>
      <w:bookmarkStart w:id="52" w:name="_Toc24627"/>
      <w:r w:rsidRPr="00FB03DC">
        <w:rPr>
          <w:rFonts w:ascii="仿宋" w:eastAsia="仿宋" w:hAnsi="仿宋"/>
          <w:b/>
          <w:bCs/>
          <w:lang w:eastAsia="zh-CN"/>
        </w:rPr>
        <w:br w:type="page"/>
      </w:r>
      <w:bookmarkStart w:id="53" w:name="_Toc198731916"/>
      <w:r w:rsidRPr="00FB03DC">
        <w:rPr>
          <w:rFonts w:ascii="仿宋" w:eastAsia="仿宋" w:hAnsi="仿宋"/>
          <w:b/>
          <w:bCs/>
          <w:lang w:eastAsia="zh-CN"/>
        </w:rPr>
        <w:lastRenderedPageBreak/>
        <w:t>四、</w:t>
      </w:r>
      <w:bookmarkEnd w:id="43"/>
      <w:r w:rsidRPr="00FB03DC">
        <w:rPr>
          <w:rFonts w:ascii="仿宋" w:eastAsia="仿宋" w:hAnsi="仿宋"/>
          <w:b/>
          <w:bCs/>
          <w:lang w:eastAsia="zh-CN"/>
        </w:rPr>
        <w:t>当事人及权利义务</w:t>
      </w:r>
      <w:bookmarkEnd w:id="44"/>
      <w:bookmarkEnd w:id="45"/>
      <w:bookmarkEnd w:id="46"/>
      <w:bookmarkEnd w:id="47"/>
      <w:bookmarkEnd w:id="48"/>
      <w:bookmarkEnd w:id="49"/>
      <w:bookmarkEnd w:id="50"/>
      <w:bookmarkEnd w:id="51"/>
      <w:bookmarkEnd w:id="52"/>
      <w:bookmarkEnd w:id="53"/>
    </w:p>
    <w:p w14:paraId="3CF07EF8" w14:textId="77777777" w:rsidR="00F31CD2" w:rsidRPr="00FB03DC" w:rsidRDefault="00A71D56">
      <w:pPr>
        <w:spacing w:line="360" w:lineRule="auto"/>
        <w:ind w:firstLine="480"/>
        <w:outlineLvl w:val="1"/>
        <w:rPr>
          <w:rFonts w:ascii="仿宋" w:eastAsia="仿宋" w:hAnsi="仿宋"/>
          <w:sz w:val="24"/>
          <w:lang w:eastAsia="zh-CN"/>
        </w:rPr>
      </w:pPr>
      <w:bookmarkStart w:id="54" w:name="_Toc16183"/>
      <w:bookmarkStart w:id="55" w:name="_Toc198731917"/>
      <w:bookmarkStart w:id="56" w:name="_Toc32519"/>
      <w:r w:rsidRPr="00FB03DC">
        <w:rPr>
          <w:rFonts w:ascii="仿宋" w:eastAsia="仿宋" w:hAnsi="仿宋"/>
          <w:sz w:val="24"/>
          <w:lang w:eastAsia="zh-CN"/>
        </w:rPr>
        <w:t>（一）当事人基本情况</w:t>
      </w:r>
      <w:bookmarkEnd w:id="54"/>
      <w:bookmarkEnd w:id="55"/>
      <w:bookmarkEnd w:id="56"/>
    </w:p>
    <w:p w14:paraId="7143D159" w14:textId="77777777" w:rsidR="00F31CD2" w:rsidRPr="00FB03DC" w:rsidRDefault="00A71D56">
      <w:pPr>
        <w:pStyle w:val="35"/>
        <w:ind w:firstLine="480"/>
        <w:outlineLvl w:val="2"/>
        <w:rPr>
          <w:rFonts w:ascii="仿宋" w:eastAsia="仿宋" w:hAnsi="仿宋"/>
          <w:sz w:val="24"/>
          <w:szCs w:val="24"/>
          <w:lang w:eastAsia="zh-CN"/>
        </w:rPr>
      </w:pPr>
      <w:r w:rsidRPr="00FB03DC">
        <w:rPr>
          <w:rFonts w:ascii="仿宋" w:eastAsia="仿宋" w:hAnsi="仿宋"/>
          <w:sz w:val="24"/>
          <w:szCs w:val="24"/>
          <w:lang w:eastAsia="zh-CN"/>
        </w:rPr>
        <w:t>1、投资者</w:t>
      </w:r>
    </w:p>
    <w:p w14:paraId="51C33AB1" w14:textId="77777777" w:rsidR="00F31CD2" w:rsidRPr="00FB03DC" w:rsidRDefault="00A71D56">
      <w:pPr>
        <w:spacing w:line="360" w:lineRule="auto"/>
        <w:ind w:firstLine="480"/>
        <w:rPr>
          <w:rFonts w:ascii="仿宋" w:eastAsia="仿宋" w:hAnsi="仿宋"/>
          <w:bCs/>
          <w:sz w:val="24"/>
          <w:lang w:eastAsia="zh-CN"/>
        </w:rPr>
      </w:pPr>
      <w:r w:rsidRPr="00FB03DC">
        <w:rPr>
          <w:rFonts w:ascii="仿宋" w:eastAsia="仿宋" w:hAnsi="仿宋"/>
          <w:sz w:val="24"/>
          <w:lang w:eastAsia="zh-CN"/>
        </w:rPr>
        <w:t>投资者身份资料</w:t>
      </w:r>
      <w:r w:rsidRPr="00FB03DC">
        <w:rPr>
          <w:rFonts w:ascii="仿宋" w:eastAsia="仿宋" w:hAnsi="仿宋"/>
          <w:bCs/>
          <w:sz w:val="24"/>
          <w:lang w:eastAsia="zh-CN"/>
        </w:rPr>
        <w:t>以投资者与各销售机构签订的合同及签名约定书中所确定的</w:t>
      </w:r>
      <w:r w:rsidRPr="00FB03DC">
        <w:rPr>
          <w:rFonts w:ascii="仿宋" w:eastAsia="仿宋" w:hAnsi="仿宋"/>
          <w:sz w:val="24"/>
          <w:lang w:eastAsia="zh-CN"/>
        </w:rPr>
        <w:t>内容</w:t>
      </w:r>
      <w:r w:rsidRPr="00FB03DC">
        <w:rPr>
          <w:rFonts w:ascii="仿宋" w:eastAsia="仿宋" w:hAnsi="仿宋"/>
          <w:bCs/>
          <w:sz w:val="24"/>
          <w:lang w:eastAsia="zh-CN"/>
        </w:rPr>
        <w:t>为准。</w:t>
      </w:r>
    </w:p>
    <w:p w14:paraId="49AF7FC7" w14:textId="77777777" w:rsidR="00F31CD2" w:rsidRPr="00FB03DC" w:rsidRDefault="00A71D56">
      <w:pPr>
        <w:pStyle w:val="35"/>
        <w:ind w:firstLine="480"/>
        <w:outlineLvl w:val="2"/>
        <w:rPr>
          <w:rFonts w:ascii="仿宋" w:eastAsia="仿宋" w:hAnsi="仿宋"/>
          <w:sz w:val="24"/>
          <w:szCs w:val="24"/>
          <w:lang w:eastAsia="zh-CN"/>
        </w:rPr>
      </w:pPr>
      <w:r w:rsidRPr="00FB03DC">
        <w:rPr>
          <w:rFonts w:ascii="仿宋" w:eastAsia="仿宋" w:hAnsi="仿宋"/>
          <w:sz w:val="24"/>
          <w:szCs w:val="24"/>
          <w:lang w:eastAsia="zh-CN"/>
        </w:rPr>
        <w:t>2、管理人</w:t>
      </w:r>
    </w:p>
    <w:p w14:paraId="6CC5C93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机构名称：华泰证券（上海）资产管理有限公司</w:t>
      </w:r>
    </w:p>
    <w:p w14:paraId="7AC5073D" w14:textId="11D2EEB8"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法定代表人：</w:t>
      </w:r>
      <w:r w:rsidR="00176331">
        <w:rPr>
          <w:rFonts w:ascii="仿宋" w:eastAsia="仿宋" w:hAnsi="仿宋" w:hint="eastAsia"/>
          <w:sz w:val="24"/>
          <w:lang w:eastAsia="zh-CN"/>
        </w:rPr>
        <w:t>江晓阳</w:t>
      </w:r>
      <w:r w:rsidRPr="00FB03DC">
        <w:rPr>
          <w:rFonts w:ascii="仿宋" w:eastAsia="仿宋" w:hAnsi="仿宋"/>
          <w:sz w:val="24"/>
          <w:lang w:eastAsia="zh-CN"/>
        </w:rPr>
        <w:t xml:space="preserve">                       </w:t>
      </w:r>
    </w:p>
    <w:p w14:paraId="73B39B4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住所：中国（上海）自由贸易试验区基隆路6号1222室</w:t>
      </w:r>
    </w:p>
    <w:p w14:paraId="4C58F73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通信地址： 上海市浦东新区东方路18号保利广场E座21楼</w:t>
      </w:r>
    </w:p>
    <w:p w14:paraId="0C0FEB2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邮政编码： 200120</w:t>
      </w:r>
    </w:p>
    <w:p w14:paraId="59BCA3D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联系电话：021-68984251      </w:t>
      </w:r>
    </w:p>
    <w:p w14:paraId="34E627D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联系人： 陆顺    </w:t>
      </w:r>
    </w:p>
    <w:p w14:paraId="7C92B6BF" w14:textId="77777777" w:rsidR="00F31CD2" w:rsidRPr="00FB03DC" w:rsidRDefault="00A71D56">
      <w:pPr>
        <w:pStyle w:val="35"/>
        <w:ind w:firstLine="480"/>
        <w:outlineLvl w:val="2"/>
        <w:rPr>
          <w:rFonts w:ascii="仿宋" w:eastAsia="仿宋" w:hAnsi="仿宋"/>
          <w:sz w:val="24"/>
          <w:szCs w:val="24"/>
          <w:lang w:eastAsia="zh-CN"/>
        </w:rPr>
      </w:pPr>
      <w:r w:rsidRPr="00FB03DC">
        <w:rPr>
          <w:rFonts w:ascii="仿宋" w:eastAsia="仿宋" w:hAnsi="仿宋"/>
          <w:sz w:val="24"/>
          <w:szCs w:val="24"/>
          <w:lang w:eastAsia="zh-CN"/>
        </w:rPr>
        <w:t>3、托管人</w:t>
      </w:r>
    </w:p>
    <w:p w14:paraId="2379A936" w14:textId="68389A46"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机构名称：</w:t>
      </w:r>
      <w:r w:rsidRPr="00FB03DC">
        <w:rPr>
          <w:rFonts w:ascii="仿宋" w:eastAsia="仿宋" w:hAnsi="仿宋" w:hint="eastAsia"/>
          <w:sz w:val="24"/>
          <w:lang w:eastAsia="zh-CN"/>
        </w:rPr>
        <w:t>中国银行股份有限公司北京市分行</w:t>
      </w:r>
      <w:r w:rsidRPr="00FB03DC">
        <w:rPr>
          <w:rFonts w:ascii="仿宋" w:eastAsia="仿宋" w:hAnsi="仿宋"/>
          <w:sz w:val="24"/>
          <w:lang w:eastAsia="zh-CN"/>
        </w:rPr>
        <w:t xml:space="preserve">     </w:t>
      </w:r>
    </w:p>
    <w:p w14:paraId="0D5D3EC8" w14:textId="5E8358ED"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负责人： </w:t>
      </w:r>
      <w:r w:rsidRPr="00FB03DC">
        <w:rPr>
          <w:rFonts w:ascii="仿宋" w:eastAsia="仿宋" w:hAnsi="仿宋" w:hint="eastAsia"/>
          <w:sz w:val="24"/>
          <w:lang w:eastAsia="zh-CN"/>
        </w:rPr>
        <w:t>蔡兴华</w:t>
      </w:r>
      <w:r w:rsidRPr="00FB03DC">
        <w:rPr>
          <w:rFonts w:ascii="仿宋" w:eastAsia="仿宋" w:hAnsi="仿宋"/>
          <w:sz w:val="24"/>
          <w:lang w:eastAsia="zh-CN"/>
        </w:rPr>
        <w:t xml:space="preserve">       </w:t>
      </w:r>
    </w:p>
    <w:p w14:paraId="4D3E410B" w14:textId="11280C7B"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住所： </w:t>
      </w:r>
      <w:r w:rsidRPr="00FB03DC">
        <w:rPr>
          <w:rFonts w:ascii="仿宋" w:eastAsia="仿宋" w:hAnsi="仿宋" w:hint="eastAsia"/>
          <w:sz w:val="24"/>
          <w:lang w:eastAsia="zh-CN"/>
        </w:rPr>
        <w:t>中国北京市东城区朝阳门内大街2号凯恒中心A、C、E座</w:t>
      </w:r>
      <w:r w:rsidRPr="00FB03DC">
        <w:rPr>
          <w:rFonts w:ascii="仿宋" w:eastAsia="仿宋" w:hAnsi="仿宋"/>
          <w:sz w:val="24"/>
          <w:lang w:eastAsia="zh-CN"/>
        </w:rPr>
        <w:t xml:space="preserve">    </w:t>
      </w:r>
    </w:p>
    <w:p w14:paraId="68521A49" w14:textId="250238F8"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通信地址： </w:t>
      </w:r>
      <w:r w:rsidRPr="00FB03DC">
        <w:rPr>
          <w:rFonts w:ascii="仿宋" w:eastAsia="仿宋" w:hAnsi="仿宋" w:hint="eastAsia"/>
          <w:sz w:val="24"/>
          <w:lang w:eastAsia="zh-CN"/>
        </w:rPr>
        <w:t>中国北京市东城区朝阳门内大街2号凯恒中心A、C、E座</w:t>
      </w:r>
      <w:r w:rsidRPr="00FB03DC">
        <w:rPr>
          <w:rFonts w:ascii="仿宋" w:eastAsia="仿宋" w:hAnsi="仿宋"/>
          <w:sz w:val="24"/>
          <w:lang w:eastAsia="zh-CN"/>
        </w:rPr>
        <w:t xml:space="preserve">     </w:t>
      </w:r>
    </w:p>
    <w:p w14:paraId="30C753D0" w14:textId="6150532A"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邮政编码：</w:t>
      </w:r>
      <w:r w:rsidRPr="00FB03DC">
        <w:rPr>
          <w:rFonts w:ascii="仿宋" w:eastAsia="仿宋" w:hAnsi="仿宋" w:hint="eastAsia"/>
          <w:sz w:val="24"/>
          <w:lang w:eastAsia="zh-CN"/>
        </w:rPr>
        <w:t>100010</w:t>
      </w:r>
      <w:r w:rsidRPr="00FB03DC">
        <w:rPr>
          <w:rFonts w:ascii="仿宋" w:eastAsia="仿宋" w:hAnsi="仿宋"/>
          <w:sz w:val="24"/>
          <w:lang w:eastAsia="zh-CN"/>
        </w:rPr>
        <w:t xml:space="preserve">     </w:t>
      </w:r>
    </w:p>
    <w:p w14:paraId="69E71E9D" w14:textId="619360A0"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联系电话：</w:t>
      </w:r>
      <w:r w:rsidRPr="00FB03DC">
        <w:rPr>
          <w:rFonts w:ascii="仿宋" w:eastAsia="仿宋" w:hAnsi="仿宋" w:hint="eastAsia"/>
          <w:sz w:val="24"/>
          <w:lang w:eastAsia="zh-CN"/>
        </w:rPr>
        <w:t>010-85123538</w:t>
      </w:r>
      <w:r w:rsidRPr="00FB03DC">
        <w:rPr>
          <w:rFonts w:ascii="仿宋" w:eastAsia="仿宋" w:hAnsi="仿宋"/>
          <w:sz w:val="24"/>
          <w:lang w:eastAsia="zh-CN"/>
        </w:rPr>
        <w:t xml:space="preserve">     </w:t>
      </w:r>
    </w:p>
    <w:p w14:paraId="628E54E2" w14:textId="6DEEC951"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联系人： </w:t>
      </w:r>
      <w:r w:rsidRPr="00FB03DC">
        <w:rPr>
          <w:rFonts w:ascii="仿宋" w:eastAsia="仿宋" w:hAnsi="仿宋" w:hint="eastAsia"/>
          <w:sz w:val="24"/>
          <w:lang w:eastAsia="zh-CN"/>
        </w:rPr>
        <w:t>高远</w:t>
      </w:r>
      <w:r w:rsidRPr="00FB03DC">
        <w:rPr>
          <w:rFonts w:ascii="仿宋" w:eastAsia="仿宋" w:hAnsi="仿宋"/>
          <w:sz w:val="24"/>
          <w:lang w:eastAsia="zh-CN"/>
        </w:rPr>
        <w:t xml:space="preserve">     </w:t>
      </w:r>
    </w:p>
    <w:p w14:paraId="095B58DE" w14:textId="77777777" w:rsidR="00F31CD2" w:rsidRPr="00FB03DC" w:rsidRDefault="00A71D56">
      <w:pPr>
        <w:spacing w:line="360" w:lineRule="auto"/>
        <w:ind w:firstLine="480"/>
        <w:outlineLvl w:val="1"/>
        <w:rPr>
          <w:rFonts w:ascii="仿宋" w:eastAsia="仿宋" w:hAnsi="仿宋"/>
          <w:sz w:val="24"/>
          <w:lang w:eastAsia="zh-CN"/>
        </w:rPr>
      </w:pPr>
      <w:bookmarkStart w:id="57" w:name="_Toc198731918"/>
      <w:r w:rsidRPr="00FB03DC">
        <w:rPr>
          <w:rFonts w:ascii="仿宋" w:eastAsia="仿宋" w:hAnsi="仿宋"/>
          <w:sz w:val="24"/>
          <w:lang w:eastAsia="zh-CN"/>
        </w:rPr>
        <w:t>（二）份额设置情况</w:t>
      </w:r>
      <w:bookmarkEnd w:id="57"/>
    </w:p>
    <w:p w14:paraId="106CEC4E"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本集合计划份额为</w:t>
      </w:r>
      <w:r w:rsidRPr="00FB03DC">
        <w:rPr>
          <w:rFonts w:ascii="仿宋" w:eastAsia="仿宋" w:hAnsi="仿宋"/>
          <w:sz w:val="24"/>
          <w:szCs w:val="24"/>
          <w:lang w:eastAsia="zh-CN"/>
        </w:rPr>
        <w:t>均等</w:t>
      </w:r>
      <w:r w:rsidRPr="00FB03DC">
        <w:rPr>
          <w:rFonts w:ascii="仿宋" w:eastAsia="仿宋" w:hAnsi="仿宋"/>
          <w:sz w:val="24"/>
          <w:lang w:eastAsia="zh-CN"/>
        </w:rPr>
        <w:t>份额，每份份额享有同等权益，承担同等风险。</w:t>
      </w:r>
    </w:p>
    <w:p w14:paraId="3DB233E5" w14:textId="77777777" w:rsidR="00F31CD2" w:rsidRPr="00FB03DC" w:rsidRDefault="00A71D56">
      <w:pPr>
        <w:spacing w:line="360" w:lineRule="auto"/>
        <w:ind w:firstLine="480"/>
        <w:outlineLvl w:val="1"/>
        <w:rPr>
          <w:rFonts w:ascii="仿宋" w:eastAsia="仿宋" w:hAnsi="仿宋"/>
          <w:sz w:val="24"/>
          <w:lang w:eastAsia="zh-CN"/>
        </w:rPr>
      </w:pPr>
      <w:bookmarkStart w:id="58" w:name="_Toc198731919"/>
      <w:r w:rsidRPr="00FB03DC">
        <w:rPr>
          <w:rFonts w:ascii="仿宋" w:eastAsia="仿宋" w:hAnsi="仿宋"/>
          <w:sz w:val="24"/>
          <w:lang w:eastAsia="zh-CN"/>
        </w:rPr>
        <w:t>（三）投资者的权利和义务</w:t>
      </w:r>
      <w:bookmarkEnd w:id="58"/>
    </w:p>
    <w:p w14:paraId="787D9D92" w14:textId="77777777" w:rsidR="00F31CD2" w:rsidRPr="00FB03DC" w:rsidRDefault="00A71D56">
      <w:pPr>
        <w:pStyle w:val="35"/>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1、投资者的权利</w:t>
      </w:r>
    </w:p>
    <w:p w14:paraId="0612F1E3"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（1）分享资产管理计划财产收益；</w:t>
      </w:r>
    </w:p>
    <w:p w14:paraId="1FD6511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（2）取得分配清算后的剩余资产管理计划财产；</w:t>
      </w:r>
    </w:p>
    <w:p w14:paraId="7BF14E4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（3）按照本合同的约定参与、退出和转让资产管理计划份额；</w:t>
      </w:r>
    </w:p>
    <w:p w14:paraId="73549D62"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（4）按照本合同约定的时间和方式获得资产管理计划的信息披露资料；</w:t>
      </w:r>
    </w:p>
    <w:p w14:paraId="10269D3C"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（5）监督管理人、托管人履行投资管理和托管义务的情况；</w:t>
      </w:r>
    </w:p>
    <w:p w14:paraId="346AB82D"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（6）法律、行政法规、中国证监会及协会规定和资产管理合同约定的其他权利。</w:t>
      </w:r>
    </w:p>
    <w:p w14:paraId="7D2864B8" w14:textId="77777777" w:rsidR="00F31CD2" w:rsidRPr="00FB03DC" w:rsidRDefault="00A71D56">
      <w:pPr>
        <w:pStyle w:val="35"/>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2、投资者的义务</w:t>
      </w:r>
    </w:p>
    <w:p w14:paraId="11ACE6E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（1）认真阅读并遵守资产管理合同，保证投资资金的来源及用途合法；</w:t>
      </w:r>
    </w:p>
    <w:p w14:paraId="3122C95E"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（2）接受合格投资者认定程序，如实填写风险识别能力和风险承担能力问卷，如实提供资金来源、金融资产、收入及负债情况，并对其真实性、准确性和完整性负责，签署合格投资者相关文件；</w:t>
      </w:r>
    </w:p>
    <w:p w14:paraId="1E93DD63"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（3）除公募资产管理产品外，以合伙企业、契约等非法人形式直接或者间接投资于资产管理计划的，应当向管理人充分披露实际投资者和最终资金来源；</w:t>
      </w:r>
    </w:p>
    <w:p w14:paraId="29A0E852"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（4）按照规定向管理人或者资产管理计划销售机构提供信息资料以及身份证明文件，配合管理人或者其销售机构完成投资者适当性管理、非居民金融账户涉税信息尽职调查、反洗钱等监管规定的工作；</w:t>
      </w:r>
    </w:p>
    <w:p w14:paraId="1CFD64F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（5）认真阅读并签署风险揭示书；</w:t>
      </w:r>
    </w:p>
    <w:p w14:paraId="4016FCAC"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（6）在持有的资产管理计划份额范围内，承担资产管理计划亏损或者终止的有限责任；</w:t>
      </w:r>
    </w:p>
    <w:p w14:paraId="4CE81B04"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（7）按照资产管理合同约定支付资产管理计划份额的参与款项，承担资产管理合同约定的管理费、业绩报酬（如有）、托管费、审计费、税费等合理费用；</w:t>
      </w:r>
    </w:p>
    <w:p w14:paraId="7F613BB2"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lang w:eastAsia="zh-CN"/>
        </w:rPr>
        <w:t>（8）</w:t>
      </w:r>
      <w:r w:rsidRPr="00FB03DC">
        <w:rPr>
          <w:rFonts w:ascii="仿宋" w:eastAsia="仿宋" w:hAnsi="仿宋"/>
          <w:sz w:val="24"/>
          <w:szCs w:val="24"/>
          <w:lang w:eastAsia="zh-CN"/>
        </w:rPr>
        <w:t>在销售机构或签署电子合同时应留存真实、准确的身份资料和真实、有效、畅通的联络方式；在联络方式变更时，及时以书面方式通知管理人或者销售机构；管理人或者销售机构收到投资者通知的时间视为送达时间；投资者未书面通知管理人或者销售机构的，管理人或者销售机构以投资者原留存的联络方式为准；</w:t>
      </w:r>
    </w:p>
    <w:p w14:paraId="503C144C"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9）若本集合计划可采用电子签名合同，投资者应当如实提供与签署电子合同相关的信息和资料。投资者应当以自己的名义在参与网点开立指定资金账户，办理指定手续，用于办理委托划款、红利款项、退出款项以及清算款项的收取，并承诺在本合同有效期内，不得撤销该账户，并妥善保管账户资料；</w:t>
      </w:r>
    </w:p>
    <w:p w14:paraId="2BE39289"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（10）不得违反资产管理合同的约定干涉管理人的投资行为；</w:t>
      </w:r>
    </w:p>
    <w:p w14:paraId="54794CF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（11）不得从事任何有损资产管理计划及其投资者、管理人管理的其他资产以及托管人托管的其他资产合法权益的活动；</w:t>
      </w:r>
    </w:p>
    <w:p w14:paraId="4C8A663D"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（12）不得利用资产管理计划相关信息进行内幕交易或者其他不当、违法的证券期货业务活动；</w:t>
      </w:r>
    </w:p>
    <w:p w14:paraId="74810913"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（13）保守商业秘密，不得泄露资产管理计划的投资计划、投资意向、投资信息等，依法依规</w:t>
      </w:r>
      <w:r w:rsidRPr="00FB03DC">
        <w:rPr>
          <w:rFonts w:ascii="仿宋" w:eastAsia="仿宋" w:hAnsi="仿宋" w:hint="eastAsia"/>
          <w:sz w:val="24"/>
          <w:szCs w:val="24"/>
          <w:lang w:eastAsia="zh-CN"/>
        </w:rPr>
        <w:t>以及依照本合同约定</w:t>
      </w:r>
      <w:r w:rsidRPr="00FB03DC">
        <w:rPr>
          <w:rFonts w:ascii="仿宋" w:eastAsia="仿宋" w:hAnsi="仿宋"/>
          <w:sz w:val="24"/>
          <w:szCs w:val="24"/>
          <w:lang w:eastAsia="zh-CN"/>
        </w:rPr>
        <w:t>提供信息的除外；</w:t>
      </w:r>
    </w:p>
    <w:p w14:paraId="154612B8"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hint="eastAsia"/>
          <w:sz w:val="24"/>
          <w:szCs w:val="24"/>
          <w:lang w:eastAsia="zh-CN"/>
        </w:rPr>
        <w:t>资产管理人及托管人了解并同意，投资者根据原银保监会《商业银行并表管理与监管指引》（银监发[2014]54号）的规定，按照商业银行投资者共享本协议约定的数据，不视为违反合同保密义务要求。投资者承诺，所共享的数据仅用以实现商业银行风险管控目的，不损害管理人及托管人的合法权益。</w:t>
      </w:r>
    </w:p>
    <w:p w14:paraId="3C48D737" w14:textId="77777777" w:rsidR="00F31CD2" w:rsidRPr="00FB03DC" w:rsidRDefault="00A71D56">
      <w:pPr>
        <w:pStyle w:val="35"/>
        <w:spacing w:line="360" w:lineRule="auto"/>
        <w:ind w:firstLine="480"/>
        <w:rPr>
          <w:rFonts w:ascii="仿宋" w:eastAsia="仿宋" w:hAnsi="仿宋"/>
          <w:sz w:val="24"/>
          <w:szCs w:val="24"/>
          <w:u w:val="single"/>
          <w:lang w:eastAsia="zh-CN"/>
        </w:rPr>
      </w:pPr>
      <w:r w:rsidRPr="00FB03DC">
        <w:rPr>
          <w:rFonts w:ascii="仿宋" w:eastAsia="仿宋" w:hAnsi="仿宋"/>
          <w:sz w:val="24"/>
          <w:szCs w:val="24"/>
          <w:lang w:eastAsia="zh-CN"/>
        </w:rPr>
        <w:t>（14）法律、行政法规、中国证监会及协会规定和资产管理合同约定的其他义务。</w:t>
      </w:r>
    </w:p>
    <w:p w14:paraId="51751F90" w14:textId="77777777" w:rsidR="00F31CD2" w:rsidRPr="00FB03DC" w:rsidRDefault="00A71D56">
      <w:pPr>
        <w:spacing w:line="360" w:lineRule="auto"/>
        <w:ind w:firstLine="480"/>
        <w:outlineLvl w:val="1"/>
        <w:rPr>
          <w:rFonts w:ascii="仿宋" w:eastAsia="仿宋" w:hAnsi="仿宋"/>
          <w:bCs/>
          <w:sz w:val="24"/>
          <w:lang w:eastAsia="zh-CN"/>
        </w:rPr>
      </w:pPr>
      <w:bookmarkStart w:id="59" w:name="_Toc1572"/>
      <w:bookmarkStart w:id="60" w:name="_Toc198731920"/>
      <w:bookmarkStart w:id="61" w:name="_Toc3242"/>
      <w:r w:rsidRPr="00FB03DC">
        <w:rPr>
          <w:rFonts w:ascii="仿宋" w:eastAsia="仿宋" w:hAnsi="仿宋"/>
          <w:bCs/>
          <w:sz w:val="24"/>
          <w:lang w:eastAsia="zh-CN"/>
        </w:rPr>
        <w:t>（四）</w:t>
      </w:r>
      <w:r w:rsidRPr="00FB03DC">
        <w:rPr>
          <w:rFonts w:ascii="仿宋" w:eastAsia="仿宋" w:hAnsi="仿宋"/>
          <w:sz w:val="24"/>
          <w:lang w:eastAsia="zh-CN"/>
        </w:rPr>
        <w:t>管理人的权利和义务</w:t>
      </w:r>
      <w:bookmarkEnd w:id="59"/>
      <w:bookmarkEnd w:id="60"/>
      <w:bookmarkEnd w:id="61"/>
    </w:p>
    <w:p w14:paraId="1548B533" w14:textId="77777777" w:rsidR="00F31CD2" w:rsidRPr="00FB03DC" w:rsidRDefault="00A71D56">
      <w:pPr>
        <w:pStyle w:val="35"/>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1、管理人的权利</w:t>
      </w:r>
    </w:p>
    <w:p w14:paraId="215C2FDC"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（1）按照资产管理合同约定，独立管理和运用资产管理计划财产；</w:t>
      </w:r>
    </w:p>
    <w:p w14:paraId="68A4C597"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（2）按照资产管理合同约定及时、足额获得管理人管理费用和业绩报酬（如有）；</w:t>
      </w:r>
    </w:p>
    <w:p w14:paraId="143D145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（3）按照资产管理合同约定，停止或暂停办理集合计划份额的参与，暂停办理集合计划的退出事宜；</w:t>
      </w:r>
    </w:p>
    <w:p w14:paraId="06410E78"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（4）按照有关规定和资产管理合同约定行使因资产管理计划财产投资所产生的权利；</w:t>
      </w:r>
    </w:p>
    <w:p w14:paraId="08D4B71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（5）自行提供或者委托经中国证监会、协会认可的服务机构为资产管理计划提供募集、份额登记、估值与核算、信息技术系统等服务，并对其行为进行必要的监督和检查；</w:t>
      </w:r>
    </w:p>
    <w:p w14:paraId="637F8D6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（6）以管理人的名义，代表资产管理计划行使投资过程中产生的权属登记等权利；</w:t>
      </w:r>
    </w:p>
    <w:p w14:paraId="2F603874"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（7）按照资产管理合同约定，终止本集合计划的运作；</w:t>
      </w:r>
    </w:p>
    <w:p w14:paraId="19628F09"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（8）集合计划资产受到损害时，向有关责任人追究法律责任；</w:t>
      </w:r>
    </w:p>
    <w:p w14:paraId="75161E63"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（9）法律、行政法规、中国证监会及协会规定的及资产管理合同约定的其他权利。</w:t>
      </w:r>
    </w:p>
    <w:p w14:paraId="6C98BF29" w14:textId="77777777" w:rsidR="00F31CD2" w:rsidRPr="00FB03DC" w:rsidRDefault="00A71D56">
      <w:pPr>
        <w:pStyle w:val="35"/>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2、管理人的义务</w:t>
      </w:r>
    </w:p>
    <w:p w14:paraId="3AEA8A32"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（1）依法办理资产管理计划的销售、登记、备案事宜；</w:t>
      </w:r>
    </w:p>
    <w:p w14:paraId="52C4753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（2）按照协会要求报送资产管理计划产品运行信息；</w:t>
      </w:r>
    </w:p>
    <w:p w14:paraId="55D1525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（3）对投资者的风险识别能力和风险承受能力进行评估，向合格投资者非公开募集资金；</w:t>
      </w:r>
    </w:p>
    <w:p w14:paraId="5A4F9BA8"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（4）制作风险揭示书，向投资者充分揭示相关风险；</w:t>
      </w:r>
    </w:p>
    <w:p w14:paraId="3B1358A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（5）按照诚实信用、勤勉尽责的原则履行受托人义务，管理和运用资产管理计划财产；</w:t>
      </w:r>
    </w:p>
    <w:p w14:paraId="703C78E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（6）配备足够的具有专业能力的人员进行投资分析、决策，以专业化的经营方式管理和运作资产管理计划财产；</w:t>
      </w:r>
    </w:p>
    <w:p w14:paraId="5AF6E9EB"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（7）建立健全内部管理制度，保证本资产管理计划财产与其管理的其他资产管理计划财产、管理人的固有财产相互独立，对所管理的不同资产管理计划的受托财产分别管理，分别记账，进行投资；</w:t>
      </w:r>
    </w:p>
    <w:p w14:paraId="4D78B89B"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（8）按照资产管理合同约定接受投资者和托管人的监督；</w:t>
      </w:r>
    </w:p>
    <w:p w14:paraId="2B4F0327"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（9）确定资产管理计划份额参与、退出价格，采取适当、合理的措施确保份额交易价格的计算方法符合相关要求以及合同的约定；</w:t>
      </w:r>
    </w:p>
    <w:p w14:paraId="1138B7C7"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（10）按照资产管理合同约定计算并向投资者报告资产管理计划份额净值；</w:t>
      </w:r>
    </w:p>
    <w:p w14:paraId="47EF012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（11）对《管理办法》第三十八条第（五）项规定的非标准化资产和相关交易主体进行充分的尽职调查，形成书面工作底稿，并制作尽职调查报告.</w:t>
      </w:r>
    </w:p>
    <w:p w14:paraId="370BB698"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（12）按照资产管理合同约定负责资产管理计划会计核算并编制财务会计报告；</w:t>
      </w:r>
    </w:p>
    <w:p w14:paraId="5768AA0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（13）聘请符合《证券法》规定的会计师事务所对年度财务会计报告进行审计；</w:t>
      </w:r>
    </w:p>
    <w:p w14:paraId="654EB87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（14）按照资产管理合同的约定确定收益分配方案，及时向投资者分配收益；</w:t>
      </w:r>
    </w:p>
    <w:p w14:paraId="18076761"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（15）编制向投资者披露的资产管理计划季度、年度等定期报告；</w:t>
      </w:r>
    </w:p>
    <w:p w14:paraId="6F15A5EA"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（16）办理与受托财产管理业务活动有关的信息披露事项；</w:t>
      </w:r>
    </w:p>
    <w:p w14:paraId="2C8AEC42"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（17）组织并参加资产管理计划财产清算小组，参与资产管理财产的保管、清理、估价、变现和分配；</w:t>
      </w:r>
    </w:p>
    <w:p w14:paraId="68966954"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（18）以管理人的名义，代表投资者利益行使诉讼权利或者实施其他法律行为；</w:t>
      </w:r>
    </w:p>
    <w:p w14:paraId="6D53B50C"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（19）对于托管人违反法律、行政法规规定或者资产管理合同，对资产管理计划财产以及其他当事人的利益造成重大损失的，应当及时采取措施制止，并报告中国证监会相关派出机构；</w:t>
      </w:r>
    </w:p>
    <w:p w14:paraId="3F557F07"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（20）公平对待所管理的不同财产，不得从事任何有损资产管理计划财产以及其他当事人利益的活动；不得向管理人以及任何第三人输送利益；不得委托第三人运作资产管理计划财产；</w:t>
      </w:r>
    </w:p>
    <w:p w14:paraId="4DF6F82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（21）不得利用资产管理计划，通过直接投资、投资其他资产管理产品或者与他人进行交叉融资安排等方式，违规为本机构及其控股股东、实际控制人或者其他关联方提供融资；</w:t>
      </w:r>
    </w:p>
    <w:p w14:paraId="169AA40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（22）建立并保存投资者名单；</w:t>
      </w:r>
    </w:p>
    <w:p w14:paraId="459321F7"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（23）保存资产管理计划的会计账册，妥善保存有关的合同、协议、交易记录等文件、资料和数据，保存期限自资产管理计划终止之日起不得少于20年；</w:t>
      </w:r>
    </w:p>
    <w:p w14:paraId="388AEBE1"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（24）保守商业秘密，不得泄露资产管理计划的投资计划、投资意向、投资信息等，依法依规提供信息的除外；</w:t>
      </w:r>
    </w:p>
    <w:p w14:paraId="4487E6D6"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（25）面临解散、依法被撤销或者被依法宣告破产时，及时报告中国证监会相关派出机构、协会并通知托管人和投资者；</w:t>
      </w:r>
    </w:p>
    <w:p w14:paraId="2CAF804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（26）遵守中华人民共和国反洗钱法律法规，不参与涉嫌洗钱、恐怖融资、扩散融资等违法犯罪活动；根据法律法规的要求，</w:t>
      </w:r>
      <w:r w:rsidRPr="00FB03DC">
        <w:rPr>
          <w:rFonts w:ascii="仿宋" w:eastAsia="仿宋" w:hAnsi="仿宋" w:hint="eastAsia"/>
          <w:sz w:val="24"/>
          <w:szCs w:val="24"/>
          <w:lang w:eastAsia="zh-CN"/>
        </w:rPr>
        <w:t>履行客户尽职调查和客户身份资料及交易记录保存工作等反洗钱义务，采取持续的客户尽职调查措施，识别、核实产品受益所有人，在符合法律要求的情况下向托管人提供真实、准确、完整受益所有人资料</w:t>
      </w:r>
      <w:r w:rsidRPr="00FB03DC">
        <w:rPr>
          <w:rFonts w:ascii="仿宋" w:eastAsia="仿宋" w:hAnsi="仿宋"/>
          <w:sz w:val="24"/>
          <w:szCs w:val="24"/>
          <w:lang w:eastAsia="zh-CN"/>
        </w:rPr>
        <w:t>；</w:t>
      </w:r>
    </w:p>
    <w:p w14:paraId="63D7EF4A"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（27）法律、行政法规、中国证监会及协会规定和资产管理合同约定的其他义务。</w:t>
      </w:r>
    </w:p>
    <w:p w14:paraId="6E03D421" w14:textId="77777777" w:rsidR="00F31CD2" w:rsidRPr="00FB03DC" w:rsidRDefault="00A71D56">
      <w:pPr>
        <w:pStyle w:val="35"/>
        <w:tabs>
          <w:tab w:val="clear" w:pos="955"/>
        </w:tabs>
        <w:spacing w:line="360" w:lineRule="auto"/>
        <w:ind w:firstLine="480"/>
        <w:outlineLvl w:val="1"/>
        <w:rPr>
          <w:rFonts w:ascii="仿宋" w:eastAsia="仿宋" w:hAnsi="仿宋"/>
          <w:sz w:val="24"/>
          <w:szCs w:val="24"/>
          <w:lang w:eastAsia="zh-CN"/>
        </w:rPr>
      </w:pPr>
      <w:bookmarkStart w:id="62" w:name="_Toc198731921"/>
      <w:bookmarkStart w:id="63" w:name="_Toc5890"/>
      <w:bookmarkStart w:id="64" w:name="_Toc29531"/>
      <w:r w:rsidRPr="00FB03DC">
        <w:rPr>
          <w:rFonts w:ascii="仿宋" w:eastAsia="仿宋" w:hAnsi="仿宋"/>
          <w:sz w:val="24"/>
          <w:szCs w:val="24"/>
          <w:lang w:eastAsia="zh-CN"/>
        </w:rPr>
        <w:lastRenderedPageBreak/>
        <w:t>（五）托管人的权利与义务</w:t>
      </w:r>
      <w:bookmarkEnd w:id="62"/>
      <w:bookmarkEnd w:id="63"/>
      <w:bookmarkEnd w:id="64"/>
      <w:r w:rsidRPr="00FB03DC">
        <w:rPr>
          <w:rFonts w:ascii="仿宋" w:eastAsia="仿宋" w:hAnsi="仿宋"/>
          <w:sz w:val="24"/>
          <w:szCs w:val="24"/>
          <w:lang w:eastAsia="zh-CN"/>
        </w:rPr>
        <w:t xml:space="preserve"> </w:t>
      </w:r>
    </w:p>
    <w:p w14:paraId="23EDE58F" w14:textId="77777777" w:rsidR="00F31CD2" w:rsidRPr="00FB03DC" w:rsidRDefault="00A71D56">
      <w:pPr>
        <w:pStyle w:val="35"/>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1、托管人的权利</w:t>
      </w:r>
    </w:p>
    <w:p w14:paraId="788C6441"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（1）按照资产管理合同约定，依法保管资产管理计划财产；</w:t>
      </w:r>
    </w:p>
    <w:p w14:paraId="3CEF127E"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（2）按照资产管理合同约定，及时、足额获得资产管理计划托管费用；</w:t>
      </w:r>
    </w:p>
    <w:p w14:paraId="3AA52F6F"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（3）要求管理人积极配合托管人的托管工作，及时提供托管人履行托管职责所必需的相关资料；</w:t>
      </w:r>
    </w:p>
    <w:p w14:paraId="6E198FFC"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（4）对具备合理理由怀疑涉嫌洗钱、恐怖融资的管理人及投资者，托管人有权按照中国人民银行反洗钱监管规定采取必要管控措施；</w:t>
      </w:r>
    </w:p>
    <w:p w14:paraId="65B5AE8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szCs w:val="24"/>
          <w:lang w:eastAsia="zh-CN"/>
        </w:rPr>
        <w:t>（5）法律、行政法规、中国证监会及协会规定和资产管理合同约定的其他权利。</w:t>
      </w:r>
    </w:p>
    <w:p w14:paraId="05F483BA"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2、托管人的义务</w:t>
      </w:r>
    </w:p>
    <w:p w14:paraId="106E2986"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sz w:val="24"/>
          <w:szCs w:val="24"/>
          <w:lang w:eastAsia="zh-CN"/>
        </w:rPr>
        <w:t>（1）安全保管资产管理计划财产；</w:t>
      </w:r>
    </w:p>
    <w:p w14:paraId="6D3BC0EF"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（2）按规定开立和注销资产管理计划的托管账户及协助管理人开立和注销其他投资所需账户；</w:t>
      </w:r>
    </w:p>
    <w:p w14:paraId="28658710"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（3）对所托管的不同财产分别设置账户，确保资产管理计划财产的完整与独立；</w:t>
      </w:r>
    </w:p>
    <w:p w14:paraId="59FB3C90"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（4）按照资产管理合同约定，根据管理人的投资指令，及时办理清算、交割事宜；</w:t>
      </w:r>
    </w:p>
    <w:p w14:paraId="164F52A8"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（5）复核资产管理计划资产净值和份额净值；</w:t>
      </w:r>
    </w:p>
    <w:p w14:paraId="7C22B18C" w14:textId="03CF2B1B" w:rsidR="00F31CD2" w:rsidRPr="00FB03DC" w:rsidRDefault="00A71D56">
      <w:pPr>
        <w:spacing w:line="360" w:lineRule="auto"/>
        <w:ind w:firstLine="480"/>
        <w:rPr>
          <w:rFonts w:ascii="仿宋" w:eastAsia="仿宋" w:hAnsi="仿宋"/>
          <w:lang w:eastAsia="zh-CN"/>
        </w:rPr>
      </w:pPr>
      <w:r w:rsidRPr="00FB03DC">
        <w:rPr>
          <w:rFonts w:ascii="仿宋" w:eastAsia="仿宋" w:hAnsi="仿宋"/>
          <w:sz w:val="24"/>
          <w:szCs w:val="24"/>
          <w:lang w:eastAsia="zh-CN"/>
        </w:rPr>
        <w:t>（6）向管理人披露托管人及其控股股东、实际控制人或者其他关联方，以及前述机构发行的证券或者承销期内承销的证券等信息</w:t>
      </w:r>
      <w:r w:rsidRPr="00FB03DC">
        <w:rPr>
          <w:rFonts w:ascii="仿宋" w:eastAsia="仿宋" w:hAnsi="仿宋" w:cs="FangSong"/>
          <w:color w:val="000000"/>
          <w:sz w:val="24"/>
          <w:lang w:eastAsia="zh-CN"/>
        </w:rPr>
        <w:t>（以中国银行股份有限公司公开披露的年报为准）</w:t>
      </w:r>
      <w:r w:rsidRPr="00FB03DC">
        <w:rPr>
          <w:rFonts w:ascii="仿宋" w:eastAsia="仿宋" w:hAnsi="仿宋"/>
          <w:sz w:val="24"/>
          <w:lang w:eastAsia="zh-CN"/>
        </w:rPr>
        <w:t>；</w:t>
      </w:r>
    </w:p>
    <w:p w14:paraId="5A0242BE"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（7）投资于《管理办法》第三十八条第（五）项规定资产时，准确、合理界定安全保管资产管理计划财产、监督管理人投资运作等职责。</w:t>
      </w:r>
    </w:p>
    <w:p w14:paraId="23C748AB"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（7）监督管理人的投资运作，发现管理人的投资或者清算指令违反法律、行政法规、中国证监会的规定或者资产管理合同约定的，应当拒绝执行，立即通知管理人并及时报告中国证监会相关派出机构；</w:t>
      </w:r>
    </w:p>
    <w:p w14:paraId="2F3B9333"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（8）办理与资产管理计划托管业务有关的信息披露事项；</w:t>
      </w:r>
    </w:p>
    <w:p w14:paraId="1B8AE585"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（9）对资产管理计划财务会计报告、年度报告出具意见；</w:t>
      </w:r>
    </w:p>
    <w:p w14:paraId="3A93D890"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hint="eastAsia"/>
          <w:sz w:val="24"/>
          <w:szCs w:val="24"/>
          <w:lang w:eastAsia="zh-CN"/>
        </w:rPr>
        <w:lastRenderedPageBreak/>
        <w:t>（1</w:t>
      </w:r>
      <w:r w:rsidRPr="00FB03DC">
        <w:rPr>
          <w:rFonts w:ascii="仿宋" w:eastAsia="仿宋" w:hAnsi="仿宋"/>
          <w:sz w:val="24"/>
          <w:szCs w:val="24"/>
          <w:lang w:eastAsia="zh-CN"/>
        </w:rPr>
        <w:t>0</w:t>
      </w:r>
      <w:r w:rsidRPr="00FB03DC">
        <w:rPr>
          <w:rFonts w:ascii="仿宋" w:eastAsia="仿宋" w:hAnsi="仿宋" w:hint="eastAsia"/>
          <w:sz w:val="24"/>
          <w:szCs w:val="24"/>
          <w:lang w:eastAsia="zh-CN"/>
        </w:rPr>
        <w:t>）</w:t>
      </w:r>
      <w:r w:rsidRPr="00FB03DC">
        <w:rPr>
          <w:rFonts w:ascii="仿宋" w:eastAsia="仿宋" w:hAnsi="仿宋"/>
          <w:sz w:val="24"/>
          <w:szCs w:val="24"/>
          <w:lang w:eastAsia="zh-CN"/>
        </w:rPr>
        <w:t>编制托管年度报告；</w:t>
      </w:r>
    </w:p>
    <w:p w14:paraId="54E7DD75"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（11）公平对待所托管的不同财产，不得从事任何有损资产管理计划财产以及其他当事人利益的活动；</w:t>
      </w:r>
    </w:p>
    <w:p w14:paraId="5E27C6D7"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（12）不得为托管人以及任何第三人输送利益，不得委托第三人托管资产管理计划财产；</w:t>
      </w:r>
    </w:p>
    <w:p w14:paraId="3704112E"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（13）保存资产管理计划的会计账册，妥善保存有关的合同、协议、交易记录等文件资料，保存期限自资产管理计划终止之日起不得</w:t>
      </w:r>
      <w:r w:rsidRPr="00FB03DC">
        <w:rPr>
          <w:rFonts w:ascii="仿宋" w:eastAsia="仿宋" w:hAnsi="仿宋" w:hint="eastAsia"/>
          <w:sz w:val="24"/>
          <w:szCs w:val="24"/>
          <w:lang w:eastAsia="zh-CN"/>
        </w:rPr>
        <w:t>少于20年</w:t>
      </w:r>
      <w:r w:rsidRPr="00FB03DC">
        <w:rPr>
          <w:rFonts w:ascii="仿宋" w:eastAsia="仿宋" w:hAnsi="仿宋"/>
          <w:sz w:val="24"/>
          <w:szCs w:val="24"/>
          <w:lang w:eastAsia="zh-CN"/>
        </w:rPr>
        <w:t>；</w:t>
      </w:r>
    </w:p>
    <w:p w14:paraId="3213DAD8" w14:textId="77777777" w:rsidR="00F31CD2" w:rsidRPr="00FB03DC" w:rsidRDefault="00F31CD2">
      <w:pPr>
        <w:spacing w:line="360" w:lineRule="auto"/>
        <w:ind w:firstLine="480"/>
        <w:rPr>
          <w:rFonts w:ascii="仿宋" w:eastAsia="仿宋" w:hAnsi="仿宋"/>
          <w:sz w:val="24"/>
          <w:szCs w:val="24"/>
          <w:lang w:eastAsia="zh-CN"/>
        </w:rPr>
      </w:pPr>
    </w:p>
    <w:p w14:paraId="3EBF4EBC"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（14）保守商业秘密，不得泄露资产管理计划的投资计划、投资意向、投资信息等，依法依规提供信息的除外；</w:t>
      </w:r>
    </w:p>
    <w:p w14:paraId="4C3C59F6"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（15）法律、行政法规、中国证监会及协会规定和资产管理合同约定的其他义务。</w:t>
      </w:r>
      <w:bookmarkStart w:id="65" w:name="_Toc334185932"/>
      <w:bookmarkStart w:id="66" w:name="_Toc86390965"/>
    </w:p>
    <w:p w14:paraId="42542023" w14:textId="77777777" w:rsidR="00F31CD2" w:rsidRPr="00FB03DC" w:rsidRDefault="00F31CD2">
      <w:pPr>
        <w:rPr>
          <w:rFonts w:ascii="仿宋" w:eastAsia="仿宋" w:hAnsi="仿宋"/>
          <w:lang w:eastAsia="zh-CN"/>
        </w:rPr>
      </w:pPr>
    </w:p>
    <w:p w14:paraId="3061BC87" w14:textId="77777777" w:rsidR="00F31CD2" w:rsidRPr="00FB03DC" w:rsidRDefault="00A71D56">
      <w:pPr>
        <w:pStyle w:val="2"/>
        <w:spacing w:before="0" w:after="0" w:line="360" w:lineRule="auto"/>
        <w:ind w:firstLine="643"/>
        <w:rPr>
          <w:rFonts w:ascii="仿宋" w:eastAsia="仿宋" w:hAnsi="仿宋"/>
          <w:b/>
          <w:bCs/>
          <w:lang w:eastAsia="zh-CN"/>
        </w:rPr>
      </w:pPr>
      <w:bookmarkStart w:id="67" w:name="_Toc19403"/>
      <w:bookmarkStart w:id="68" w:name="_Toc159589290"/>
      <w:bookmarkStart w:id="69" w:name="_Toc9478"/>
      <w:bookmarkStart w:id="70" w:name="_Toc51775861"/>
      <w:bookmarkStart w:id="71" w:name="_Toc12523"/>
      <w:bookmarkStart w:id="72" w:name="_Toc8534"/>
      <w:bookmarkStart w:id="73" w:name="_Toc13505"/>
      <w:bookmarkStart w:id="74" w:name="_Toc9981"/>
      <w:bookmarkStart w:id="75" w:name="_Toc6313410"/>
      <w:r w:rsidRPr="00FB03DC">
        <w:rPr>
          <w:rFonts w:ascii="仿宋" w:eastAsia="仿宋" w:hAnsi="仿宋"/>
          <w:b/>
          <w:bCs/>
          <w:lang w:eastAsia="zh-CN"/>
        </w:rPr>
        <w:br w:type="page"/>
      </w:r>
      <w:bookmarkStart w:id="76" w:name="_Toc198731922"/>
      <w:r w:rsidRPr="00FB03DC">
        <w:rPr>
          <w:rFonts w:ascii="仿宋" w:eastAsia="仿宋" w:hAnsi="仿宋"/>
          <w:b/>
          <w:bCs/>
          <w:lang w:eastAsia="zh-CN"/>
        </w:rPr>
        <w:lastRenderedPageBreak/>
        <w:t>五、资产管理计划的基本情况</w:t>
      </w:r>
      <w:bookmarkEnd w:id="65"/>
      <w:bookmarkEnd w:id="66"/>
      <w:bookmarkEnd w:id="67"/>
      <w:bookmarkEnd w:id="68"/>
      <w:bookmarkEnd w:id="69"/>
      <w:bookmarkEnd w:id="70"/>
      <w:bookmarkEnd w:id="71"/>
      <w:bookmarkEnd w:id="72"/>
      <w:bookmarkEnd w:id="73"/>
      <w:bookmarkEnd w:id="74"/>
      <w:bookmarkEnd w:id="75"/>
      <w:bookmarkEnd w:id="76"/>
    </w:p>
    <w:p w14:paraId="308A4A68" w14:textId="43C93A60" w:rsidR="00F31CD2" w:rsidRPr="00FB03DC" w:rsidRDefault="00A71D56">
      <w:pPr>
        <w:spacing w:line="360" w:lineRule="auto"/>
        <w:ind w:firstLine="480"/>
        <w:outlineLvl w:val="1"/>
        <w:rPr>
          <w:rFonts w:ascii="仿宋" w:eastAsia="仿宋" w:hAnsi="仿宋"/>
          <w:sz w:val="24"/>
          <w:lang w:eastAsia="zh-CN"/>
        </w:rPr>
      </w:pPr>
      <w:bookmarkStart w:id="77" w:name="_Toc18155"/>
      <w:bookmarkStart w:id="78" w:name="_Toc198731923"/>
      <w:bookmarkStart w:id="79" w:name="_Toc17935"/>
      <w:r w:rsidRPr="00FB03DC">
        <w:rPr>
          <w:rFonts w:ascii="仿宋" w:eastAsia="仿宋" w:hAnsi="仿宋"/>
          <w:sz w:val="24"/>
          <w:lang w:eastAsia="zh-CN"/>
        </w:rPr>
        <w:t>（一）名称：华泰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w:t>
      </w:r>
      <w:bookmarkEnd w:id="77"/>
      <w:bookmarkEnd w:id="78"/>
      <w:bookmarkEnd w:id="79"/>
    </w:p>
    <w:p w14:paraId="44553692" w14:textId="77777777" w:rsidR="00F31CD2" w:rsidRPr="00FB03DC" w:rsidRDefault="00A71D56">
      <w:pPr>
        <w:spacing w:line="360" w:lineRule="auto"/>
        <w:ind w:firstLine="480"/>
        <w:outlineLvl w:val="1"/>
        <w:rPr>
          <w:rFonts w:ascii="仿宋" w:eastAsia="仿宋" w:hAnsi="仿宋"/>
          <w:sz w:val="24"/>
          <w:lang w:eastAsia="zh-CN"/>
        </w:rPr>
      </w:pPr>
      <w:bookmarkStart w:id="80" w:name="_Toc8402"/>
      <w:bookmarkStart w:id="81" w:name="_Toc198731924"/>
      <w:bookmarkStart w:id="82" w:name="_Toc6886"/>
      <w:r w:rsidRPr="00FB03DC">
        <w:rPr>
          <w:rFonts w:ascii="仿宋" w:eastAsia="仿宋" w:hAnsi="仿宋"/>
          <w:sz w:val="24"/>
          <w:lang w:eastAsia="zh-CN"/>
        </w:rPr>
        <w:t>（二）类型：固定收益类</w:t>
      </w:r>
      <w:bookmarkEnd w:id="80"/>
      <w:bookmarkEnd w:id="81"/>
      <w:bookmarkEnd w:id="82"/>
      <w:r w:rsidRPr="00FB03DC">
        <w:rPr>
          <w:rFonts w:ascii="仿宋" w:eastAsia="仿宋" w:hAnsi="仿宋"/>
          <w:sz w:val="24"/>
          <w:lang w:eastAsia="zh-CN"/>
        </w:rPr>
        <w:t xml:space="preserve"> </w:t>
      </w:r>
    </w:p>
    <w:p w14:paraId="141B6120" w14:textId="77777777" w:rsidR="00F31CD2" w:rsidRPr="00FB03DC" w:rsidRDefault="00A71D56">
      <w:pPr>
        <w:spacing w:line="360" w:lineRule="auto"/>
        <w:ind w:firstLine="480"/>
        <w:outlineLvl w:val="1"/>
        <w:rPr>
          <w:rFonts w:ascii="仿宋" w:eastAsia="仿宋" w:hAnsi="仿宋"/>
          <w:sz w:val="24"/>
          <w:lang w:eastAsia="zh-CN"/>
        </w:rPr>
      </w:pPr>
      <w:bookmarkStart w:id="83" w:name="_Toc26488"/>
      <w:bookmarkStart w:id="84" w:name="_Toc198731925"/>
      <w:bookmarkStart w:id="85" w:name="_Toc26875"/>
      <w:r w:rsidRPr="00FB03DC">
        <w:rPr>
          <w:rFonts w:ascii="仿宋" w:eastAsia="仿宋" w:hAnsi="仿宋"/>
          <w:sz w:val="24"/>
          <w:lang w:eastAsia="zh-CN"/>
        </w:rPr>
        <w:t>（三）特殊类别：否</w:t>
      </w:r>
      <w:bookmarkEnd w:id="83"/>
      <w:bookmarkEnd w:id="84"/>
    </w:p>
    <w:p w14:paraId="7969B32E" w14:textId="77777777" w:rsidR="00F31CD2" w:rsidRPr="00FB03DC" w:rsidRDefault="00A71D56">
      <w:pPr>
        <w:spacing w:line="360" w:lineRule="auto"/>
        <w:ind w:firstLine="480"/>
        <w:outlineLvl w:val="1"/>
        <w:rPr>
          <w:rFonts w:ascii="仿宋" w:eastAsia="仿宋" w:hAnsi="仿宋"/>
          <w:sz w:val="24"/>
          <w:lang w:eastAsia="zh-CN"/>
        </w:rPr>
      </w:pPr>
      <w:bookmarkStart w:id="86" w:name="_Toc21029"/>
      <w:bookmarkStart w:id="87" w:name="_Toc198731926"/>
      <w:r w:rsidRPr="00FB03DC">
        <w:rPr>
          <w:rFonts w:ascii="仿宋" w:eastAsia="仿宋" w:hAnsi="仿宋"/>
          <w:sz w:val="24"/>
          <w:lang w:eastAsia="zh-CN"/>
        </w:rPr>
        <w:t>（四）运作方式：开放式</w:t>
      </w:r>
      <w:bookmarkEnd w:id="85"/>
      <w:bookmarkEnd w:id="86"/>
      <w:bookmarkEnd w:id="87"/>
    </w:p>
    <w:p w14:paraId="670BF281" w14:textId="77777777" w:rsidR="00F31CD2" w:rsidRPr="00FB03DC" w:rsidRDefault="00A71D56">
      <w:pPr>
        <w:spacing w:line="360" w:lineRule="auto"/>
        <w:ind w:firstLine="480"/>
        <w:outlineLvl w:val="1"/>
        <w:rPr>
          <w:rFonts w:ascii="仿宋" w:eastAsia="仿宋" w:hAnsi="仿宋"/>
          <w:sz w:val="24"/>
          <w:lang w:eastAsia="zh-CN"/>
        </w:rPr>
      </w:pPr>
      <w:bookmarkStart w:id="88" w:name="_Toc198731927"/>
      <w:bookmarkStart w:id="89" w:name="_Toc25394"/>
      <w:bookmarkStart w:id="90" w:name="_Toc31649"/>
      <w:r w:rsidRPr="00FB03DC">
        <w:rPr>
          <w:rFonts w:ascii="仿宋" w:eastAsia="仿宋" w:hAnsi="仿宋"/>
          <w:sz w:val="24"/>
          <w:lang w:eastAsia="zh-CN"/>
        </w:rPr>
        <w:t>（五）投资目标、主要投资方向、投资比例、产品风险等级</w:t>
      </w:r>
      <w:bookmarkEnd w:id="88"/>
      <w:bookmarkEnd w:id="89"/>
      <w:bookmarkEnd w:id="90"/>
    </w:p>
    <w:p w14:paraId="5063366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1、投资目标</w:t>
      </w:r>
    </w:p>
    <w:p w14:paraId="0929CFDA" w14:textId="77777777" w:rsidR="00F31CD2" w:rsidRPr="00FB03DC" w:rsidRDefault="00A71D56">
      <w:pPr>
        <w:spacing w:line="360" w:lineRule="auto"/>
        <w:ind w:left="220" w:firstLine="425"/>
        <w:rPr>
          <w:rFonts w:ascii="仿宋" w:eastAsia="仿宋" w:hAnsi="仿宋"/>
          <w:sz w:val="24"/>
          <w:lang w:eastAsia="zh-CN"/>
        </w:rPr>
      </w:pPr>
      <w:r w:rsidRPr="00FB03DC">
        <w:rPr>
          <w:rFonts w:ascii="仿宋" w:eastAsia="仿宋" w:hAnsi="仿宋"/>
          <w:sz w:val="24"/>
          <w:lang w:eastAsia="zh-CN"/>
        </w:rPr>
        <w:t>本集合计划主要投资于境内的固定收益类资产，管理人依据丰富的投资经验及专业的研究能力，严格控制业务风险，在争取本金安全的前提下追求稳定的收益。</w:t>
      </w:r>
    </w:p>
    <w:p w14:paraId="2417A2E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2、主要投资方向</w:t>
      </w:r>
    </w:p>
    <w:p w14:paraId="39D1676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投资范围包含如下资产：</w:t>
      </w:r>
    </w:p>
    <w:p w14:paraId="31790BC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hint="eastAsia"/>
          <w:sz w:val="24"/>
          <w:lang w:eastAsia="zh-CN"/>
        </w:rPr>
        <w:t>固定收益类资产：银行存款（包括活期存款、定期存款、通知存款、结构性存款和其他银行存款（非活期）），货币市场基金，国债、政策性金融债、地方政府债、央行票据、金融企业（公司）债券、非金融企业（公司）债券、资产支持证券，公开募集证券投资基金等；</w:t>
      </w:r>
    </w:p>
    <w:p w14:paraId="0BC5829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hint="eastAsia"/>
          <w:sz w:val="24"/>
          <w:lang w:eastAsia="zh-CN"/>
        </w:rPr>
        <w:t>期货和衍生品类资产：与固定收益类资产挂钩的信用联结票据。</w:t>
      </w:r>
    </w:p>
    <w:p w14:paraId="332FEEFD"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cs="仿宋" w:hint="eastAsia"/>
          <w:sz w:val="24"/>
          <w:szCs w:val="32"/>
          <w:lang w:eastAsia="zh-CN"/>
        </w:rPr>
        <w:t>本资产管理计划可以参与债券正回购、债券逆回购业务。</w:t>
      </w:r>
    </w:p>
    <w:p w14:paraId="50F03DB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如法律法规或监管机构以后允许本资产管理计划投资其他证券市场或者其他品种，资产管理计划管理人在征得合同各方书面同意并履行</w:t>
      </w:r>
      <w:r w:rsidRPr="00FB03DC">
        <w:rPr>
          <w:rFonts w:ascii="仿宋" w:eastAsia="仿宋" w:hAnsi="仿宋" w:hint="eastAsia"/>
          <w:sz w:val="24"/>
          <w:lang w:eastAsia="zh-CN"/>
        </w:rPr>
        <w:t>符合本合同规定的相应</w:t>
      </w:r>
      <w:r w:rsidRPr="00FB03DC">
        <w:rPr>
          <w:rFonts w:ascii="仿宋" w:eastAsia="仿宋" w:hAnsi="仿宋"/>
          <w:sz w:val="24"/>
          <w:lang w:eastAsia="zh-CN"/>
        </w:rPr>
        <w:t>程序后，可以相应调整本资产管理计划的投资范围、投资比例规定，并应为管理人和托管人相关系统准备以及投资组合调整留出必要的时间。</w:t>
      </w:r>
    </w:p>
    <w:p w14:paraId="2B7CA592" w14:textId="77777777" w:rsidR="00F31CD2" w:rsidRPr="00FB03DC" w:rsidRDefault="00A71D56">
      <w:pPr>
        <w:ind w:firstLine="480"/>
        <w:rPr>
          <w:rFonts w:ascii="仿宋" w:eastAsia="仿宋" w:hAnsi="仿宋"/>
          <w:sz w:val="24"/>
          <w:lang w:eastAsia="zh-CN"/>
        </w:rPr>
      </w:pPr>
      <w:r w:rsidRPr="00FB03DC">
        <w:rPr>
          <w:rFonts w:ascii="仿宋" w:eastAsia="仿宋" w:hAnsi="仿宋"/>
          <w:sz w:val="24"/>
          <w:lang w:eastAsia="zh-CN"/>
        </w:rPr>
        <w:t>3、投资比例</w:t>
      </w:r>
    </w:p>
    <w:p w14:paraId="67E890D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固定收益类资产占总资产比例为80-100%；</w:t>
      </w:r>
    </w:p>
    <w:p w14:paraId="6008F71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期货和衍生品类资产占总资产比例为0-20%。</w:t>
      </w:r>
    </w:p>
    <w:p w14:paraId="52FC4B0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本计划完成备案前，可以以现金管理为目的，投资于银行活期存款、货币市场基金等中国证监会认可的投资品种。</w:t>
      </w:r>
    </w:p>
    <w:p w14:paraId="33D645C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本集合计划的建仓期为6个月，本集合计划管理人应当在产品成立之日起6个月内，使得本产品投资组合比例符合上述要求。</w:t>
      </w:r>
    </w:p>
    <w:p w14:paraId="3E40742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因证券期货市场波动、证券发行人合并、资产管理计划规模变动等管理人之外的因素导致资产管理计划投资不符合法律、行政法规和中国证监会规定的投资比例或者合同约定的投资比例的，管理人应当在流动性受限资产可出售、可转让或者恢复交易的二十个交易日内调整至符合相关要求。</w:t>
      </w:r>
    </w:p>
    <w:p w14:paraId="49B5F714"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4、产品风险等级：本集合计划属</w:t>
      </w:r>
      <w:r w:rsidRPr="00FB03DC">
        <w:rPr>
          <w:rFonts w:ascii="仿宋" w:eastAsia="仿宋" w:hAnsi="仿宋"/>
          <w:sz w:val="24"/>
          <w:lang w:eastAsia="zh-CN"/>
        </w:rPr>
        <w:t>中低</w:t>
      </w:r>
      <w:r w:rsidRPr="00FB03DC">
        <w:rPr>
          <w:rFonts w:ascii="仿宋" w:eastAsia="仿宋" w:hAnsi="仿宋"/>
          <w:iCs/>
          <w:sz w:val="24"/>
          <w:lang w:eastAsia="zh-CN"/>
        </w:rPr>
        <w:t>风险产品，适合合格投资者中的专业投资者和风险承受能力匹配的</w:t>
      </w:r>
      <w:r w:rsidRPr="00FB03DC">
        <w:rPr>
          <w:rFonts w:ascii="仿宋" w:eastAsia="仿宋" w:hAnsi="仿宋"/>
          <w:sz w:val="24"/>
          <w:lang w:eastAsia="zh-CN"/>
        </w:rPr>
        <w:t>谨慎型</w:t>
      </w:r>
      <w:r w:rsidRPr="00FB03DC">
        <w:rPr>
          <w:rFonts w:ascii="仿宋" w:eastAsia="仿宋" w:hAnsi="仿宋"/>
          <w:iCs/>
          <w:sz w:val="24"/>
          <w:lang w:eastAsia="zh-CN"/>
        </w:rPr>
        <w:t>及以上的普通投资者。</w:t>
      </w:r>
    </w:p>
    <w:p w14:paraId="64D4A975" w14:textId="77777777" w:rsidR="00F31CD2" w:rsidRPr="00FB03DC" w:rsidRDefault="00A71D56">
      <w:pPr>
        <w:spacing w:line="360" w:lineRule="auto"/>
        <w:ind w:firstLine="480"/>
        <w:outlineLvl w:val="1"/>
        <w:rPr>
          <w:rFonts w:ascii="仿宋" w:eastAsia="仿宋" w:hAnsi="仿宋"/>
          <w:sz w:val="24"/>
          <w:lang w:eastAsia="zh-CN"/>
        </w:rPr>
      </w:pPr>
      <w:bookmarkStart w:id="91" w:name="_Toc25840"/>
      <w:bookmarkStart w:id="92" w:name="_Toc22014"/>
      <w:bookmarkStart w:id="93" w:name="_Toc198731928"/>
      <w:r w:rsidRPr="00FB03DC">
        <w:rPr>
          <w:rFonts w:ascii="仿宋" w:eastAsia="仿宋" w:hAnsi="仿宋"/>
          <w:iCs/>
          <w:sz w:val="24"/>
          <w:lang w:eastAsia="zh-CN"/>
        </w:rPr>
        <w:t>（六）</w:t>
      </w:r>
      <w:r w:rsidRPr="00FB03DC">
        <w:rPr>
          <w:rFonts w:ascii="仿宋" w:eastAsia="仿宋" w:hAnsi="仿宋"/>
          <w:sz w:val="24"/>
          <w:lang w:eastAsia="zh-CN"/>
        </w:rPr>
        <w:t>存续期限</w:t>
      </w:r>
      <w:bookmarkEnd w:id="91"/>
      <w:bookmarkEnd w:id="92"/>
      <w:bookmarkEnd w:id="93"/>
    </w:p>
    <w:p w14:paraId="4D75DC9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本集合计划的存续期限为【10】年，从集合计划成立日起计算。</w:t>
      </w:r>
    </w:p>
    <w:p w14:paraId="3D9DA7EA" w14:textId="77777777" w:rsidR="00F31CD2" w:rsidRPr="00FB03DC" w:rsidRDefault="00A71D56">
      <w:pPr>
        <w:spacing w:line="360" w:lineRule="auto"/>
        <w:ind w:firstLine="480"/>
        <w:outlineLvl w:val="1"/>
        <w:rPr>
          <w:rFonts w:ascii="仿宋" w:eastAsia="仿宋" w:hAnsi="仿宋"/>
          <w:sz w:val="24"/>
          <w:lang w:eastAsia="zh-CN"/>
        </w:rPr>
      </w:pPr>
      <w:bookmarkStart w:id="94" w:name="_Toc15730"/>
      <w:bookmarkStart w:id="95" w:name="_Toc51"/>
      <w:bookmarkStart w:id="96" w:name="_Toc198731929"/>
      <w:r w:rsidRPr="00FB03DC">
        <w:rPr>
          <w:rFonts w:ascii="仿宋" w:eastAsia="仿宋" w:hAnsi="仿宋"/>
          <w:sz w:val="24"/>
          <w:lang w:eastAsia="zh-CN"/>
        </w:rPr>
        <w:t>（七）初始募集面值：人民币 1.00元。</w:t>
      </w:r>
      <w:bookmarkEnd w:id="94"/>
      <w:bookmarkEnd w:id="95"/>
      <w:bookmarkEnd w:id="96"/>
    </w:p>
    <w:p w14:paraId="643F81EA" w14:textId="77777777" w:rsidR="00F31CD2" w:rsidRPr="00FB03DC" w:rsidRDefault="00A71D56">
      <w:pPr>
        <w:spacing w:line="360" w:lineRule="auto"/>
        <w:ind w:firstLine="480"/>
        <w:outlineLvl w:val="1"/>
        <w:rPr>
          <w:rFonts w:ascii="仿宋" w:eastAsia="仿宋" w:hAnsi="仿宋"/>
          <w:sz w:val="24"/>
          <w:lang w:eastAsia="zh-CN"/>
        </w:rPr>
      </w:pPr>
      <w:bookmarkStart w:id="97" w:name="_Toc19980"/>
      <w:bookmarkStart w:id="98" w:name="_Toc23674"/>
      <w:bookmarkStart w:id="99" w:name="_Toc198731930"/>
      <w:r w:rsidRPr="00FB03DC">
        <w:rPr>
          <w:rFonts w:ascii="仿宋" w:eastAsia="仿宋" w:hAnsi="仿宋"/>
          <w:sz w:val="24"/>
          <w:lang w:eastAsia="zh-CN"/>
        </w:rPr>
        <w:t>（八）最低初始募集规模</w:t>
      </w:r>
      <w:bookmarkEnd w:id="97"/>
      <w:bookmarkEnd w:id="98"/>
      <w:bookmarkEnd w:id="99"/>
    </w:p>
    <w:p w14:paraId="7367D9E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本集合计划的最低初始募集规模为人民币1000万元。</w:t>
      </w:r>
    </w:p>
    <w:p w14:paraId="721F6255" w14:textId="77777777" w:rsidR="00F31CD2" w:rsidRPr="00FB03DC" w:rsidRDefault="00A71D56">
      <w:pPr>
        <w:spacing w:line="360" w:lineRule="auto"/>
        <w:ind w:firstLine="480"/>
        <w:outlineLvl w:val="1"/>
        <w:rPr>
          <w:rFonts w:ascii="仿宋" w:eastAsia="仿宋" w:hAnsi="仿宋"/>
          <w:sz w:val="24"/>
          <w:lang w:eastAsia="zh-CN"/>
        </w:rPr>
      </w:pPr>
      <w:bookmarkStart w:id="100" w:name="_Toc11312"/>
      <w:bookmarkStart w:id="101" w:name="_Toc198731931"/>
      <w:bookmarkStart w:id="102" w:name="_Toc20196"/>
      <w:r w:rsidRPr="00FB03DC">
        <w:rPr>
          <w:rFonts w:ascii="仿宋" w:eastAsia="仿宋" w:hAnsi="仿宋"/>
          <w:sz w:val="24"/>
          <w:lang w:eastAsia="zh-CN"/>
        </w:rPr>
        <w:t>（九）服务机构情况</w:t>
      </w:r>
      <w:bookmarkEnd w:id="100"/>
      <w:bookmarkEnd w:id="101"/>
      <w:bookmarkEnd w:id="102"/>
    </w:p>
    <w:p w14:paraId="390C5AF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本集合计划的份额登记、信息技术系统服务由华泰证券（上海）资产管理有限公司提供。</w:t>
      </w:r>
    </w:p>
    <w:p w14:paraId="2A0B0BA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本集合计划的估值与核算服务由华泰证券股份有限公司提供，基金业协会业务登记编码为A00004。</w:t>
      </w:r>
    </w:p>
    <w:p w14:paraId="04CACF8D" w14:textId="77777777" w:rsidR="00F31CD2" w:rsidRPr="00FB03DC" w:rsidRDefault="00A71D56">
      <w:pPr>
        <w:spacing w:line="360" w:lineRule="auto"/>
        <w:ind w:firstLine="480"/>
        <w:outlineLvl w:val="1"/>
        <w:rPr>
          <w:rFonts w:ascii="仿宋" w:eastAsia="仿宋" w:hAnsi="仿宋"/>
          <w:sz w:val="24"/>
          <w:lang w:eastAsia="zh-CN"/>
        </w:rPr>
      </w:pPr>
      <w:bookmarkStart w:id="103" w:name="_Toc198731932"/>
      <w:bookmarkStart w:id="104" w:name="_Toc23061"/>
      <w:bookmarkStart w:id="105" w:name="_Toc21021"/>
      <w:r w:rsidRPr="00FB03DC">
        <w:rPr>
          <w:rFonts w:ascii="仿宋" w:eastAsia="仿宋" w:hAnsi="仿宋"/>
          <w:sz w:val="24"/>
          <w:lang w:eastAsia="zh-CN"/>
        </w:rPr>
        <w:t>（十）本集合计划的各项费用</w:t>
      </w:r>
      <w:bookmarkEnd w:id="103"/>
      <w:bookmarkEnd w:id="104"/>
      <w:bookmarkEnd w:id="105"/>
    </w:p>
    <w:p w14:paraId="73890B7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1、参与费：0%</w:t>
      </w:r>
    </w:p>
    <w:p w14:paraId="6B88E93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2、退出费：0%</w:t>
      </w:r>
    </w:p>
    <w:p w14:paraId="7E686DF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3、管理费：【</w:t>
      </w:r>
      <w:r w:rsidRPr="00FB03DC">
        <w:rPr>
          <w:rFonts w:ascii="仿宋" w:eastAsia="仿宋" w:hAnsi="仿宋" w:hint="eastAsia"/>
          <w:sz w:val="24"/>
          <w:lang w:eastAsia="zh-CN"/>
        </w:rPr>
        <w:t>0.05</w:t>
      </w:r>
      <w:r w:rsidRPr="00FB03DC">
        <w:rPr>
          <w:rFonts w:ascii="仿宋" w:eastAsia="仿宋" w:hAnsi="仿宋"/>
          <w:sz w:val="24"/>
          <w:lang w:eastAsia="zh-CN"/>
        </w:rPr>
        <w:t>】%/年</w:t>
      </w:r>
    </w:p>
    <w:p w14:paraId="074EE45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4、业绩报酬：无 </w:t>
      </w:r>
    </w:p>
    <w:p w14:paraId="78998D3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5、托管费：【0.01】%/年</w:t>
      </w:r>
    </w:p>
    <w:p w14:paraId="35CBE4C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6、其他费用（如有）：年度专项审计费用、律师费、信息披露费用、银行结算费用、开户费等集合计划运营过程中发生的</w:t>
      </w:r>
      <w:r w:rsidRPr="00FB03DC">
        <w:rPr>
          <w:rFonts w:ascii="仿宋" w:eastAsia="仿宋" w:hAnsi="仿宋" w:hint="eastAsia"/>
          <w:sz w:val="24"/>
          <w:lang w:eastAsia="zh-CN"/>
        </w:rPr>
        <w:t>处理与资产管理计划财产运作有关的事项发生的</w:t>
      </w:r>
      <w:r w:rsidRPr="00FB03DC">
        <w:rPr>
          <w:rFonts w:ascii="仿宋" w:eastAsia="仿宋" w:hAnsi="仿宋"/>
          <w:sz w:val="24"/>
          <w:lang w:eastAsia="zh-CN"/>
        </w:rPr>
        <w:t>相关费用。</w:t>
      </w:r>
    </w:p>
    <w:p w14:paraId="6A157AB1" w14:textId="77777777" w:rsidR="00F31CD2" w:rsidRPr="00FB03DC" w:rsidRDefault="00A71D56">
      <w:pPr>
        <w:spacing w:line="360" w:lineRule="auto"/>
        <w:ind w:firstLine="480"/>
        <w:outlineLvl w:val="1"/>
        <w:rPr>
          <w:rFonts w:ascii="仿宋" w:eastAsia="仿宋" w:hAnsi="仿宋"/>
          <w:sz w:val="24"/>
          <w:lang w:eastAsia="zh-CN"/>
        </w:rPr>
      </w:pPr>
      <w:bookmarkStart w:id="106" w:name="_Toc20237"/>
      <w:bookmarkStart w:id="107" w:name="_Toc26790"/>
      <w:bookmarkStart w:id="108" w:name="_Toc198731933"/>
      <w:r w:rsidRPr="00FB03DC">
        <w:rPr>
          <w:rFonts w:ascii="仿宋" w:eastAsia="仿宋" w:hAnsi="仿宋"/>
          <w:sz w:val="24"/>
          <w:szCs w:val="24"/>
          <w:lang w:eastAsia="zh-CN"/>
        </w:rPr>
        <w:t>（十一）</w:t>
      </w:r>
      <w:r w:rsidRPr="00FB03DC">
        <w:rPr>
          <w:rFonts w:ascii="仿宋" w:eastAsia="仿宋" w:hAnsi="仿宋"/>
          <w:sz w:val="24"/>
          <w:lang w:eastAsia="zh-CN"/>
        </w:rPr>
        <w:t>本集合计划的销售</w:t>
      </w:r>
      <w:bookmarkEnd w:id="106"/>
      <w:bookmarkEnd w:id="107"/>
      <w:bookmarkEnd w:id="108"/>
    </w:p>
    <w:p w14:paraId="5510B98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1、销售机构：华泰证券（上海）资产管理有限公司以及与管理人华泰证券（上海）资产管理有限公司签订销售协议且符合法律法规要求的其他销售机构。</w:t>
      </w:r>
    </w:p>
    <w:p w14:paraId="7DAB73F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本集合计划管理人可根据有关法律、法规的要求，选择其他符合要求的销售机构销售本集合计划。</w:t>
      </w:r>
    </w:p>
    <w:p w14:paraId="358BF25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2、销售方式</w:t>
      </w:r>
    </w:p>
    <w:p w14:paraId="54DBDA60" w14:textId="77777777" w:rsidR="00F31CD2" w:rsidRPr="00FB03DC" w:rsidRDefault="00A71D56">
      <w:pPr>
        <w:spacing w:line="360" w:lineRule="auto"/>
        <w:ind w:firstLine="480"/>
        <w:rPr>
          <w:rFonts w:ascii="仿宋" w:eastAsia="仿宋" w:hAnsi="仿宋"/>
          <w:sz w:val="24"/>
          <w:lang w:eastAsia="zh-CN"/>
        </w:rPr>
      </w:pPr>
      <w:bookmarkStart w:id="109" w:name="_Hlt47422653"/>
      <w:bookmarkEnd w:id="109"/>
      <w:r w:rsidRPr="00FB03DC">
        <w:rPr>
          <w:rFonts w:ascii="仿宋" w:eastAsia="仿宋" w:hAnsi="仿宋"/>
          <w:sz w:val="24"/>
          <w:lang w:eastAsia="zh-CN"/>
        </w:rPr>
        <w:t>管理人应将集合资产管理合同、集合资产管理计划说明书等正式销售文件提供给销售机构。销售机构应当了解客户的投资需求和风险偏好，详细介绍产品特点并充分揭示风险，推荐与客户风险承受能力相匹配的集合计划，引导客户审慎作出投资决定。禁止通过签订保本保底补充协议等方式，或者采用虚假宣传、宣传预期收益和商业贿赂等不正当手段销售集合计划。</w:t>
      </w:r>
    </w:p>
    <w:p w14:paraId="1155839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及销售机构应当采取有效措施，并通过管理人、协会、中国证监会电子化信息披露平台或者中国证监会认可的其他信息披露平台，客观准确披露集合计划备案信息、风险收益特征、投诉电话等，使客户详尽了解本集合计划的特性、风险等情况及客户的权利、义务，但不得通过报刊、电台、电视、互联网等公众传播媒体或者讲座、报告会、分析会和布告、传单、手机短信、微信、播客和电子邮件、自媒体等方式，向不特定对象宣传推介。</w:t>
      </w:r>
    </w:p>
    <w:p w14:paraId="18A73013" w14:textId="77777777" w:rsidR="00F31CD2" w:rsidRPr="00FB03DC" w:rsidRDefault="00F31CD2">
      <w:pPr>
        <w:spacing w:line="360" w:lineRule="auto"/>
        <w:ind w:firstLine="425"/>
        <w:rPr>
          <w:rFonts w:ascii="仿宋" w:eastAsia="仿宋" w:hAnsi="仿宋"/>
          <w:sz w:val="24"/>
          <w:lang w:eastAsia="zh-CN"/>
        </w:rPr>
      </w:pPr>
    </w:p>
    <w:p w14:paraId="60EBFD0D" w14:textId="77777777" w:rsidR="00F31CD2" w:rsidRPr="00FB03DC" w:rsidRDefault="00F31CD2">
      <w:pPr>
        <w:spacing w:line="360" w:lineRule="auto"/>
        <w:rPr>
          <w:rFonts w:ascii="仿宋" w:eastAsia="仿宋" w:hAnsi="仿宋"/>
          <w:sz w:val="24"/>
          <w:lang w:eastAsia="zh-CN"/>
        </w:rPr>
      </w:pPr>
    </w:p>
    <w:p w14:paraId="5857C5BF" w14:textId="77777777" w:rsidR="00F31CD2" w:rsidRPr="00FB03DC" w:rsidRDefault="00F31CD2">
      <w:pPr>
        <w:rPr>
          <w:rFonts w:ascii="仿宋" w:eastAsia="仿宋" w:hAnsi="仿宋"/>
          <w:b/>
          <w:bCs/>
          <w:sz w:val="32"/>
          <w:szCs w:val="32"/>
          <w:lang w:eastAsia="zh-CN"/>
        </w:rPr>
      </w:pPr>
    </w:p>
    <w:p w14:paraId="3A4A0B0D" w14:textId="77777777" w:rsidR="00F31CD2" w:rsidRPr="00FB03DC" w:rsidRDefault="00A71D56">
      <w:pPr>
        <w:pStyle w:val="2"/>
        <w:spacing w:before="0" w:after="0" w:line="360" w:lineRule="auto"/>
        <w:ind w:firstLine="420"/>
        <w:rPr>
          <w:rFonts w:ascii="仿宋" w:eastAsia="仿宋" w:hAnsi="仿宋"/>
          <w:b/>
          <w:bCs/>
          <w:lang w:eastAsia="zh-CN"/>
        </w:rPr>
      </w:pPr>
      <w:bookmarkStart w:id="110" w:name="_Toc29689"/>
      <w:bookmarkStart w:id="111" w:name="_Toc6313411"/>
      <w:bookmarkStart w:id="112" w:name="_Toc27060"/>
      <w:bookmarkStart w:id="113" w:name="_Toc7304"/>
      <w:bookmarkStart w:id="114" w:name="_Toc22540"/>
      <w:bookmarkStart w:id="115" w:name="_Toc51775862"/>
      <w:bookmarkStart w:id="116" w:name="_Toc26170"/>
      <w:bookmarkStart w:id="117" w:name="_Toc23912"/>
      <w:bookmarkStart w:id="118" w:name="_Toc159589291"/>
      <w:r w:rsidRPr="00FB03DC">
        <w:rPr>
          <w:rFonts w:ascii="仿宋" w:eastAsia="仿宋" w:hAnsi="仿宋"/>
          <w:b/>
          <w:bCs/>
          <w:lang w:eastAsia="zh-CN"/>
        </w:rPr>
        <w:br w:type="page"/>
      </w:r>
      <w:bookmarkStart w:id="119" w:name="_Toc198731934"/>
      <w:r w:rsidRPr="00FB03DC">
        <w:rPr>
          <w:rFonts w:ascii="仿宋" w:eastAsia="仿宋" w:hAnsi="仿宋"/>
          <w:b/>
          <w:bCs/>
          <w:lang w:eastAsia="zh-CN"/>
        </w:rPr>
        <w:lastRenderedPageBreak/>
        <w:t>六、资产管理计划的募集</w:t>
      </w:r>
      <w:bookmarkEnd w:id="110"/>
      <w:bookmarkEnd w:id="111"/>
      <w:bookmarkEnd w:id="112"/>
      <w:bookmarkEnd w:id="113"/>
      <w:bookmarkEnd w:id="114"/>
      <w:bookmarkEnd w:id="115"/>
      <w:bookmarkEnd w:id="116"/>
      <w:bookmarkEnd w:id="117"/>
      <w:bookmarkEnd w:id="118"/>
      <w:bookmarkEnd w:id="119"/>
    </w:p>
    <w:p w14:paraId="4596C352" w14:textId="77777777" w:rsidR="00F31CD2" w:rsidRPr="00FB03DC" w:rsidRDefault="00A71D56">
      <w:pPr>
        <w:spacing w:line="360" w:lineRule="auto"/>
        <w:ind w:firstLine="420"/>
        <w:outlineLvl w:val="1"/>
        <w:rPr>
          <w:rFonts w:ascii="仿宋" w:eastAsia="仿宋" w:hAnsi="仿宋"/>
          <w:iCs/>
          <w:sz w:val="24"/>
          <w:lang w:eastAsia="zh-CN"/>
        </w:rPr>
      </w:pPr>
      <w:bookmarkStart w:id="120" w:name="_Toc1174"/>
      <w:bookmarkStart w:id="121" w:name="_Toc198731935"/>
      <w:bookmarkStart w:id="122" w:name="_Toc25465"/>
      <w:r w:rsidRPr="00FB03DC">
        <w:rPr>
          <w:rFonts w:ascii="仿宋" w:eastAsia="仿宋" w:hAnsi="仿宋"/>
          <w:iCs/>
          <w:sz w:val="24"/>
          <w:lang w:eastAsia="zh-CN"/>
        </w:rPr>
        <w:t>（一）资产管理计划募集的有关事项</w:t>
      </w:r>
      <w:bookmarkEnd w:id="120"/>
      <w:bookmarkEnd w:id="121"/>
      <w:bookmarkEnd w:id="122"/>
    </w:p>
    <w:p w14:paraId="43CFF336" w14:textId="77777777" w:rsidR="00F31CD2" w:rsidRPr="00FB03DC" w:rsidRDefault="00A71D56">
      <w:pPr>
        <w:spacing w:line="360" w:lineRule="auto"/>
        <w:ind w:firstLine="426"/>
        <w:outlineLvl w:val="2"/>
        <w:rPr>
          <w:rFonts w:ascii="仿宋" w:eastAsia="仿宋" w:hAnsi="仿宋"/>
          <w:sz w:val="24"/>
          <w:lang w:eastAsia="zh-CN"/>
        </w:rPr>
      </w:pPr>
      <w:r w:rsidRPr="00FB03DC">
        <w:rPr>
          <w:rFonts w:ascii="仿宋" w:eastAsia="仿宋" w:hAnsi="仿宋"/>
          <w:sz w:val="24"/>
          <w:lang w:eastAsia="zh-CN"/>
        </w:rPr>
        <w:t>1、募集对象</w:t>
      </w:r>
    </w:p>
    <w:p w14:paraId="1BB230F7"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本计划的募集对象为具备相应风险识别能力和风险承受能力，投资于单只资产管理计划不低于一定金额且符合下列条件的自然人、法人或者其他组织：</w:t>
      </w:r>
    </w:p>
    <w:p w14:paraId="1E0D3F1C"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（1）具有2年以上投资经历，且满足下列三项条件之一的自然人：家庭金融净资产不低于300万元，家庭金融资产不低于500万元，或者近3年本人年均收入不低于40万元；</w:t>
      </w:r>
    </w:p>
    <w:p w14:paraId="7D3AE4AB"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（2）最近1年末净资产不低于1000万元的法人单位；</w:t>
      </w:r>
    </w:p>
    <w:p w14:paraId="5763699C"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3）依法设立并接受国务院金融监督管理机构监管的机构，包括证券公司及其子公司、基金管理公司及其子公司、期货公司及其子公司、在中国证券投资基金业协会登记的私募基金管理人、商业银行、商业银行理财子公司、金融资产投资公司、信托公司、保险公司、保险资产管理机构、财务公司及中国证监会认定的其他机构；</w:t>
      </w:r>
    </w:p>
    <w:p w14:paraId="1BD75852"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（4）接受国务院金融监督管理机构监管的机构发行的资产管理产品；</w:t>
      </w:r>
    </w:p>
    <w:p w14:paraId="2F6402AE"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（5）基本养老金、社会保障基金、年金基金等养老基金，慈善基金等社会公益基金，合格境外机构投资者（QFII）、人民币合格境外机构投资者（RQFII）；</w:t>
      </w:r>
    </w:p>
    <w:p w14:paraId="2AC78C3A"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（6）中国证监会视为合格投资者的其他情形。</w:t>
      </w:r>
    </w:p>
    <w:p w14:paraId="445B5DB1" w14:textId="77777777" w:rsidR="00F31CD2" w:rsidRPr="00FB03DC" w:rsidRDefault="00A71D56">
      <w:pPr>
        <w:spacing w:line="360" w:lineRule="auto"/>
        <w:ind w:firstLine="426"/>
        <w:outlineLvl w:val="2"/>
        <w:rPr>
          <w:rFonts w:ascii="仿宋" w:eastAsia="仿宋" w:hAnsi="仿宋"/>
          <w:sz w:val="24"/>
          <w:lang w:eastAsia="zh-CN"/>
        </w:rPr>
      </w:pPr>
      <w:r w:rsidRPr="00FB03DC">
        <w:rPr>
          <w:rFonts w:ascii="仿宋" w:eastAsia="仿宋" w:hAnsi="仿宋"/>
          <w:sz w:val="24"/>
          <w:lang w:eastAsia="zh-CN"/>
        </w:rPr>
        <w:t>2、初始募集期认购</w:t>
      </w:r>
    </w:p>
    <w:p w14:paraId="00263A3A"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在初始募集期内，投资者在工作日内可以认购本集合计划。本集合计划初始募集期自计划份额发售之日起不超过60个自然日。</w:t>
      </w:r>
    </w:p>
    <w:p w14:paraId="55947E43" w14:textId="77777777" w:rsidR="00F31CD2" w:rsidRPr="00FB03DC" w:rsidRDefault="00A71D56">
      <w:pPr>
        <w:spacing w:line="360" w:lineRule="auto"/>
        <w:ind w:firstLine="426"/>
        <w:outlineLvl w:val="2"/>
        <w:rPr>
          <w:rFonts w:ascii="仿宋" w:eastAsia="仿宋" w:hAnsi="仿宋"/>
          <w:sz w:val="24"/>
          <w:lang w:eastAsia="zh-CN"/>
        </w:rPr>
      </w:pPr>
      <w:r w:rsidRPr="00FB03DC">
        <w:rPr>
          <w:rFonts w:ascii="仿宋" w:eastAsia="仿宋" w:hAnsi="仿宋"/>
          <w:sz w:val="24"/>
          <w:lang w:eastAsia="zh-CN"/>
        </w:rPr>
        <w:t>3、资产管理计划的认购事项</w:t>
      </w:r>
    </w:p>
    <w:p w14:paraId="3CBCBD36" w14:textId="77777777" w:rsidR="00F31CD2" w:rsidRPr="00FB03DC" w:rsidRDefault="00A71D56">
      <w:pPr>
        <w:spacing w:line="360" w:lineRule="auto"/>
        <w:ind w:firstLine="425"/>
        <w:rPr>
          <w:rFonts w:ascii="仿宋" w:eastAsia="仿宋" w:hAnsi="仿宋"/>
          <w:sz w:val="24"/>
          <w:u w:val="single"/>
          <w:lang w:eastAsia="zh-CN"/>
        </w:rPr>
      </w:pPr>
      <w:r w:rsidRPr="00FB03DC">
        <w:rPr>
          <w:rFonts w:ascii="仿宋" w:eastAsia="仿宋" w:hAnsi="仿宋"/>
          <w:sz w:val="24"/>
          <w:lang w:eastAsia="zh-CN"/>
        </w:rPr>
        <w:t>（1）</w:t>
      </w:r>
      <w:r w:rsidRPr="00FB03DC">
        <w:rPr>
          <w:rFonts w:ascii="仿宋" w:eastAsia="仿宋" w:hAnsi="仿宋"/>
          <w:sz w:val="24"/>
          <w:cs/>
        </w:rPr>
        <w:t> </w:t>
      </w:r>
      <w:r w:rsidRPr="00FB03DC">
        <w:rPr>
          <w:rFonts w:ascii="仿宋" w:eastAsia="仿宋" w:hAnsi="仿宋"/>
          <w:sz w:val="24"/>
          <w:lang w:eastAsia="zh-CN"/>
        </w:rPr>
        <w:t>认购费率：</w:t>
      </w:r>
      <w:r w:rsidRPr="00FB03DC">
        <w:rPr>
          <w:rFonts w:ascii="仿宋" w:eastAsia="仿宋" w:hAnsi="仿宋"/>
          <w:sz w:val="24"/>
          <w:u w:val="single"/>
          <w:lang w:eastAsia="zh-CN"/>
        </w:rPr>
        <w:t>0%；</w:t>
      </w:r>
    </w:p>
    <w:p w14:paraId="2FB3A5EC"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（2）初始募集期认购费用以及份额的计算：</w:t>
      </w:r>
    </w:p>
    <w:p w14:paraId="19F11864"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认购费用＝认购金额/（1+认购费率）×认购费率</w:t>
      </w:r>
    </w:p>
    <w:p w14:paraId="51417D0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认购份额＝（认购金额－认购费用＋初始募集期利息）/集合计划初始募集面值</w:t>
      </w:r>
    </w:p>
    <w:p w14:paraId="586596E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认购份数保留小数点后两位，小数点后第三位四舍五入。</w:t>
      </w:r>
    </w:p>
    <w:p w14:paraId="4C5B32AC"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lastRenderedPageBreak/>
        <w:t>（3）认购资金利息的处理方式：投资者的认购参与款项（不含认购费用）加计其在初始募集期产生的利息将折算为计划份额归投资者所有，参与资金的利息以份额登记机构的确认结果为准。</w:t>
      </w:r>
    </w:p>
    <w:p w14:paraId="61B3DC01" w14:textId="77777777" w:rsidR="00F31CD2" w:rsidRPr="00FB03DC" w:rsidRDefault="00A71D56">
      <w:pPr>
        <w:spacing w:line="360" w:lineRule="auto"/>
        <w:ind w:firstLine="425"/>
        <w:rPr>
          <w:rFonts w:ascii="仿宋" w:eastAsia="仿宋" w:hAnsi="仿宋"/>
          <w:i/>
          <w:color w:val="FF0000"/>
          <w:sz w:val="24"/>
          <w:lang w:eastAsia="zh-CN"/>
        </w:rPr>
      </w:pPr>
      <w:r w:rsidRPr="00FB03DC">
        <w:rPr>
          <w:rFonts w:ascii="仿宋" w:eastAsia="仿宋" w:hAnsi="仿宋"/>
          <w:sz w:val="24"/>
          <w:lang w:eastAsia="zh-CN"/>
        </w:rPr>
        <w:t>（4）最低认购金额：投资者认购的最低金额为人民币30万元（不含认购费用）。超过最低认购金额的部分不设金额级差。</w:t>
      </w:r>
    </w:p>
    <w:p w14:paraId="4C0C054E"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5）在初始募集期内，当集合计划募集规模接近或达到约定的规模上限时，管理人可提前暂停接受认购申请，对有效认购申请采用“金额优先+金额同等情况下时间优先”的原则给与部分确认，未确认部分的认购款项</w:t>
      </w:r>
      <w:r w:rsidRPr="00FB03DC">
        <w:rPr>
          <w:rFonts w:ascii="仿宋" w:eastAsia="仿宋" w:hAnsi="仿宋" w:hint="eastAsia"/>
          <w:sz w:val="24"/>
          <w:lang w:eastAsia="zh-CN"/>
        </w:rPr>
        <w:t>加计利息</w:t>
      </w:r>
      <w:r w:rsidRPr="00FB03DC">
        <w:rPr>
          <w:rFonts w:ascii="仿宋" w:eastAsia="仿宋" w:hAnsi="仿宋"/>
          <w:sz w:val="24"/>
          <w:lang w:eastAsia="zh-CN"/>
        </w:rPr>
        <w:t>退还给投资者。</w:t>
      </w:r>
    </w:p>
    <w:p w14:paraId="04344D3E"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（6）</w:t>
      </w:r>
      <w:r w:rsidRPr="00FB03DC">
        <w:rPr>
          <w:rFonts w:ascii="仿宋" w:eastAsia="仿宋" w:hAnsi="仿宋"/>
          <w:iCs/>
          <w:sz w:val="24"/>
          <w:lang w:eastAsia="zh-CN"/>
        </w:rPr>
        <w:t>集合计划设立完成前，投资者的认购资金只能存入份额登记机构指定的募集账户或为本集合计划开立的托管账户，不得动用。</w:t>
      </w:r>
    </w:p>
    <w:p w14:paraId="6583F712"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（7）认购的程序和确认</w:t>
      </w:r>
    </w:p>
    <w:p w14:paraId="12AA6C8C"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1）投资者在接受销售机构风险承受能力测评后，如采用电子签名合同，需签署电子签名约定书，同意以电子签名方式签署集合资产管理合同，之后必须根据本集合计划销售机构规定的手续，在指定时间内提出认购申请。投资者既可以到本集合计划销售机构指定营业网点的柜台申请认购集合计划，也可以登录销售机构指定网络系统以自主下单的方式申请认购集合计划。当日认购申请可以且只能在当日交易时间内申请撤销</w:t>
      </w:r>
      <w:r w:rsidRPr="00FB03DC">
        <w:rPr>
          <w:rFonts w:ascii="仿宋" w:eastAsia="仿宋" w:hAnsi="仿宋" w:hint="eastAsia"/>
          <w:sz w:val="24"/>
          <w:lang w:eastAsia="zh-CN"/>
        </w:rPr>
        <w:t>，认购确认成功后不可撤销</w:t>
      </w:r>
      <w:r w:rsidRPr="00FB03DC">
        <w:rPr>
          <w:rFonts w:ascii="仿宋" w:eastAsia="仿宋" w:hAnsi="仿宋"/>
          <w:sz w:val="24"/>
          <w:lang w:eastAsia="zh-CN"/>
        </w:rPr>
        <w:t>。</w:t>
      </w:r>
    </w:p>
    <w:p w14:paraId="2F12E5C4"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2）投资者需要事先开设销售机构认可的交易账户，并在账户内备足认购的货币资金；若账户内认购资金不足的，销售机构不受理该笔认购申请。投资者认购申请经确认成功后，其认购申请和认购资金不得撤销；投资者指定资金账户作为办理参与款项、红利款项、退出款项以及清算款项的收款账户。投资者应承诺在本集合计划的资产管理合同有效期内，不得撤销该账户，并妥善保管账户资料。在兑付受托资金及收益时，管理人应当保证受托资金及收益返回投资者的原账户。</w:t>
      </w:r>
    </w:p>
    <w:p w14:paraId="03055ECF"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3）投资者签署本合同后，方可申请认购集合计划。参与认购经管理人确认有效后，构成本合同的有效组成部分。销售机构受理认购申请并不表示对该申请是否成功的确认，而仅代表销售机构确实收到了认购申请。申请是否有效应</w:t>
      </w:r>
      <w:r w:rsidRPr="00FB03DC">
        <w:rPr>
          <w:rFonts w:ascii="仿宋" w:eastAsia="仿宋" w:hAnsi="仿宋"/>
          <w:sz w:val="24"/>
          <w:lang w:eastAsia="zh-CN"/>
        </w:rPr>
        <w:lastRenderedPageBreak/>
        <w:t>以份额登记机构的确认并且资产管理合同生效为准。投资者应在本合同生效后到各销售网点查询最终确认情况和有效认购份额。</w:t>
      </w:r>
    </w:p>
    <w:p w14:paraId="0012CD12"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4）投资者参与认购确认有效后，其认购申请和认购资金不得撤销。</w:t>
      </w:r>
    </w:p>
    <w:p w14:paraId="6C51E2E9"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5）投资者可在集合计划正式成立第2个工作日后到原销售场所或管理人网站查询最终的成交确认情况。</w:t>
      </w:r>
    </w:p>
    <w:p w14:paraId="1C7AFE66" w14:textId="77777777" w:rsidR="00F31CD2" w:rsidRPr="00FB03DC" w:rsidRDefault="00A71D56">
      <w:pPr>
        <w:spacing w:line="360" w:lineRule="auto"/>
        <w:ind w:firstLine="420"/>
        <w:outlineLvl w:val="1"/>
        <w:rPr>
          <w:rFonts w:ascii="仿宋" w:eastAsia="仿宋" w:hAnsi="仿宋"/>
          <w:sz w:val="24"/>
          <w:lang w:eastAsia="zh-CN"/>
        </w:rPr>
      </w:pPr>
      <w:bookmarkStart w:id="123" w:name="_Toc21266"/>
      <w:bookmarkStart w:id="124" w:name="_Toc198731936"/>
      <w:bookmarkStart w:id="125" w:name="_Toc27497"/>
      <w:r w:rsidRPr="00FB03DC">
        <w:rPr>
          <w:rFonts w:ascii="仿宋" w:eastAsia="仿宋" w:hAnsi="仿宋"/>
          <w:sz w:val="24"/>
          <w:lang w:eastAsia="zh-CN"/>
        </w:rPr>
        <w:t>（二）资产管理计划募集账户的披露渠道和查询方式</w:t>
      </w:r>
      <w:bookmarkEnd w:id="123"/>
      <w:bookmarkEnd w:id="124"/>
      <w:bookmarkEnd w:id="125"/>
    </w:p>
    <w:p w14:paraId="357E5E68" w14:textId="77777777" w:rsidR="00F31CD2" w:rsidRPr="00FB03DC" w:rsidRDefault="00A71D56">
      <w:pPr>
        <w:spacing w:line="360" w:lineRule="auto"/>
        <w:ind w:firstLine="426"/>
        <w:rPr>
          <w:rFonts w:ascii="仿宋" w:eastAsia="仿宋" w:hAnsi="仿宋"/>
          <w:sz w:val="24"/>
          <w:lang w:eastAsia="zh-CN"/>
        </w:rPr>
      </w:pPr>
      <w:r w:rsidRPr="00FB03DC">
        <w:rPr>
          <w:rFonts w:ascii="仿宋" w:eastAsia="仿宋" w:hAnsi="仿宋"/>
          <w:sz w:val="24"/>
          <w:lang w:eastAsia="zh-CN"/>
        </w:rPr>
        <w:t>资产管理计划募集结算专用账户和销售机构委托募集账户（如有）将在管理人网站进行披露，投资者可登陆进行查询。</w:t>
      </w:r>
    </w:p>
    <w:p w14:paraId="4BF87CF8" w14:textId="77777777" w:rsidR="00F31CD2" w:rsidRPr="00FB03DC" w:rsidRDefault="00F31CD2">
      <w:pPr>
        <w:spacing w:line="360" w:lineRule="auto"/>
        <w:rPr>
          <w:rFonts w:ascii="仿宋" w:eastAsia="仿宋" w:hAnsi="仿宋"/>
          <w:iCs/>
          <w:sz w:val="24"/>
          <w:lang w:eastAsia="zh-CN"/>
        </w:rPr>
      </w:pPr>
    </w:p>
    <w:p w14:paraId="16DF10FC" w14:textId="77777777" w:rsidR="00F31CD2" w:rsidRPr="00FB03DC" w:rsidRDefault="00F31CD2">
      <w:pPr>
        <w:rPr>
          <w:rFonts w:ascii="仿宋" w:eastAsia="仿宋" w:hAnsi="仿宋"/>
          <w:b/>
          <w:bCs/>
          <w:sz w:val="32"/>
          <w:szCs w:val="32"/>
          <w:lang w:eastAsia="zh-CN"/>
        </w:rPr>
      </w:pPr>
    </w:p>
    <w:p w14:paraId="069B53B0" w14:textId="77777777" w:rsidR="00F31CD2" w:rsidRPr="00FB03DC" w:rsidRDefault="00A71D56">
      <w:pPr>
        <w:pStyle w:val="2"/>
        <w:spacing w:before="0" w:after="0" w:line="360" w:lineRule="auto"/>
        <w:ind w:firstLine="643"/>
        <w:rPr>
          <w:rFonts w:ascii="仿宋" w:eastAsia="仿宋" w:hAnsi="仿宋"/>
          <w:b/>
          <w:bCs/>
          <w:lang w:eastAsia="zh-CN"/>
        </w:rPr>
      </w:pPr>
      <w:bookmarkStart w:id="126" w:name="_Toc6313412"/>
      <w:bookmarkStart w:id="127" w:name="_Toc7080"/>
      <w:bookmarkStart w:id="128" w:name="_Toc51775863"/>
      <w:bookmarkStart w:id="129" w:name="_Toc4244"/>
      <w:bookmarkStart w:id="130" w:name="_Toc22793"/>
      <w:bookmarkStart w:id="131" w:name="_Toc23465"/>
      <w:bookmarkStart w:id="132" w:name="_Toc159589292"/>
      <w:bookmarkStart w:id="133" w:name="_Toc16810"/>
      <w:bookmarkStart w:id="134" w:name="_Toc28621"/>
      <w:r w:rsidRPr="00FB03DC">
        <w:rPr>
          <w:rFonts w:ascii="仿宋" w:eastAsia="仿宋" w:hAnsi="仿宋"/>
          <w:b/>
          <w:bCs/>
          <w:lang w:eastAsia="zh-CN"/>
        </w:rPr>
        <w:br w:type="page"/>
      </w:r>
      <w:bookmarkStart w:id="135" w:name="_Toc198731937"/>
      <w:r w:rsidRPr="00FB03DC">
        <w:rPr>
          <w:rFonts w:ascii="仿宋" w:eastAsia="仿宋" w:hAnsi="仿宋"/>
          <w:b/>
          <w:bCs/>
          <w:lang w:eastAsia="zh-CN"/>
        </w:rPr>
        <w:lastRenderedPageBreak/>
        <w:t>七、资产管理计划的成立与备案</w:t>
      </w:r>
      <w:bookmarkEnd w:id="126"/>
      <w:bookmarkEnd w:id="127"/>
      <w:bookmarkEnd w:id="128"/>
      <w:bookmarkEnd w:id="129"/>
      <w:bookmarkEnd w:id="130"/>
      <w:bookmarkEnd w:id="131"/>
      <w:bookmarkEnd w:id="132"/>
      <w:bookmarkEnd w:id="133"/>
      <w:bookmarkEnd w:id="134"/>
      <w:bookmarkEnd w:id="135"/>
    </w:p>
    <w:p w14:paraId="0FE64D00" w14:textId="77777777" w:rsidR="00F31CD2" w:rsidRPr="00FB03DC" w:rsidRDefault="00A71D56">
      <w:pPr>
        <w:spacing w:line="360" w:lineRule="auto"/>
        <w:ind w:firstLine="480"/>
        <w:outlineLvl w:val="1"/>
        <w:rPr>
          <w:rFonts w:ascii="仿宋" w:eastAsia="仿宋" w:hAnsi="仿宋"/>
          <w:iCs/>
          <w:sz w:val="24"/>
          <w:lang w:eastAsia="zh-CN"/>
        </w:rPr>
      </w:pPr>
      <w:bookmarkStart w:id="136" w:name="_Toc5806"/>
      <w:bookmarkStart w:id="137" w:name="_Toc198731938"/>
      <w:bookmarkStart w:id="138" w:name="_Toc7538"/>
      <w:r w:rsidRPr="00FB03DC">
        <w:rPr>
          <w:rFonts w:ascii="仿宋" w:eastAsia="仿宋" w:hAnsi="仿宋"/>
          <w:sz w:val="24"/>
          <w:lang w:eastAsia="zh-CN"/>
        </w:rPr>
        <w:t>（一）集合计划成立的条件和日期</w:t>
      </w:r>
      <w:bookmarkEnd w:id="136"/>
      <w:bookmarkEnd w:id="137"/>
      <w:bookmarkEnd w:id="138"/>
      <w:r w:rsidRPr="00FB03DC">
        <w:rPr>
          <w:rFonts w:ascii="仿宋" w:eastAsia="仿宋" w:hAnsi="仿宋"/>
          <w:sz w:val="24"/>
          <w:lang w:eastAsia="zh-CN"/>
        </w:rPr>
        <w:t xml:space="preserve"> </w:t>
      </w:r>
    </w:p>
    <w:p w14:paraId="1124A61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集合计划的参与资金总额（不含参与费）不低于1000万元人民币且投资者人数为2人（含）以上200人以下，募集过程符合法律、行政法规和中国证监会的规定。</w:t>
      </w:r>
    </w:p>
    <w:p w14:paraId="460540FC"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管理人自资产管理计划的募集金额缴足之日起10个工作日内，公告资产管理计划成立。</w:t>
      </w:r>
    </w:p>
    <w:p w14:paraId="529AE1F5"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集合计划设立完成前，投资者的认购资金只能存入份额登记机构指定的募集账户或为本集合计划开立的托管账户，不得动用。</w:t>
      </w:r>
    </w:p>
    <w:p w14:paraId="1ADB48C0" w14:textId="77777777" w:rsidR="00F31CD2" w:rsidRPr="00FB03DC" w:rsidRDefault="00A71D56">
      <w:pPr>
        <w:spacing w:line="360" w:lineRule="auto"/>
        <w:ind w:firstLine="480"/>
        <w:outlineLvl w:val="1"/>
        <w:rPr>
          <w:rFonts w:ascii="仿宋" w:eastAsia="仿宋" w:hAnsi="仿宋"/>
          <w:iCs/>
          <w:sz w:val="24"/>
          <w:lang w:eastAsia="zh-CN"/>
        </w:rPr>
      </w:pPr>
      <w:bookmarkStart w:id="139" w:name="_Toc27246"/>
      <w:bookmarkStart w:id="140" w:name="_Toc198731939"/>
      <w:bookmarkStart w:id="141" w:name="_Toc24177"/>
      <w:bookmarkStart w:id="142" w:name="_Toc159589293"/>
      <w:r w:rsidRPr="00FB03DC">
        <w:rPr>
          <w:rFonts w:ascii="仿宋" w:eastAsia="仿宋" w:hAnsi="仿宋"/>
          <w:iCs/>
          <w:sz w:val="24"/>
          <w:lang w:eastAsia="zh-CN"/>
        </w:rPr>
        <w:t>（二）集合计划的备案</w:t>
      </w:r>
      <w:bookmarkEnd w:id="139"/>
      <w:r w:rsidRPr="00FB03DC">
        <w:rPr>
          <w:rFonts w:ascii="仿宋" w:eastAsia="仿宋" w:hAnsi="仿宋"/>
          <w:sz w:val="24"/>
          <w:lang w:eastAsia="zh-CN"/>
        </w:rPr>
        <w:t>及备案前投资</w:t>
      </w:r>
      <w:bookmarkEnd w:id="140"/>
      <w:bookmarkEnd w:id="141"/>
      <w:bookmarkEnd w:id="142"/>
    </w:p>
    <w:p w14:paraId="6982B1EF"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管理人应在资产管理计划成立之日起5个工作日内向协会履行备案手续，托管人应及时出具资产缴付证明。资产管理计划成立前，任何机构和个人不得动用投资者参与资金。</w:t>
      </w:r>
    </w:p>
    <w:p w14:paraId="55F102E7"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sz w:val="24"/>
          <w:lang w:eastAsia="zh-CN"/>
        </w:rPr>
        <w:t>集合计划在成立后完成备案前，可以以现金管理为目的，投资于银行活期存款、货币市场基金等中国证监会认可的投资品种。</w:t>
      </w:r>
    </w:p>
    <w:p w14:paraId="1A093309" w14:textId="77777777" w:rsidR="00F31CD2" w:rsidRPr="00FB03DC" w:rsidRDefault="00A71D56">
      <w:pPr>
        <w:spacing w:line="360" w:lineRule="auto"/>
        <w:ind w:firstLine="480"/>
        <w:outlineLvl w:val="1"/>
        <w:rPr>
          <w:rFonts w:ascii="仿宋" w:eastAsia="仿宋" w:hAnsi="仿宋"/>
          <w:sz w:val="24"/>
          <w:lang w:eastAsia="zh-CN"/>
        </w:rPr>
      </w:pPr>
      <w:bookmarkStart w:id="143" w:name="_Toc3727"/>
      <w:bookmarkStart w:id="144" w:name="_Toc5940"/>
      <w:bookmarkStart w:id="145" w:name="_Toc198731940"/>
      <w:r w:rsidRPr="00FB03DC">
        <w:rPr>
          <w:rFonts w:ascii="仿宋" w:eastAsia="仿宋" w:hAnsi="仿宋"/>
          <w:sz w:val="24"/>
          <w:lang w:eastAsia="zh-CN"/>
        </w:rPr>
        <w:t>（三）集合计划设立失败的处理方式</w:t>
      </w:r>
      <w:bookmarkEnd w:id="143"/>
      <w:bookmarkEnd w:id="144"/>
      <w:bookmarkEnd w:id="145"/>
    </w:p>
    <w:p w14:paraId="6DF78EF3"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集合计划初始募集期结束，在集合计划规模低于人民币1000万元或投资者的人数少于2人的条件下，集合计划设立失败，管理人以固有财产承担因募集行为而产生的债务和费用，并在募集期届满后30日内返还投资者已缴纳的款项，并加计银行同期活期存款利息。</w:t>
      </w:r>
    </w:p>
    <w:p w14:paraId="4D33E056" w14:textId="77777777" w:rsidR="00F31CD2" w:rsidRPr="00FB03DC" w:rsidRDefault="00A71D56">
      <w:pPr>
        <w:spacing w:line="360" w:lineRule="auto"/>
        <w:ind w:firstLine="480"/>
        <w:outlineLvl w:val="1"/>
        <w:rPr>
          <w:rFonts w:ascii="仿宋" w:eastAsia="仿宋" w:hAnsi="仿宋"/>
          <w:sz w:val="24"/>
          <w:szCs w:val="20"/>
          <w:lang w:eastAsia="zh-CN"/>
        </w:rPr>
      </w:pPr>
      <w:bookmarkStart w:id="146" w:name="_Toc198731941"/>
      <w:bookmarkStart w:id="147" w:name="_Toc4687"/>
      <w:r w:rsidRPr="00FB03DC">
        <w:rPr>
          <w:rFonts w:ascii="仿宋" w:eastAsia="仿宋" w:hAnsi="仿宋"/>
          <w:sz w:val="24"/>
          <w:szCs w:val="20"/>
          <w:lang w:eastAsia="zh-CN"/>
        </w:rPr>
        <w:t>（四）无法完成备案的情形</w:t>
      </w:r>
      <w:bookmarkEnd w:id="146"/>
      <w:bookmarkEnd w:id="147"/>
    </w:p>
    <w:p w14:paraId="5A3217FC"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sz w:val="24"/>
          <w:szCs w:val="20"/>
          <w:lang w:eastAsia="zh-CN"/>
        </w:rPr>
        <w:t>资产管理计划无法完成备案的，应当及时告知投资者，并按照合同约定履行终止清算程序。</w:t>
      </w:r>
    </w:p>
    <w:p w14:paraId="4ECF0918" w14:textId="77777777" w:rsidR="00F31CD2" w:rsidRPr="00FB03DC" w:rsidRDefault="00A71D56">
      <w:pPr>
        <w:spacing w:line="360" w:lineRule="auto"/>
        <w:ind w:firstLine="480"/>
        <w:outlineLvl w:val="1"/>
        <w:rPr>
          <w:rFonts w:ascii="仿宋" w:eastAsia="仿宋" w:hAnsi="仿宋"/>
          <w:sz w:val="24"/>
          <w:lang w:eastAsia="zh-CN"/>
        </w:rPr>
      </w:pPr>
      <w:bookmarkStart w:id="148" w:name="_Toc198731942"/>
      <w:bookmarkStart w:id="149" w:name="_Toc17009"/>
      <w:bookmarkStart w:id="150" w:name="_Toc30587"/>
      <w:r w:rsidRPr="00FB03DC">
        <w:rPr>
          <w:rFonts w:ascii="仿宋" w:eastAsia="仿宋" w:hAnsi="仿宋"/>
          <w:sz w:val="24"/>
          <w:lang w:eastAsia="zh-CN"/>
        </w:rPr>
        <w:t>（五）集合计划存续期内的资产规模</w:t>
      </w:r>
      <w:bookmarkEnd w:id="148"/>
      <w:bookmarkEnd w:id="149"/>
      <w:bookmarkEnd w:id="150"/>
    </w:p>
    <w:p w14:paraId="779CC2C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本计划成立后，出现集合计划资产净值低于1000万元情形的，管理人有权视计划运作情况终止本计划合同。</w:t>
      </w:r>
    </w:p>
    <w:p w14:paraId="53E9E73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法律法规或中国证监会另有规定时，从其规定。</w:t>
      </w:r>
    </w:p>
    <w:p w14:paraId="4F584AC0" w14:textId="77777777" w:rsidR="00F31CD2" w:rsidRPr="00FB03DC" w:rsidRDefault="00F31CD2">
      <w:pPr>
        <w:spacing w:line="360" w:lineRule="auto"/>
        <w:rPr>
          <w:rFonts w:ascii="仿宋" w:eastAsia="仿宋" w:hAnsi="仿宋"/>
          <w:b/>
          <w:bCs/>
          <w:sz w:val="32"/>
          <w:szCs w:val="32"/>
          <w:lang w:eastAsia="zh-CN"/>
        </w:rPr>
      </w:pPr>
      <w:bookmarkStart w:id="151" w:name="_Toc86390966"/>
      <w:bookmarkStart w:id="152" w:name="_Toc334185933"/>
    </w:p>
    <w:p w14:paraId="093887D0" w14:textId="77777777" w:rsidR="00F31CD2" w:rsidRPr="00FB03DC" w:rsidRDefault="00A71D56">
      <w:pPr>
        <w:pStyle w:val="2"/>
        <w:spacing w:before="0" w:after="0" w:line="360" w:lineRule="auto"/>
        <w:ind w:firstLine="643"/>
        <w:rPr>
          <w:rFonts w:ascii="仿宋" w:eastAsia="仿宋" w:hAnsi="仿宋"/>
          <w:b/>
          <w:bCs/>
          <w:lang w:eastAsia="zh-CN"/>
        </w:rPr>
      </w:pPr>
      <w:bookmarkStart w:id="153" w:name="_Toc6313413"/>
      <w:bookmarkStart w:id="154" w:name="_Toc22744"/>
      <w:bookmarkStart w:id="155" w:name="_Toc30250"/>
      <w:bookmarkStart w:id="156" w:name="_Toc8196"/>
      <w:bookmarkStart w:id="157" w:name="_Toc51775864"/>
      <w:bookmarkStart w:id="158" w:name="_Toc159589294"/>
      <w:bookmarkStart w:id="159" w:name="_Toc18127"/>
      <w:bookmarkStart w:id="160" w:name="_Toc198731943"/>
      <w:bookmarkStart w:id="161" w:name="_Toc30904"/>
      <w:bookmarkStart w:id="162" w:name="_Toc25951"/>
      <w:r w:rsidRPr="00FB03DC">
        <w:rPr>
          <w:rFonts w:ascii="仿宋" w:eastAsia="仿宋" w:hAnsi="仿宋"/>
          <w:b/>
          <w:bCs/>
          <w:lang w:eastAsia="zh-CN"/>
        </w:rPr>
        <w:lastRenderedPageBreak/>
        <w:t>八、资产管理计划的</w:t>
      </w:r>
      <w:bookmarkEnd w:id="151"/>
      <w:bookmarkEnd w:id="152"/>
      <w:r w:rsidRPr="00FB03DC">
        <w:rPr>
          <w:rFonts w:ascii="仿宋" w:eastAsia="仿宋" w:hAnsi="仿宋"/>
          <w:b/>
          <w:bCs/>
          <w:lang w:eastAsia="zh-CN"/>
        </w:rPr>
        <w:t>参与、退出与转让</w:t>
      </w:r>
      <w:bookmarkEnd w:id="153"/>
      <w:bookmarkEnd w:id="154"/>
      <w:bookmarkEnd w:id="155"/>
      <w:bookmarkEnd w:id="156"/>
      <w:bookmarkEnd w:id="157"/>
      <w:bookmarkEnd w:id="158"/>
      <w:bookmarkEnd w:id="159"/>
      <w:bookmarkEnd w:id="160"/>
      <w:bookmarkEnd w:id="161"/>
      <w:bookmarkEnd w:id="162"/>
    </w:p>
    <w:p w14:paraId="58BEE4CB"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（一）集合计划的参与、退出</w:t>
      </w:r>
    </w:p>
    <w:p w14:paraId="2E5C1C5C" w14:textId="77777777" w:rsidR="00F31CD2" w:rsidRPr="00FB03DC" w:rsidRDefault="00A71D56">
      <w:pPr>
        <w:spacing w:line="360" w:lineRule="auto"/>
        <w:ind w:firstLine="480"/>
        <w:outlineLvl w:val="1"/>
        <w:rPr>
          <w:rFonts w:ascii="仿宋" w:eastAsia="仿宋" w:hAnsi="仿宋"/>
          <w:sz w:val="24"/>
          <w:lang w:eastAsia="zh-CN"/>
        </w:rPr>
      </w:pPr>
      <w:bookmarkStart w:id="163" w:name="_Toc22127"/>
      <w:bookmarkStart w:id="164" w:name="_Toc198731944"/>
      <w:bookmarkStart w:id="165" w:name="_Toc23693"/>
      <w:r w:rsidRPr="00FB03DC">
        <w:rPr>
          <w:rFonts w:ascii="仿宋" w:eastAsia="仿宋" w:hAnsi="仿宋"/>
          <w:sz w:val="24"/>
          <w:lang w:eastAsia="zh-CN"/>
        </w:rPr>
        <w:t>1、参与和退出的办理场所</w:t>
      </w:r>
      <w:bookmarkEnd w:id="163"/>
      <w:bookmarkEnd w:id="164"/>
      <w:bookmarkEnd w:id="165"/>
    </w:p>
    <w:p w14:paraId="1EB8BC6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投资者既可以到本集合计划销售机构指定营业网点的柜台申请参与或退出集合计划，也可以登录销售机构指定网络系统以自主下单的方式申请参与或退出集合计划，具体参与和退出方式以管理人公告为准。</w:t>
      </w:r>
    </w:p>
    <w:p w14:paraId="301FAF9A" w14:textId="77777777" w:rsidR="00F31CD2" w:rsidRPr="00FB03DC" w:rsidRDefault="00A71D56">
      <w:pPr>
        <w:spacing w:line="360" w:lineRule="auto"/>
        <w:ind w:firstLine="480"/>
        <w:outlineLvl w:val="1"/>
        <w:rPr>
          <w:rFonts w:ascii="仿宋" w:eastAsia="仿宋" w:hAnsi="仿宋"/>
          <w:sz w:val="24"/>
          <w:lang w:eastAsia="zh-CN"/>
        </w:rPr>
      </w:pPr>
      <w:bookmarkStart w:id="166" w:name="_Toc198731945"/>
      <w:bookmarkStart w:id="167" w:name="_Toc15284"/>
      <w:bookmarkStart w:id="168" w:name="_Toc21397"/>
      <w:r w:rsidRPr="00FB03DC">
        <w:rPr>
          <w:rFonts w:ascii="仿宋" w:eastAsia="仿宋" w:hAnsi="仿宋"/>
          <w:sz w:val="24"/>
          <w:lang w:eastAsia="zh-CN"/>
        </w:rPr>
        <w:t>2、参与和退出的开放日和时间</w:t>
      </w:r>
      <w:bookmarkEnd w:id="166"/>
      <w:bookmarkEnd w:id="167"/>
      <w:bookmarkEnd w:id="168"/>
    </w:p>
    <w:p w14:paraId="4AA0830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（1）封闭期：除开放期外的每一个工作日均为封闭期，封闭期内不办理参与、退出业务。</w:t>
      </w:r>
    </w:p>
    <w:p w14:paraId="0ACFACD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（2）开放期：本集合计划每【周】开放份额的参与、退出，具体为周一、周三和周</w:t>
      </w:r>
      <w:r w:rsidRPr="00FB03DC">
        <w:rPr>
          <w:rFonts w:ascii="仿宋" w:eastAsia="仿宋" w:hAnsi="仿宋" w:hint="eastAsia"/>
          <w:sz w:val="24"/>
          <w:lang w:eastAsia="zh-CN"/>
        </w:rPr>
        <w:t>四</w:t>
      </w:r>
      <w:r w:rsidRPr="00FB03DC">
        <w:rPr>
          <w:rFonts w:ascii="仿宋" w:eastAsia="仿宋" w:hAnsi="仿宋"/>
          <w:sz w:val="24"/>
          <w:lang w:eastAsia="zh-CN"/>
        </w:rPr>
        <w:t>，如遇节假日则顺延，管理人有权调整前述封闭周期，本集合计划具体开放安排以管理人公告为准。中国证监会另有规定的除外。</w:t>
      </w:r>
    </w:p>
    <w:p w14:paraId="5C257869" w14:textId="77777777" w:rsidR="00F31CD2" w:rsidRPr="00FB03DC" w:rsidRDefault="00A71D56">
      <w:pPr>
        <w:spacing w:line="360" w:lineRule="auto"/>
        <w:ind w:firstLine="482"/>
        <w:outlineLvl w:val="1"/>
        <w:rPr>
          <w:rFonts w:ascii="仿宋" w:eastAsia="仿宋" w:hAnsi="仿宋"/>
          <w:b/>
          <w:bCs/>
          <w:sz w:val="24"/>
          <w:lang w:eastAsia="zh-CN"/>
        </w:rPr>
      </w:pPr>
      <w:bookmarkStart w:id="169" w:name="_Toc198731946"/>
      <w:bookmarkStart w:id="170" w:name="_Toc15208"/>
      <w:bookmarkStart w:id="171" w:name="_Toc20604"/>
      <w:r w:rsidRPr="00FB03DC">
        <w:rPr>
          <w:rFonts w:ascii="仿宋" w:eastAsia="仿宋" w:hAnsi="仿宋"/>
          <w:b/>
          <w:bCs/>
          <w:sz w:val="24"/>
          <w:lang w:eastAsia="zh-CN"/>
        </w:rPr>
        <w:t>3、临时开放期</w:t>
      </w:r>
      <w:bookmarkEnd w:id="169"/>
      <w:bookmarkEnd w:id="170"/>
      <w:bookmarkEnd w:id="171"/>
    </w:p>
    <w:p w14:paraId="24892D9C" w14:textId="77777777" w:rsidR="00F31CD2" w:rsidRPr="00FB03DC" w:rsidRDefault="00A71D56">
      <w:pPr>
        <w:spacing w:line="360" w:lineRule="auto"/>
        <w:ind w:firstLine="482"/>
        <w:rPr>
          <w:rFonts w:ascii="仿宋" w:eastAsia="仿宋" w:hAnsi="仿宋"/>
          <w:sz w:val="24"/>
          <w:lang w:eastAsia="zh-CN"/>
        </w:rPr>
      </w:pPr>
      <w:r w:rsidRPr="00FB03DC">
        <w:rPr>
          <w:rFonts w:ascii="仿宋" w:eastAsia="仿宋" w:hAnsi="仿宋"/>
          <w:b/>
          <w:bCs/>
          <w:sz w:val="24"/>
          <w:lang w:eastAsia="zh-CN"/>
        </w:rPr>
        <w:t>在不损害现有投资者利益的情况下，管理人有权在合同变更和相关法律法规变更的情况下设置临时开放期，供投资者退出，具体以管理人公告为准。</w:t>
      </w:r>
    </w:p>
    <w:p w14:paraId="3DA78EDE" w14:textId="77777777" w:rsidR="00F31CD2" w:rsidRPr="00FB03DC" w:rsidRDefault="00A71D56">
      <w:pPr>
        <w:spacing w:line="360" w:lineRule="auto"/>
        <w:ind w:firstLine="480"/>
        <w:outlineLvl w:val="1"/>
        <w:rPr>
          <w:rFonts w:ascii="仿宋" w:eastAsia="仿宋" w:hAnsi="仿宋"/>
          <w:sz w:val="24"/>
          <w:lang w:eastAsia="zh-CN"/>
        </w:rPr>
      </w:pPr>
      <w:bookmarkStart w:id="172" w:name="_Toc198731947"/>
      <w:bookmarkStart w:id="173" w:name="_Toc31773"/>
      <w:bookmarkStart w:id="174" w:name="_Toc26699"/>
      <w:r w:rsidRPr="00FB03DC">
        <w:rPr>
          <w:rFonts w:ascii="仿宋" w:eastAsia="仿宋" w:hAnsi="仿宋"/>
          <w:sz w:val="24"/>
          <w:lang w:eastAsia="zh-CN"/>
        </w:rPr>
        <w:t>4、参与和退出的方式、价格、程序及确认</w:t>
      </w:r>
      <w:bookmarkEnd w:id="172"/>
      <w:bookmarkEnd w:id="173"/>
      <w:bookmarkEnd w:id="174"/>
    </w:p>
    <w:p w14:paraId="6020A247"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（1）参与的方式、价格和金额限制</w:t>
      </w:r>
    </w:p>
    <w:p w14:paraId="5EFE708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1）投资者在存续期开放日购买资产管理计划份额的，应符合合格投资者标准。</w:t>
      </w:r>
    </w:p>
    <w:p w14:paraId="622F089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参与以金额申请。本集合计划单个投资者参与最低金额为30万元人民币（不含参与费用），超过最低参与金额的部分不设金额级差，已持有资产管理计划份额的投资者在资产管理计划存续期开放日追加购买资产管理计划份额</w:t>
      </w:r>
      <w:r w:rsidRPr="00FB03DC">
        <w:rPr>
          <w:rFonts w:ascii="仿宋" w:eastAsia="仿宋" w:hAnsi="仿宋" w:hint="eastAsia"/>
          <w:sz w:val="24"/>
          <w:lang w:eastAsia="zh-CN"/>
        </w:rPr>
        <w:t>不受最低金额的限制</w:t>
      </w:r>
      <w:r w:rsidRPr="00FB03DC">
        <w:rPr>
          <w:rFonts w:ascii="仿宋" w:eastAsia="仿宋" w:hAnsi="仿宋"/>
          <w:sz w:val="24"/>
          <w:lang w:eastAsia="zh-CN"/>
        </w:rPr>
        <w:t>。</w:t>
      </w:r>
    </w:p>
    <w:p w14:paraId="416948C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3）初始募集期认购采用“已知价”原则，参与价格为份额面值 1.00元人民币；存续期参与采用“未知价”原则，即参与集合计划份额的价格以参与申请日当日份额净值为基准进行计算。</w:t>
      </w:r>
    </w:p>
    <w:p w14:paraId="7F198514" w14:textId="77777777" w:rsidR="00F31CD2" w:rsidRPr="00FB03DC" w:rsidRDefault="00A71D56">
      <w:pPr>
        <w:spacing w:line="360" w:lineRule="auto"/>
        <w:ind w:firstLine="480"/>
        <w:rPr>
          <w:rFonts w:ascii="仿宋" w:eastAsia="仿宋" w:hAnsi="仿宋"/>
          <w:iCs/>
          <w:sz w:val="24"/>
          <w:szCs w:val="24"/>
          <w:lang w:eastAsia="zh-CN"/>
        </w:rPr>
      </w:pPr>
      <w:r w:rsidRPr="00FB03DC">
        <w:rPr>
          <w:rFonts w:ascii="仿宋" w:eastAsia="仿宋" w:hAnsi="仿宋"/>
          <w:sz w:val="24"/>
          <w:lang w:eastAsia="zh-CN"/>
        </w:rPr>
        <w:t>4）</w:t>
      </w:r>
      <w:r w:rsidRPr="00FB03DC">
        <w:rPr>
          <w:rFonts w:ascii="仿宋" w:eastAsia="仿宋" w:hAnsi="仿宋"/>
          <w:iCs/>
          <w:sz w:val="24"/>
          <w:szCs w:val="24"/>
          <w:lang w:eastAsia="zh-CN"/>
        </w:rPr>
        <w:t>本集合计划如采用电子签名合同，投资者在签署电子签名合同后方可参与本集合计划。投资者应当如实提供与签署电子签名合同相关的信息和资料，</w:t>
      </w:r>
      <w:r w:rsidRPr="00FB03DC">
        <w:rPr>
          <w:rFonts w:ascii="仿宋" w:eastAsia="仿宋" w:hAnsi="仿宋"/>
          <w:iCs/>
          <w:sz w:val="24"/>
          <w:szCs w:val="24"/>
          <w:lang w:eastAsia="zh-CN"/>
        </w:rPr>
        <w:lastRenderedPageBreak/>
        <w:t>管理人和销售机构应当按照有关规定对投资者提供的信息和资料进行审查并如实记录。</w:t>
      </w:r>
    </w:p>
    <w:p w14:paraId="11135677"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（2）参与的程序和确认</w:t>
      </w:r>
    </w:p>
    <w:p w14:paraId="2DE8D2F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投资者在接受销售机构风险承受能力测评后，如采用电子签名形式的，需签署电子签名约定书，同意以电子签名方式签署集合资产管理合同，之后必须根据本集合计划销售机构规定的手续，在指定参与时间内提出参与申请。投资者既可以到本集合计划销售机构指定营业网点的柜台申请参与集合计划，也可以登录销售机构指定网络系统以自主下单的方式申请参与集合计划。当日参与申请可以且只能在当日交易时间内申请撤销</w:t>
      </w:r>
      <w:r w:rsidRPr="00FB03DC">
        <w:rPr>
          <w:rFonts w:ascii="仿宋" w:eastAsia="仿宋" w:hAnsi="仿宋" w:hint="eastAsia"/>
          <w:sz w:val="24"/>
          <w:lang w:eastAsia="zh-CN"/>
        </w:rPr>
        <w:t>，参与申请经确认成功后不可撤销</w:t>
      </w:r>
      <w:r w:rsidRPr="00FB03DC">
        <w:rPr>
          <w:rFonts w:ascii="仿宋" w:eastAsia="仿宋" w:hAnsi="仿宋"/>
          <w:sz w:val="24"/>
          <w:lang w:eastAsia="zh-CN"/>
        </w:rPr>
        <w:t>。</w:t>
      </w:r>
    </w:p>
    <w:p w14:paraId="57F34A3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投资者需要事先开设销售机构认可的交易账户，并在账户内备足参与的货币资金；若账户内参与资金不足的，销售机构不受理该笔参与申请。投资者参与申请经确认成功后，其参与申请和参与资金不得撤销；投资者指定资金账户作为办理参与款项、红利款项、退出款项以及清算款项的收款账户。投资者应承诺在本集合计划的资产管理合同有效期内，不得撤销该账户，并妥善保管账户资料。在兑付受托资金及收益时，资产管理计划向投资者支付的受托资金及收益应当返回其参与资产管理计划时使用的结算账户或者同名账户。</w:t>
      </w:r>
    </w:p>
    <w:p w14:paraId="2B73080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投资者签署本合同后，方可申请参与集合计划。参与申请经管理人确认有效后，构成本合同的有效组成部分。销售机构受理参与或退出申请并不表示对该申请是否成功的确认，而仅代表销售机构确实收到了参与或退出申请。申请是否有效应以份额登记机构的确认为准。份额登记机构应在法律法规规定的时限内对资产投资者参与、退出申请的有效性进行确认。</w:t>
      </w:r>
    </w:p>
    <w:p w14:paraId="7708E66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4）投资者参与申请确认有效后，其参与申请和参与资金不得撤销。</w:t>
      </w:r>
    </w:p>
    <w:p w14:paraId="2B7B53F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开放期参与的，投资者于T日提交参与申请后，可于T+2日后在原销售场所或管理人网站查询参与确认情况。如将开放当日全部有效参与申请确认后，投资者总人数不超过200人，则份额登记机构对参与申请全部予以确认。如将开放当日全部有效参与申请确认后投资者总人数超过200人，则份额登记机构按照时间优先、金额优先的原则确认参与申请，确保本资产管理计划的投</w:t>
      </w:r>
      <w:r w:rsidRPr="00FB03DC">
        <w:rPr>
          <w:rFonts w:ascii="仿宋" w:eastAsia="仿宋" w:hAnsi="仿宋"/>
          <w:sz w:val="24"/>
          <w:lang w:eastAsia="zh-CN"/>
        </w:rPr>
        <w:lastRenderedPageBreak/>
        <w:t>资者数不超过200人，对未予确认的参与资金将在10个工作日内退还给投资者（不含利息）。</w:t>
      </w:r>
    </w:p>
    <w:p w14:paraId="3551B34E"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（3）退出的方式、价格和金额限制</w:t>
      </w:r>
    </w:p>
    <w:p w14:paraId="1A58792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1）“未知价”原则，即退出集合计划份额的价格以退出申请日当日份额净值为基准进行计算。</w:t>
      </w:r>
    </w:p>
    <w:p w14:paraId="4F2B8688"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2）采用份额退出的方式，即退出以份额申请。</w:t>
      </w:r>
    </w:p>
    <w:p w14:paraId="53D4FB4D"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3）单笔退出申请份额不低于1000份。投资者部分退出资产管理计划的，其退出后持有的资产管理计划份额净值应当不低于规定的合格投资者最低参与金额。投资者持有的资产管理计划份额净值低于规定的最低投资金额时，即</w:t>
      </w:r>
      <w:r w:rsidRPr="00FB03DC">
        <w:rPr>
          <w:rFonts w:ascii="仿宋" w:eastAsia="仿宋" w:hAnsi="仿宋"/>
          <w:sz w:val="24"/>
          <w:lang w:eastAsia="zh-CN"/>
        </w:rPr>
        <w:t>30万</w:t>
      </w:r>
      <w:r w:rsidRPr="00FB03DC">
        <w:rPr>
          <w:rFonts w:ascii="仿宋" w:eastAsia="仿宋" w:hAnsi="仿宋"/>
          <w:sz w:val="24"/>
          <w:szCs w:val="22"/>
          <w:lang w:eastAsia="zh-CN"/>
        </w:rPr>
        <w:t>，需要退出资产管理计划的，应当一次性全部退出。若投资者未选择一次性全部退出的，则管理人有权选择拒绝其退出申请或将投资者届时持有的全部计划份额一次性强制退出，投资者自愿接受管理人选择前述任一处理方式产生的全部风险和损失。</w:t>
      </w:r>
    </w:p>
    <w:p w14:paraId="2CB9A864"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（4）退出的程序和确认</w:t>
      </w:r>
    </w:p>
    <w:p w14:paraId="697DE1F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1）退出申请的提出</w:t>
      </w:r>
    </w:p>
    <w:p w14:paraId="1D5382B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投资者可在原参与网点，在规定的开放期内办理退出申请，或登录原参与销售机构指定的网络系统以自主下单的方式申请退出集合计划。</w:t>
      </w:r>
    </w:p>
    <w:p w14:paraId="27C9D41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具体退出方式以管理人退出公告为准。</w:t>
      </w:r>
    </w:p>
    <w:p w14:paraId="04D924C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2）退出申请的确认</w:t>
      </w:r>
    </w:p>
    <w:p w14:paraId="1964E4A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销售机构指定营业网点受理申请后，检查投资者持有的集合计划份额，交份额登记机构确认；份额登记机构在T＋2日内为投资者扣除权益并办理相应的份额登记手续。当日（T日）在交易时间内提交的申请，投资者通常可在T+2日后到网点查询退出的确认情况。</w:t>
      </w:r>
    </w:p>
    <w:p w14:paraId="4EA38B0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3）退出款项划付</w:t>
      </w:r>
    </w:p>
    <w:p w14:paraId="7319F25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退出款项将在T+</w:t>
      </w:r>
      <w:r w:rsidRPr="00FB03DC">
        <w:rPr>
          <w:rFonts w:ascii="仿宋" w:eastAsia="仿宋" w:hAnsi="仿宋" w:hint="eastAsia"/>
          <w:lang w:eastAsia="zh-CN"/>
        </w:rPr>
        <w:t>5</w:t>
      </w:r>
      <w:r w:rsidRPr="00FB03DC">
        <w:rPr>
          <w:rFonts w:ascii="仿宋" w:eastAsia="仿宋" w:hAnsi="仿宋"/>
          <w:sz w:val="24"/>
          <w:lang w:eastAsia="zh-CN"/>
        </w:rPr>
        <w:t>日内从托管账户划出，经销售机构划往投资者资金账户。</w:t>
      </w:r>
    </w:p>
    <w:p w14:paraId="45721F03" w14:textId="77777777" w:rsidR="00F31CD2" w:rsidRPr="00FB03DC" w:rsidRDefault="00A71D56">
      <w:pPr>
        <w:spacing w:line="360" w:lineRule="auto"/>
        <w:ind w:firstLine="480"/>
        <w:outlineLvl w:val="1"/>
        <w:rPr>
          <w:rFonts w:ascii="仿宋" w:eastAsia="仿宋" w:hAnsi="仿宋"/>
          <w:sz w:val="24"/>
          <w:lang w:eastAsia="zh-CN"/>
        </w:rPr>
      </w:pPr>
      <w:bookmarkStart w:id="175" w:name="_Toc29335"/>
      <w:bookmarkStart w:id="176" w:name="_Toc198731948"/>
      <w:bookmarkStart w:id="177" w:name="_Toc29856"/>
      <w:r w:rsidRPr="00FB03DC">
        <w:rPr>
          <w:rFonts w:ascii="仿宋" w:eastAsia="仿宋" w:hAnsi="仿宋"/>
          <w:sz w:val="24"/>
          <w:lang w:eastAsia="zh-CN"/>
        </w:rPr>
        <w:t>5、参与和退出的费用</w:t>
      </w:r>
      <w:bookmarkEnd w:id="175"/>
      <w:bookmarkEnd w:id="176"/>
      <w:bookmarkEnd w:id="177"/>
    </w:p>
    <w:p w14:paraId="461C8D3B" w14:textId="77777777" w:rsidR="00F31CD2" w:rsidRPr="00FB03DC" w:rsidRDefault="00A71D56">
      <w:pPr>
        <w:spacing w:line="360" w:lineRule="auto"/>
        <w:ind w:firstLine="480"/>
        <w:rPr>
          <w:rFonts w:ascii="仿宋" w:eastAsia="仿宋" w:hAnsi="仿宋"/>
          <w:sz w:val="24"/>
          <w:u w:val="single"/>
          <w:lang w:eastAsia="zh-CN"/>
        </w:rPr>
      </w:pPr>
      <w:r w:rsidRPr="00FB03DC">
        <w:rPr>
          <w:rFonts w:ascii="仿宋" w:eastAsia="仿宋" w:hAnsi="仿宋"/>
          <w:sz w:val="24"/>
          <w:lang w:eastAsia="zh-CN"/>
        </w:rPr>
        <w:t>（1）参与费率：</w:t>
      </w:r>
      <w:r w:rsidRPr="00FB03DC">
        <w:rPr>
          <w:rFonts w:ascii="仿宋" w:eastAsia="仿宋" w:hAnsi="仿宋"/>
          <w:sz w:val="24"/>
          <w:u w:val="single"/>
          <w:lang w:eastAsia="zh-CN"/>
        </w:rPr>
        <w:t>0%；</w:t>
      </w:r>
    </w:p>
    <w:p w14:paraId="5062F3C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（2）退出费率：</w:t>
      </w:r>
      <w:r w:rsidRPr="00FB03DC">
        <w:rPr>
          <w:rFonts w:ascii="仿宋" w:eastAsia="仿宋" w:hAnsi="仿宋"/>
          <w:sz w:val="24"/>
          <w:u w:val="single"/>
          <w:lang w:eastAsia="zh-CN"/>
        </w:rPr>
        <w:t>0%。</w:t>
      </w:r>
      <w:r w:rsidRPr="00FB03DC">
        <w:rPr>
          <w:rFonts w:ascii="仿宋" w:eastAsia="仿宋" w:hAnsi="仿宋"/>
          <w:sz w:val="24"/>
          <w:lang w:eastAsia="zh-CN"/>
        </w:rPr>
        <w:t xml:space="preserve"> </w:t>
      </w:r>
    </w:p>
    <w:p w14:paraId="7F2F60AC" w14:textId="77777777" w:rsidR="00F31CD2" w:rsidRPr="00FB03DC" w:rsidRDefault="00A71D56">
      <w:pPr>
        <w:spacing w:line="360" w:lineRule="auto"/>
        <w:ind w:firstLine="480"/>
        <w:outlineLvl w:val="1"/>
        <w:rPr>
          <w:rFonts w:ascii="仿宋" w:eastAsia="仿宋" w:hAnsi="仿宋"/>
          <w:sz w:val="24"/>
          <w:lang w:eastAsia="zh-CN"/>
        </w:rPr>
      </w:pPr>
      <w:bookmarkStart w:id="178" w:name="_Toc198731949"/>
      <w:bookmarkStart w:id="179" w:name="_Toc12702"/>
      <w:bookmarkStart w:id="180" w:name="_Toc8694"/>
      <w:r w:rsidRPr="00FB03DC">
        <w:rPr>
          <w:rFonts w:ascii="仿宋" w:eastAsia="仿宋" w:hAnsi="仿宋"/>
          <w:sz w:val="24"/>
          <w:lang w:eastAsia="zh-CN"/>
        </w:rPr>
        <w:lastRenderedPageBreak/>
        <w:t>6、参与份额的计算方式、退出金额的计算方式</w:t>
      </w:r>
      <w:bookmarkEnd w:id="178"/>
      <w:bookmarkEnd w:id="179"/>
      <w:bookmarkEnd w:id="180"/>
    </w:p>
    <w:p w14:paraId="579CB3F3"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（1）存续期参与份额的计算：</w:t>
      </w:r>
    </w:p>
    <w:p w14:paraId="31B048B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参与费=参与金额/（1+参与费率）×参与费率</w:t>
      </w:r>
    </w:p>
    <w:p w14:paraId="52E293B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参与份额＝（参与金额-参与费 ）/集合计划参与日份额净值</w:t>
      </w:r>
    </w:p>
    <w:p w14:paraId="594970ED"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参与份数保留小数点后两位，小数点后第三位四舍五入。</w:t>
      </w:r>
    </w:p>
    <w:p w14:paraId="717E1CB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（2）退出金额的计算：</w:t>
      </w:r>
    </w:p>
    <w:p w14:paraId="0E1FC863"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投资者退出金额为退出总额扣减退出费用和管理人业绩报酬后的余额，计量单位为人民币元，退出金额保留到小数点后两位，小数点后两位以后的部分四舍五入，舍去部分所代表的资产归属集合计划资产。</w:t>
      </w:r>
    </w:p>
    <w:p w14:paraId="74572AD8"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退出总额=退出份额×退出申请日集合计划份额净值-管理人业绩报酬（如有）</w:t>
      </w:r>
    </w:p>
    <w:p w14:paraId="4F13991A"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退出费用=退出总额×退出费率</w:t>
      </w:r>
    </w:p>
    <w:p w14:paraId="3DE5655E"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退出金额=退出总额-退出费用</w:t>
      </w:r>
    </w:p>
    <w:p w14:paraId="246EA8B5"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 xml:space="preserve">管理人业绩报酬计算方式详见“资产管理计划的费用与税收”章节。   </w:t>
      </w:r>
    </w:p>
    <w:p w14:paraId="444AEE43" w14:textId="77777777" w:rsidR="00F31CD2" w:rsidRPr="00FB03DC" w:rsidRDefault="00A71D56">
      <w:pPr>
        <w:pStyle w:val="35"/>
        <w:spacing w:line="360" w:lineRule="auto"/>
        <w:ind w:firstLine="480"/>
        <w:outlineLvl w:val="1"/>
        <w:rPr>
          <w:rFonts w:ascii="仿宋" w:eastAsia="仿宋" w:hAnsi="仿宋"/>
          <w:sz w:val="24"/>
          <w:szCs w:val="22"/>
          <w:lang w:eastAsia="zh-CN"/>
        </w:rPr>
      </w:pPr>
      <w:bookmarkStart w:id="181" w:name="_Toc198731950"/>
      <w:bookmarkStart w:id="182" w:name="_Toc7875"/>
      <w:bookmarkStart w:id="183" w:name="_Toc17343"/>
      <w:r w:rsidRPr="00FB03DC">
        <w:rPr>
          <w:rFonts w:ascii="仿宋" w:eastAsia="仿宋" w:hAnsi="仿宋"/>
          <w:sz w:val="24"/>
          <w:lang w:eastAsia="zh-CN"/>
        </w:rPr>
        <w:t>7、</w:t>
      </w:r>
      <w:r w:rsidRPr="00FB03DC">
        <w:rPr>
          <w:rFonts w:ascii="仿宋" w:eastAsia="仿宋" w:hAnsi="仿宋"/>
          <w:sz w:val="24"/>
          <w:szCs w:val="22"/>
          <w:lang w:eastAsia="zh-CN"/>
        </w:rPr>
        <w:t>巨额退出的认定和处理方式</w:t>
      </w:r>
      <w:bookmarkEnd w:id="181"/>
      <w:bookmarkEnd w:id="182"/>
      <w:bookmarkEnd w:id="183"/>
    </w:p>
    <w:p w14:paraId="09A35743" w14:textId="77777777" w:rsidR="00F31CD2" w:rsidRPr="00FB03DC" w:rsidRDefault="00A71D56">
      <w:pPr>
        <w:pStyle w:val="35"/>
        <w:spacing w:line="360" w:lineRule="auto"/>
        <w:ind w:firstLine="480"/>
        <w:outlineLvl w:val="2"/>
        <w:rPr>
          <w:rFonts w:ascii="仿宋" w:eastAsia="仿宋" w:hAnsi="仿宋"/>
          <w:sz w:val="24"/>
          <w:szCs w:val="22"/>
          <w:lang w:eastAsia="zh-CN"/>
        </w:rPr>
      </w:pPr>
      <w:r w:rsidRPr="00FB03DC">
        <w:rPr>
          <w:rFonts w:ascii="仿宋" w:eastAsia="仿宋" w:hAnsi="仿宋"/>
          <w:sz w:val="24"/>
          <w:szCs w:val="22"/>
          <w:lang w:eastAsia="zh-CN"/>
        </w:rPr>
        <w:t>（1）巨额退出的认定</w:t>
      </w:r>
    </w:p>
    <w:p w14:paraId="5A574D6D" w14:textId="77777777" w:rsidR="00F31CD2" w:rsidRPr="00FB03DC" w:rsidRDefault="00A71D56">
      <w:pPr>
        <w:pStyle w:val="35"/>
        <w:spacing w:line="360" w:lineRule="auto"/>
        <w:ind w:firstLine="480"/>
        <w:rPr>
          <w:rFonts w:ascii="仿宋" w:eastAsia="仿宋" w:hAnsi="仿宋"/>
          <w:sz w:val="24"/>
          <w:szCs w:val="22"/>
          <w:lang w:eastAsia="zh-CN"/>
        </w:rPr>
      </w:pPr>
      <w:r w:rsidRPr="00FB03DC">
        <w:rPr>
          <w:rFonts w:ascii="仿宋" w:eastAsia="仿宋" w:hAnsi="仿宋"/>
          <w:sz w:val="24"/>
          <w:szCs w:val="22"/>
          <w:lang w:eastAsia="zh-CN"/>
        </w:rPr>
        <w:t>单个开放日，本集合计划持有人当日累计净退出申请份额（退出申请总份额扣除参与申请总份额之后的余额）超过上一工作日总份额数的</w:t>
      </w:r>
      <w:r w:rsidRPr="00FB03DC">
        <w:rPr>
          <w:rFonts w:ascii="仿宋" w:eastAsia="仿宋" w:hAnsi="仿宋"/>
          <w:sz w:val="24"/>
          <w:lang w:eastAsia="zh-CN"/>
        </w:rPr>
        <w:t>10</w:t>
      </w:r>
      <w:r w:rsidRPr="00FB03DC">
        <w:rPr>
          <w:rFonts w:ascii="仿宋" w:eastAsia="仿宋" w:hAnsi="仿宋"/>
          <w:sz w:val="24"/>
          <w:szCs w:val="22"/>
          <w:lang w:eastAsia="zh-CN"/>
        </w:rPr>
        <w:t>%时，即为巨额退出。</w:t>
      </w:r>
    </w:p>
    <w:p w14:paraId="62422F41" w14:textId="77777777" w:rsidR="00F31CD2" w:rsidRPr="00FB03DC" w:rsidRDefault="00A71D56">
      <w:pPr>
        <w:pStyle w:val="35"/>
        <w:spacing w:line="360" w:lineRule="auto"/>
        <w:ind w:firstLine="480"/>
        <w:outlineLvl w:val="2"/>
        <w:rPr>
          <w:rFonts w:ascii="仿宋" w:eastAsia="仿宋" w:hAnsi="仿宋"/>
          <w:sz w:val="24"/>
          <w:lang w:eastAsia="zh-CN"/>
        </w:rPr>
      </w:pPr>
      <w:r w:rsidRPr="00FB03DC">
        <w:rPr>
          <w:rFonts w:ascii="仿宋" w:eastAsia="仿宋" w:hAnsi="仿宋"/>
          <w:sz w:val="24"/>
          <w:lang w:eastAsia="zh-CN"/>
        </w:rPr>
        <w:t xml:space="preserve">（2）巨额退出的顺序、价格确定和款项支付 </w:t>
      </w:r>
    </w:p>
    <w:p w14:paraId="201BB698" w14:textId="77777777" w:rsidR="00F31CD2" w:rsidRPr="00FB03DC" w:rsidRDefault="00A71D56">
      <w:pPr>
        <w:pStyle w:val="35"/>
        <w:spacing w:line="360" w:lineRule="auto"/>
        <w:ind w:firstLine="482"/>
        <w:rPr>
          <w:rFonts w:ascii="仿宋" w:eastAsia="仿宋" w:hAnsi="仿宋"/>
          <w:sz w:val="24"/>
          <w:lang w:eastAsia="zh-CN"/>
        </w:rPr>
      </w:pPr>
      <w:r w:rsidRPr="00FB03DC">
        <w:rPr>
          <w:rFonts w:ascii="仿宋" w:eastAsia="仿宋" w:hAnsi="仿宋"/>
          <w:b/>
          <w:bCs/>
          <w:sz w:val="24"/>
          <w:lang w:eastAsia="zh-CN"/>
        </w:rPr>
        <w:t>发生巨额退出时，管理人可以根据本集合计划当时的资产组合状况决定全额退出、部分顺延退出或暂停退出；</w:t>
      </w:r>
      <w:r w:rsidRPr="00FB03DC">
        <w:rPr>
          <w:rFonts w:ascii="仿宋" w:eastAsia="仿宋" w:hAnsi="仿宋"/>
          <w:sz w:val="24"/>
          <w:lang w:eastAsia="zh-CN"/>
        </w:rPr>
        <w:t xml:space="preserve"> </w:t>
      </w:r>
    </w:p>
    <w:p w14:paraId="6238A0DC" w14:textId="77777777" w:rsidR="00F31CD2" w:rsidRPr="00FB03DC" w:rsidRDefault="00A71D56">
      <w:pPr>
        <w:pStyle w:val="35"/>
        <w:spacing w:line="360" w:lineRule="auto"/>
        <w:ind w:firstLine="482"/>
        <w:rPr>
          <w:rFonts w:ascii="仿宋" w:eastAsia="仿宋" w:hAnsi="仿宋"/>
          <w:b/>
          <w:bCs/>
          <w:sz w:val="24"/>
          <w:lang w:eastAsia="zh-CN"/>
        </w:rPr>
      </w:pPr>
      <w:r w:rsidRPr="00FB03DC">
        <w:rPr>
          <w:rFonts w:ascii="仿宋" w:eastAsia="仿宋" w:hAnsi="仿宋"/>
          <w:b/>
          <w:bCs/>
          <w:sz w:val="24"/>
          <w:lang w:eastAsia="zh-CN"/>
        </w:rPr>
        <w:t xml:space="preserve">全额退出:当管理人认为有条件支付投资者的退出申请时，按正常退出程序办理。 </w:t>
      </w:r>
    </w:p>
    <w:p w14:paraId="3180083E" w14:textId="77777777" w:rsidR="00F31CD2" w:rsidRPr="00FB03DC" w:rsidRDefault="00A71D56">
      <w:pPr>
        <w:pStyle w:val="35"/>
        <w:spacing w:line="360" w:lineRule="auto"/>
        <w:ind w:firstLine="482"/>
        <w:rPr>
          <w:rFonts w:ascii="仿宋" w:eastAsia="仿宋" w:hAnsi="仿宋"/>
          <w:b/>
          <w:bCs/>
          <w:sz w:val="24"/>
          <w:lang w:eastAsia="zh-CN"/>
        </w:rPr>
      </w:pPr>
      <w:r w:rsidRPr="00FB03DC">
        <w:rPr>
          <w:rFonts w:ascii="仿宋" w:eastAsia="仿宋" w:hAnsi="仿宋"/>
          <w:b/>
          <w:bCs/>
          <w:sz w:val="24"/>
          <w:lang w:eastAsia="zh-CN"/>
        </w:rPr>
        <w:t>部分顺延退出：当管理人认为支付投资者的退出申请可能会对计划资产净值造成较大波动时，管理人在当日接受净退出比例不低于集合计划总份额10%的前提下，对其余退出申请予以延期办理。对于当日的退出申请，将按单个账户退出申请量占退出申请总量的比例，确定当日受理的退出份额；未能受理的退出部分，投资者可选择延期办理或撤销退出申请。对于选择延期办理的退出</w:t>
      </w:r>
      <w:r w:rsidRPr="00FB03DC">
        <w:rPr>
          <w:rFonts w:ascii="仿宋" w:eastAsia="仿宋" w:hAnsi="仿宋"/>
          <w:b/>
          <w:bCs/>
          <w:sz w:val="24"/>
          <w:lang w:eastAsia="zh-CN"/>
        </w:rPr>
        <w:lastRenderedPageBreak/>
        <w:t>申请，管理人将在下一个工作日内办理，并以该工作日的计划份额净值为准计算退出金额，依此类推，直至全部办理完毕为止，转入下一个工作日的退出申请不享有优先权。</w:t>
      </w:r>
    </w:p>
    <w:p w14:paraId="17C8F0B7" w14:textId="77777777" w:rsidR="00F31CD2" w:rsidRPr="00FB03DC" w:rsidRDefault="00A71D56">
      <w:pPr>
        <w:pStyle w:val="35"/>
        <w:spacing w:line="360" w:lineRule="auto"/>
        <w:ind w:firstLine="480"/>
        <w:outlineLvl w:val="2"/>
        <w:rPr>
          <w:rFonts w:ascii="仿宋" w:eastAsia="仿宋" w:hAnsi="仿宋"/>
          <w:sz w:val="24"/>
          <w:lang w:eastAsia="zh-CN"/>
        </w:rPr>
      </w:pPr>
      <w:r w:rsidRPr="00FB03DC">
        <w:rPr>
          <w:rFonts w:ascii="仿宋" w:eastAsia="仿宋" w:hAnsi="仿宋"/>
          <w:sz w:val="24"/>
          <w:lang w:eastAsia="zh-CN"/>
        </w:rPr>
        <w:t xml:space="preserve">（3）告知客户的方式 </w:t>
      </w:r>
    </w:p>
    <w:p w14:paraId="12C76D2E"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发生巨额退出并延期办理时，管理人应在5个自然日内在管理人指定网站公告</w:t>
      </w:r>
      <w:r w:rsidRPr="00FB03DC">
        <w:rPr>
          <w:rFonts w:ascii="仿宋" w:eastAsia="仿宋" w:hAnsi="仿宋" w:hint="eastAsia"/>
          <w:sz w:val="24"/>
          <w:lang w:eastAsia="zh-CN"/>
        </w:rPr>
        <w:t>并邮件通知投资者</w:t>
      </w:r>
      <w:r w:rsidRPr="00FB03DC">
        <w:rPr>
          <w:rFonts w:ascii="仿宋" w:eastAsia="仿宋" w:hAnsi="仿宋"/>
          <w:sz w:val="24"/>
          <w:lang w:eastAsia="zh-CN"/>
        </w:rPr>
        <w:t>，并说明有关处理方法。</w:t>
      </w:r>
    </w:p>
    <w:p w14:paraId="07B4493E" w14:textId="77777777" w:rsidR="00F31CD2" w:rsidRPr="00FB03DC" w:rsidRDefault="00A71D56">
      <w:pPr>
        <w:pStyle w:val="35"/>
        <w:spacing w:line="360" w:lineRule="auto"/>
        <w:ind w:firstLine="480"/>
        <w:outlineLvl w:val="2"/>
        <w:rPr>
          <w:rFonts w:ascii="仿宋" w:eastAsia="仿宋" w:hAnsi="仿宋"/>
          <w:sz w:val="24"/>
          <w:lang w:eastAsia="zh-CN"/>
        </w:rPr>
      </w:pPr>
      <w:r w:rsidRPr="00FB03DC">
        <w:rPr>
          <w:rFonts w:ascii="仿宋" w:eastAsia="仿宋" w:hAnsi="仿宋"/>
          <w:sz w:val="24"/>
          <w:lang w:eastAsia="zh-CN"/>
        </w:rPr>
        <w:t>（4）单客户大额退出的认定及处理</w:t>
      </w:r>
    </w:p>
    <w:p w14:paraId="2A6A8699" w14:textId="77777777" w:rsidR="00F31CD2" w:rsidRPr="00FB03DC" w:rsidRDefault="00A71D56">
      <w:pPr>
        <w:pStyle w:val="35"/>
        <w:spacing w:line="360" w:lineRule="auto"/>
        <w:ind w:firstLine="482"/>
        <w:rPr>
          <w:rFonts w:ascii="仿宋" w:eastAsia="仿宋" w:hAnsi="仿宋"/>
          <w:sz w:val="24"/>
          <w:lang w:eastAsia="zh-CN"/>
        </w:rPr>
      </w:pPr>
      <w:r w:rsidRPr="00FB03DC">
        <w:rPr>
          <w:rFonts w:ascii="仿宋" w:eastAsia="仿宋" w:hAnsi="仿宋"/>
          <w:b/>
          <w:bCs/>
          <w:sz w:val="24"/>
          <w:szCs w:val="22"/>
          <w:lang w:eastAsia="zh-CN"/>
        </w:rPr>
        <w:t>单个开放日，本集合计划单个持有人退出申请份额符合上述情形的，管理人有权对该单客户超出该比例的退出申请实施延期办理，对于该单客户的剩余退出申请管理人有权根据前文（2）中“全额退出”或“部分顺延退出”与其他集合计划份额持有人的退出申请一并办理。延期的退出申请与下一开放日退出申请一并处理，无优先权并以下一开放日的集合计划单位份额净值为基础计算退出金额，以此类推，直到全部退出为止。但是，对于未能退出部分，如该单客户在提交退出申请时选择取消退出，则其当日未获受理的部分退出申请将被撤销。</w:t>
      </w:r>
    </w:p>
    <w:p w14:paraId="53BA6277" w14:textId="77777777" w:rsidR="00F31CD2" w:rsidRPr="00FB03DC" w:rsidRDefault="00A71D56">
      <w:pPr>
        <w:pStyle w:val="35"/>
        <w:spacing w:line="360" w:lineRule="auto"/>
        <w:ind w:firstLine="480"/>
        <w:outlineLvl w:val="1"/>
        <w:rPr>
          <w:rFonts w:ascii="仿宋" w:eastAsia="仿宋" w:hAnsi="仿宋"/>
          <w:sz w:val="24"/>
          <w:lang w:eastAsia="zh-CN"/>
        </w:rPr>
      </w:pPr>
      <w:bookmarkStart w:id="184" w:name="_Toc198731951"/>
      <w:bookmarkStart w:id="185" w:name="_Toc15359"/>
      <w:bookmarkStart w:id="186" w:name="_Toc26252"/>
      <w:r w:rsidRPr="00FB03DC">
        <w:rPr>
          <w:rFonts w:ascii="仿宋" w:eastAsia="仿宋" w:hAnsi="仿宋"/>
          <w:sz w:val="24"/>
          <w:lang w:eastAsia="zh-CN"/>
        </w:rPr>
        <w:t>8、连续巨额退出的认定和处理方式</w:t>
      </w:r>
      <w:bookmarkEnd w:id="184"/>
      <w:bookmarkEnd w:id="185"/>
      <w:bookmarkEnd w:id="186"/>
      <w:r w:rsidRPr="00FB03DC">
        <w:rPr>
          <w:rFonts w:ascii="仿宋" w:eastAsia="仿宋" w:hAnsi="仿宋"/>
          <w:sz w:val="24"/>
          <w:lang w:eastAsia="zh-CN"/>
        </w:rPr>
        <w:t xml:space="preserve"> </w:t>
      </w:r>
    </w:p>
    <w:p w14:paraId="306042A0" w14:textId="77777777" w:rsidR="00F31CD2" w:rsidRPr="00FB03DC" w:rsidRDefault="00A71D56">
      <w:pPr>
        <w:pStyle w:val="35"/>
        <w:spacing w:line="360" w:lineRule="auto"/>
        <w:ind w:firstLine="480"/>
        <w:outlineLvl w:val="2"/>
        <w:rPr>
          <w:rFonts w:ascii="仿宋" w:eastAsia="仿宋" w:hAnsi="仿宋"/>
          <w:sz w:val="24"/>
          <w:lang w:eastAsia="zh-CN"/>
        </w:rPr>
      </w:pPr>
      <w:r w:rsidRPr="00FB03DC">
        <w:rPr>
          <w:rFonts w:ascii="仿宋" w:eastAsia="仿宋" w:hAnsi="仿宋"/>
          <w:sz w:val="24"/>
          <w:lang w:eastAsia="zh-CN"/>
        </w:rPr>
        <w:t xml:space="preserve">（1）连续巨额退出的认定 </w:t>
      </w:r>
    </w:p>
    <w:p w14:paraId="77E8D454"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如果本集合计划连续2个开放日发生巨额退出，即认为发生了连续巨额退出。</w:t>
      </w:r>
    </w:p>
    <w:p w14:paraId="3A26A369" w14:textId="77777777" w:rsidR="00F31CD2" w:rsidRPr="00FB03DC" w:rsidRDefault="00A71D56">
      <w:pPr>
        <w:pStyle w:val="35"/>
        <w:spacing w:line="360" w:lineRule="auto"/>
        <w:ind w:firstLine="480"/>
        <w:outlineLvl w:val="2"/>
        <w:rPr>
          <w:rFonts w:ascii="仿宋" w:eastAsia="仿宋" w:hAnsi="仿宋"/>
          <w:sz w:val="24"/>
          <w:lang w:eastAsia="zh-CN"/>
        </w:rPr>
      </w:pPr>
      <w:r w:rsidRPr="00FB03DC">
        <w:rPr>
          <w:rFonts w:ascii="仿宋" w:eastAsia="仿宋" w:hAnsi="仿宋"/>
          <w:sz w:val="24"/>
          <w:lang w:eastAsia="zh-CN"/>
        </w:rPr>
        <w:t xml:space="preserve">（2）连续巨额退出的顺序、价格确定和款项支付 </w:t>
      </w:r>
    </w:p>
    <w:p w14:paraId="7757C796" w14:textId="77777777" w:rsidR="00F31CD2" w:rsidRPr="00FB03DC" w:rsidRDefault="00A71D56">
      <w:pPr>
        <w:pStyle w:val="35"/>
        <w:spacing w:line="360" w:lineRule="auto"/>
        <w:ind w:firstLine="482"/>
        <w:rPr>
          <w:rFonts w:ascii="仿宋" w:eastAsia="仿宋" w:hAnsi="仿宋"/>
          <w:b/>
          <w:bCs/>
          <w:sz w:val="24"/>
          <w:lang w:eastAsia="zh-CN"/>
        </w:rPr>
      </w:pPr>
      <w:r w:rsidRPr="00FB03DC">
        <w:rPr>
          <w:rFonts w:ascii="仿宋" w:eastAsia="仿宋" w:hAnsi="仿宋"/>
          <w:b/>
          <w:bCs/>
          <w:sz w:val="24"/>
          <w:lang w:eastAsia="zh-CN"/>
        </w:rPr>
        <w:t>本集合计划发生连续巨额退出，管理人可按本合同载明的规定，暂停接受退出申请，但暂停期限不得超过20个工作日，已经接受的退出申请可以延缓支付退出款项，但不得超过20个工作日，并在管理人指定网站上进行公告。</w:t>
      </w:r>
    </w:p>
    <w:p w14:paraId="7D90BA87" w14:textId="77777777" w:rsidR="00F31CD2" w:rsidRPr="00FB03DC" w:rsidRDefault="00A71D56">
      <w:pPr>
        <w:pStyle w:val="35"/>
        <w:numPr>
          <w:ilvl w:val="0"/>
          <w:numId w:val="2"/>
        </w:numPr>
        <w:spacing w:line="360" w:lineRule="auto"/>
        <w:ind w:firstLine="480"/>
        <w:outlineLvl w:val="1"/>
        <w:rPr>
          <w:rFonts w:ascii="仿宋" w:eastAsia="仿宋" w:hAnsi="仿宋"/>
          <w:sz w:val="24"/>
          <w:lang w:eastAsia="zh-CN"/>
        </w:rPr>
      </w:pPr>
      <w:bookmarkStart w:id="187" w:name="_Toc30677"/>
      <w:bookmarkStart w:id="188" w:name="_Toc198731952"/>
      <w:bookmarkStart w:id="189" w:name="OLE_LINK12"/>
      <w:r w:rsidRPr="00FB03DC">
        <w:rPr>
          <w:rFonts w:ascii="仿宋" w:eastAsia="仿宋" w:hAnsi="仿宋"/>
          <w:sz w:val="24"/>
          <w:lang w:eastAsia="zh-CN"/>
        </w:rPr>
        <w:t>延期支付和延期退出的情形和处理方式</w:t>
      </w:r>
      <w:bookmarkEnd w:id="187"/>
      <w:bookmarkEnd w:id="188"/>
    </w:p>
    <w:p w14:paraId="3450C2C2"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（1）延期支付及延期退出的情形</w:t>
      </w:r>
    </w:p>
    <w:p w14:paraId="194C4DBE"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1）出现巨额退出或连续巨额退出的情形时；</w:t>
      </w:r>
    </w:p>
    <w:p w14:paraId="1F4F2D85"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2）</w:t>
      </w:r>
      <w:r w:rsidRPr="00FB03DC">
        <w:rPr>
          <w:rFonts w:ascii="仿宋" w:eastAsia="仿宋" w:hAnsi="仿宋" w:hint="eastAsia"/>
          <w:sz w:val="24"/>
          <w:lang w:eastAsia="zh-CN"/>
        </w:rPr>
        <w:t>出现合同约定的管理人暂停投资者的退出业务的</w:t>
      </w:r>
      <w:r w:rsidRPr="00FB03DC">
        <w:rPr>
          <w:rFonts w:ascii="仿宋" w:eastAsia="仿宋" w:hAnsi="仿宋"/>
          <w:sz w:val="24"/>
          <w:lang w:eastAsia="zh-CN"/>
        </w:rPr>
        <w:t>情形。</w:t>
      </w:r>
    </w:p>
    <w:p w14:paraId="3B920356" w14:textId="77777777" w:rsidR="00F31CD2" w:rsidRPr="00FB03DC" w:rsidRDefault="00A71D56">
      <w:pPr>
        <w:pStyle w:val="35"/>
        <w:spacing w:line="360" w:lineRule="auto"/>
        <w:ind w:firstLine="480"/>
        <w:rPr>
          <w:rFonts w:ascii="仿宋" w:eastAsia="仿宋" w:hAnsi="仿宋"/>
          <w:sz w:val="24"/>
          <w:lang w:eastAsia="zh-CN"/>
        </w:rPr>
      </w:pPr>
      <w:r w:rsidRPr="00FB03DC">
        <w:rPr>
          <w:rFonts w:ascii="仿宋" w:eastAsia="仿宋" w:hAnsi="仿宋"/>
          <w:sz w:val="24"/>
          <w:lang w:eastAsia="zh-CN"/>
        </w:rPr>
        <w:t>（2）延期支付及延期退出的处理方式：管理人应明</w:t>
      </w:r>
      <w:r w:rsidRPr="00FB03DC">
        <w:rPr>
          <w:rFonts w:ascii="仿宋" w:eastAsia="仿宋" w:hAnsi="仿宋" w:hint="eastAsia"/>
          <w:sz w:val="24"/>
          <w:lang w:eastAsia="zh-CN"/>
        </w:rPr>
        <w:t>确</w:t>
      </w:r>
      <w:r w:rsidRPr="00FB03DC">
        <w:rPr>
          <w:rFonts w:ascii="仿宋" w:eastAsia="仿宋" w:hAnsi="仿宋"/>
          <w:sz w:val="24"/>
          <w:lang w:eastAsia="zh-CN"/>
        </w:rPr>
        <w:t>延期支付和延期退出的处理方案并通过管理人网站</w:t>
      </w:r>
      <w:r w:rsidRPr="00FB03DC">
        <w:rPr>
          <w:rFonts w:ascii="仿宋" w:eastAsia="仿宋" w:hAnsi="仿宋" w:hint="eastAsia"/>
          <w:sz w:val="24"/>
          <w:lang w:eastAsia="zh-CN"/>
        </w:rPr>
        <w:t>和邮件通知形式</w:t>
      </w:r>
      <w:r w:rsidRPr="00FB03DC">
        <w:rPr>
          <w:rFonts w:ascii="仿宋" w:eastAsia="仿宋" w:hAnsi="仿宋"/>
          <w:sz w:val="24"/>
          <w:lang w:eastAsia="zh-CN"/>
        </w:rPr>
        <w:t>告知投资者。</w:t>
      </w:r>
      <w:bookmarkStart w:id="190" w:name="_Toc27014"/>
      <w:bookmarkEnd w:id="189"/>
    </w:p>
    <w:p w14:paraId="6B96C0AC" w14:textId="77777777" w:rsidR="00F31CD2" w:rsidRPr="00FB03DC" w:rsidRDefault="00A71D56">
      <w:pPr>
        <w:pStyle w:val="35"/>
        <w:spacing w:line="360" w:lineRule="auto"/>
        <w:ind w:firstLine="480"/>
        <w:outlineLvl w:val="1"/>
        <w:rPr>
          <w:rFonts w:ascii="仿宋" w:eastAsia="仿宋" w:hAnsi="仿宋"/>
          <w:sz w:val="24"/>
          <w:lang w:eastAsia="zh-CN"/>
        </w:rPr>
      </w:pPr>
      <w:bookmarkStart w:id="191" w:name="_Toc198731953"/>
      <w:bookmarkStart w:id="192" w:name="_Toc24706"/>
      <w:r w:rsidRPr="00FB03DC">
        <w:rPr>
          <w:rFonts w:ascii="仿宋" w:eastAsia="仿宋" w:hAnsi="仿宋"/>
          <w:sz w:val="24"/>
          <w:lang w:eastAsia="zh-CN"/>
        </w:rPr>
        <w:lastRenderedPageBreak/>
        <w:t>10、拒绝或者暂停参与、暂停退出的情形以及处理</w:t>
      </w:r>
      <w:bookmarkEnd w:id="190"/>
      <w:r w:rsidRPr="00FB03DC">
        <w:rPr>
          <w:rFonts w:ascii="仿宋" w:eastAsia="仿宋" w:hAnsi="仿宋"/>
          <w:sz w:val="24"/>
          <w:lang w:eastAsia="zh-CN"/>
        </w:rPr>
        <w:t>方式</w:t>
      </w:r>
      <w:bookmarkEnd w:id="191"/>
      <w:bookmarkEnd w:id="192"/>
    </w:p>
    <w:p w14:paraId="116A7CCD"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发生下列情形时，管理人可以拒绝或暂停受理投资者的参与申请：</w:t>
      </w:r>
    </w:p>
    <w:p w14:paraId="3D4270C1"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（1）本集合计划份额接近或达到规模上限；</w:t>
      </w:r>
    </w:p>
    <w:p w14:paraId="38EC835D"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（2）本集合计划投资者人数接近或达到法律、行政法规和资产管理合同规定的上限；</w:t>
      </w:r>
    </w:p>
    <w:p w14:paraId="64786C29"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（3）战争、自然灾害等不可抗力的原因导致集合计划无法正常运作；</w:t>
      </w:r>
    </w:p>
    <w:p w14:paraId="7ADA57E1"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（4）管理人认为接受某笔或某些参与申请可能影响或损害现有投资者利益时；</w:t>
      </w:r>
    </w:p>
    <w:p w14:paraId="256A3DAA"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（5）法人或者依法成立的其他组织用筹集的资金参与集合计划而未提供管理人要求的合法筹集资金的证明文件</w:t>
      </w:r>
      <w:r w:rsidRPr="00FB03DC">
        <w:rPr>
          <w:rFonts w:ascii="仿宋" w:eastAsia="仿宋" w:hAnsi="仿宋" w:hint="eastAsia"/>
          <w:b/>
          <w:bCs/>
          <w:sz w:val="24"/>
          <w:lang w:eastAsia="zh-CN"/>
        </w:rPr>
        <w:t>（该情形下，管理人仅暂停接受存在前述情形的法人、组织提出的参与申请）</w:t>
      </w:r>
      <w:r w:rsidRPr="00FB03DC">
        <w:rPr>
          <w:rFonts w:ascii="仿宋" w:eastAsia="仿宋" w:hAnsi="仿宋"/>
          <w:b/>
          <w:bCs/>
          <w:sz w:val="24"/>
          <w:lang w:eastAsia="zh-CN"/>
        </w:rPr>
        <w:t>；</w:t>
      </w:r>
    </w:p>
    <w:p w14:paraId="77CC5E06"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（6）法律、行政法规规定或中国证监会认定的其他情形。</w:t>
      </w:r>
    </w:p>
    <w:p w14:paraId="76400004" w14:textId="77777777" w:rsidR="00F31CD2" w:rsidRPr="00FB03DC" w:rsidRDefault="00A71D56">
      <w:pPr>
        <w:spacing w:line="360" w:lineRule="auto"/>
        <w:ind w:firstLine="482"/>
        <w:rPr>
          <w:rFonts w:ascii="仿宋" w:eastAsia="仿宋" w:hAnsi="仿宋"/>
          <w:b/>
          <w:bCs/>
          <w:sz w:val="24"/>
          <w:lang w:eastAsia="zh-CN"/>
        </w:rPr>
      </w:pPr>
      <w:bookmarkStart w:id="193" w:name="OLE_LINK9"/>
      <w:r w:rsidRPr="00FB03DC">
        <w:rPr>
          <w:rFonts w:ascii="仿宋" w:eastAsia="仿宋" w:hAnsi="仿宋"/>
          <w:b/>
          <w:bCs/>
          <w:sz w:val="24"/>
          <w:lang w:eastAsia="zh-CN"/>
        </w:rPr>
        <w:t>管理人决定拒绝接受某些投资者的参与申请时，参与款项将退回投资者账户。管理人决定暂停接受全部或部分参与申请时，应当以邮件</w:t>
      </w:r>
      <w:r w:rsidRPr="00FB03DC">
        <w:rPr>
          <w:rFonts w:ascii="仿宋" w:eastAsia="仿宋" w:hAnsi="仿宋" w:hint="eastAsia"/>
          <w:b/>
          <w:bCs/>
          <w:sz w:val="24"/>
          <w:lang w:eastAsia="zh-CN"/>
        </w:rPr>
        <w:t>和</w:t>
      </w:r>
      <w:r w:rsidRPr="00FB03DC">
        <w:rPr>
          <w:rFonts w:ascii="仿宋" w:eastAsia="仿宋" w:hAnsi="仿宋"/>
          <w:b/>
          <w:bCs/>
          <w:sz w:val="24"/>
          <w:lang w:eastAsia="zh-CN"/>
        </w:rPr>
        <w:t>公告的方式告知投资者。在暂停参与的情形消除时，管理人应及时恢复参与业务的办理并以邮件</w:t>
      </w:r>
      <w:r w:rsidRPr="00FB03DC">
        <w:rPr>
          <w:rFonts w:ascii="仿宋" w:eastAsia="仿宋" w:hAnsi="仿宋" w:hint="eastAsia"/>
          <w:b/>
          <w:bCs/>
          <w:sz w:val="24"/>
          <w:lang w:eastAsia="zh-CN"/>
        </w:rPr>
        <w:t>和</w:t>
      </w:r>
      <w:r w:rsidRPr="00FB03DC">
        <w:rPr>
          <w:rFonts w:ascii="仿宋" w:eastAsia="仿宋" w:hAnsi="仿宋"/>
          <w:b/>
          <w:bCs/>
          <w:sz w:val="24"/>
          <w:lang w:eastAsia="zh-CN"/>
        </w:rPr>
        <w:t>公告的方式告知投资者。</w:t>
      </w:r>
      <w:bookmarkEnd w:id="193"/>
    </w:p>
    <w:p w14:paraId="104D92C4"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发生下列情形时，管理人可以暂停受理投资者的退出申请：</w:t>
      </w:r>
    </w:p>
    <w:p w14:paraId="0B041FAE"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（1）不可抗力的原因导致集合计划无法正常运作；</w:t>
      </w:r>
    </w:p>
    <w:p w14:paraId="38400BB6"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（2）证券交易场所交易时间非正常停市，导致当日集合计划资产净值无法计算；</w:t>
      </w:r>
    </w:p>
    <w:p w14:paraId="0C0E131F"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（3）管理人认为退出申请可能会影响或损害现有投资者利益时；</w:t>
      </w:r>
    </w:p>
    <w:p w14:paraId="1300431D"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（4）因非管理人原因，导致本集合计划的现金支付出现困难时；</w:t>
      </w:r>
    </w:p>
    <w:p w14:paraId="0C1B6184"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（5）连续巨额退出；</w:t>
      </w:r>
    </w:p>
    <w:p w14:paraId="1178BE5A"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（6）法律、行政法规和中国证监会认定的其他情形或其他在本合同及说明书中载明的情形。</w:t>
      </w:r>
    </w:p>
    <w:p w14:paraId="602B3B6A" w14:textId="77777777" w:rsidR="00F31CD2" w:rsidRPr="00FB03DC" w:rsidRDefault="00A71D56">
      <w:pPr>
        <w:spacing w:line="360" w:lineRule="auto"/>
        <w:ind w:firstLine="482"/>
        <w:rPr>
          <w:rFonts w:ascii="仿宋" w:eastAsia="仿宋" w:hAnsi="仿宋"/>
          <w:b/>
          <w:bCs/>
          <w:sz w:val="24"/>
          <w:lang w:eastAsia="zh-CN"/>
        </w:rPr>
      </w:pPr>
      <w:bookmarkStart w:id="194" w:name="OLE_LINK10"/>
      <w:r w:rsidRPr="00FB03DC">
        <w:rPr>
          <w:rFonts w:ascii="仿宋" w:eastAsia="仿宋" w:hAnsi="仿宋"/>
          <w:b/>
          <w:bCs/>
          <w:sz w:val="24"/>
          <w:lang w:eastAsia="zh-CN"/>
        </w:rPr>
        <w:t>发生上述情形之一的，管理人应当及时以邮件</w:t>
      </w:r>
      <w:r w:rsidRPr="00FB03DC">
        <w:rPr>
          <w:rFonts w:ascii="仿宋" w:eastAsia="仿宋" w:hAnsi="仿宋" w:hint="eastAsia"/>
          <w:b/>
          <w:bCs/>
          <w:sz w:val="24"/>
          <w:lang w:eastAsia="zh-CN"/>
        </w:rPr>
        <w:t>和</w:t>
      </w:r>
      <w:r w:rsidRPr="00FB03DC">
        <w:rPr>
          <w:rFonts w:ascii="仿宋" w:eastAsia="仿宋" w:hAnsi="仿宋"/>
          <w:b/>
          <w:bCs/>
          <w:sz w:val="24"/>
          <w:lang w:eastAsia="zh-CN"/>
        </w:rPr>
        <w:t>公告的方式告知投资者。在暂停退出的情况消除时，管理人应及时恢复退出业务的办理并及时以邮件</w:t>
      </w:r>
      <w:r w:rsidRPr="00FB03DC">
        <w:rPr>
          <w:rFonts w:ascii="仿宋" w:eastAsia="仿宋" w:hAnsi="仿宋" w:hint="eastAsia"/>
          <w:b/>
          <w:bCs/>
          <w:sz w:val="24"/>
          <w:lang w:eastAsia="zh-CN"/>
        </w:rPr>
        <w:t>和</w:t>
      </w:r>
      <w:r w:rsidRPr="00FB03DC">
        <w:rPr>
          <w:rFonts w:ascii="仿宋" w:eastAsia="仿宋" w:hAnsi="仿宋"/>
          <w:b/>
          <w:bCs/>
          <w:sz w:val="24"/>
          <w:lang w:eastAsia="zh-CN"/>
        </w:rPr>
        <w:t>公告的方式告知投资者。</w:t>
      </w:r>
      <w:bookmarkEnd w:id="194"/>
    </w:p>
    <w:p w14:paraId="75933E9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（二）集合计划份额的转让</w:t>
      </w:r>
    </w:p>
    <w:p w14:paraId="2CD585C5"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在技术条件成熟的前提下，经管理人申请并开通份额转让事宜后，本集合计划份额可以转让。集合计划存续期间，投资者可以通过证券交易所以及中国证监会认可的交易平台向合格投资者转让其持有的集合计划份额。受让方首次参与集合计划，应先与管理人、托管人签订集合资产管理合同。投资者在此授权，当集合计划获得份额转让资格后，管理人可根据份额转让交易平台的规则，为满足份额转让实现和符合合同规定，为投资者办理份额转托管等相关业务，份额转让应当遵守交易场所相关规定及要求，并按规定办理份额变更登记手续。</w:t>
      </w:r>
    </w:p>
    <w:p w14:paraId="167998B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（三）集合计划份额的非交易过户</w:t>
      </w:r>
    </w:p>
    <w:p w14:paraId="51E50052"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非交易过户是指不采用参与、退出等交易方式，将一定数量的集合计划份额按照一定的规则从某一投资者集合计划账户转移到另一投资者集合计划账户的行为。集合计划份额登记机构只受理因继承、捐赠、司法强制执行以及其他符合规定的情况引起的计划份额非交易过户。对于符合条件的非交易过户申请按份额登记机构的有关规定办理。</w:t>
      </w:r>
    </w:p>
    <w:p w14:paraId="594A211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（四）集合计划份额的冻结</w:t>
      </w:r>
    </w:p>
    <w:p w14:paraId="0BE3ED90"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集合计划登记结算机构只受理国家有权机关依法要求的集合计划份额冻结与解冻事项。</w:t>
      </w:r>
    </w:p>
    <w:p w14:paraId="421D530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（五）管理人自有资金参与集合计划</w:t>
      </w:r>
    </w:p>
    <w:p w14:paraId="7A060ED9"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本集合计划管理人、管理人控股股东及其子公司（孙公司）不得以自有资金参与本集合计划。</w:t>
      </w:r>
      <w:bookmarkStart w:id="195" w:name="_Toc334185934"/>
      <w:bookmarkStart w:id="196" w:name="_Toc159589295"/>
      <w:bookmarkStart w:id="197" w:name="_Toc51775865"/>
      <w:bookmarkStart w:id="198" w:name="_Toc3476"/>
      <w:bookmarkStart w:id="199" w:name="_Toc20036"/>
      <w:bookmarkStart w:id="200" w:name="_Toc18676"/>
      <w:bookmarkStart w:id="201" w:name="_Toc30603"/>
      <w:bookmarkStart w:id="202" w:name="_Toc21001"/>
      <w:bookmarkStart w:id="203" w:name="_Toc29913"/>
      <w:bookmarkStart w:id="204" w:name="_Toc6313414"/>
    </w:p>
    <w:p w14:paraId="55749198" w14:textId="77777777" w:rsidR="00F31CD2" w:rsidRPr="00FB03DC" w:rsidRDefault="00F31CD2">
      <w:pPr>
        <w:pStyle w:val="35"/>
        <w:spacing w:line="360" w:lineRule="auto"/>
        <w:ind w:firstLine="0"/>
        <w:rPr>
          <w:rFonts w:ascii="仿宋" w:eastAsia="仿宋" w:hAnsi="仿宋"/>
          <w:sz w:val="24"/>
          <w:szCs w:val="24"/>
          <w:lang w:eastAsia="zh-CN"/>
        </w:rPr>
      </w:pPr>
    </w:p>
    <w:p w14:paraId="74024A4F" w14:textId="77777777" w:rsidR="00F31CD2" w:rsidRPr="00FB03DC" w:rsidRDefault="00A71D56">
      <w:pPr>
        <w:pStyle w:val="2"/>
        <w:ind w:firstLine="643"/>
        <w:rPr>
          <w:rFonts w:ascii="仿宋" w:eastAsia="仿宋" w:hAnsi="仿宋"/>
          <w:b/>
          <w:bCs/>
          <w:lang w:eastAsia="zh-CN"/>
        </w:rPr>
      </w:pPr>
      <w:bookmarkStart w:id="205" w:name="_Toc198731954"/>
      <w:r w:rsidRPr="00FB03DC">
        <w:rPr>
          <w:rFonts w:ascii="仿宋" w:eastAsia="仿宋" w:hAnsi="仿宋"/>
          <w:b/>
          <w:bCs/>
          <w:lang w:eastAsia="zh-CN"/>
        </w:rPr>
        <w:t>九、</w:t>
      </w:r>
      <w:bookmarkStart w:id="206" w:name="_Toc278985441"/>
      <w:bookmarkStart w:id="207" w:name="_Toc278983797"/>
      <w:bookmarkStart w:id="208" w:name="_Toc278985951"/>
      <w:bookmarkEnd w:id="195"/>
      <w:r w:rsidRPr="00FB03DC">
        <w:rPr>
          <w:rFonts w:ascii="仿宋" w:eastAsia="仿宋" w:hAnsi="仿宋"/>
          <w:b/>
          <w:bCs/>
          <w:lang w:eastAsia="zh-CN"/>
        </w:rPr>
        <w:t>份额持有人大会及日常机构</w:t>
      </w:r>
      <w:bookmarkEnd w:id="196"/>
      <w:bookmarkEnd w:id="197"/>
      <w:bookmarkEnd w:id="198"/>
      <w:bookmarkEnd w:id="199"/>
      <w:bookmarkEnd w:id="200"/>
      <w:bookmarkEnd w:id="201"/>
      <w:bookmarkEnd w:id="202"/>
      <w:bookmarkEnd w:id="203"/>
      <w:bookmarkEnd w:id="204"/>
      <w:bookmarkEnd w:id="205"/>
      <w:bookmarkEnd w:id="206"/>
      <w:bookmarkEnd w:id="207"/>
      <w:bookmarkEnd w:id="208"/>
    </w:p>
    <w:p w14:paraId="16E9AD9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本集合计划不设份额持有人大会及日常机构。</w:t>
      </w:r>
    </w:p>
    <w:p w14:paraId="1DB53B1F" w14:textId="77777777" w:rsidR="00F31CD2" w:rsidRPr="00FB03DC" w:rsidRDefault="00F31CD2">
      <w:pPr>
        <w:spacing w:line="360" w:lineRule="auto"/>
        <w:ind w:firstLine="480"/>
        <w:rPr>
          <w:rFonts w:ascii="仿宋" w:eastAsia="仿宋" w:hAnsi="仿宋"/>
          <w:sz w:val="24"/>
          <w:lang w:eastAsia="zh-CN"/>
        </w:rPr>
      </w:pPr>
    </w:p>
    <w:p w14:paraId="4CA9CFC1" w14:textId="77777777" w:rsidR="00F31CD2" w:rsidRPr="00FB03DC" w:rsidRDefault="00A71D56">
      <w:pPr>
        <w:pStyle w:val="2"/>
        <w:spacing w:before="0" w:after="0" w:line="240" w:lineRule="auto"/>
        <w:ind w:firstLine="643"/>
        <w:rPr>
          <w:rFonts w:ascii="仿宋" w:eastAsia="仿宋" w:hAnsi="仿宋"/>
          <w:b/>
          <w:bCs/>
          <w:lang w:eastAsia="zh-CN"/>
        </w:rPr>
      </w:pPr>
      <w:bookmarkStart w:id="209" w:name="_Toc159589296"/>
      <w:bookmarkStart w:id="210" w:name="_Toc1854"/>
      <w:bookmarkStart w:id="211" w:name="_Toc51775866"/>
      <w:bookmarkStart w:id="212" w:name="_Toc23296"/>
      <w:bookmarkStart w:id="213" w:name="_Toc10985"/>
      <w:bookmarkStart w:id="214" w:name="_Toc14505"/>
      <w:bookmarkStart w:id="215" w:name="_Toc23046"/>
      <w:bookmarkStart w:id="216" w:name="_Toc28740"/>
      <w:bookmarkStart w:id="217" w:name="_Toc6313415"/>
      <w:bookmarkStart w:id="218" w:name="_Toc198731955"/>
      <w:r w:rsidRPr="00FB03DC">
        <w:rPr>
          <w:rFonts w:ascii="仿宋" w:eastAsia="仿宋" w:hAnsi="仿宋"/>
          <w:b/>
          <w:bCs/>
          <w:lang w:eastAsia="zh-CN"/>
        </w:rPr>
        <w:t>十、资产管理计划份额的登记</w:t>
      </w:r>
      <w:bookmarkEnd w:id="209"/>
      <w:bookmarkEnd w:id="210"/>
      <w:bookmarkEnd w:id="211"/>
      <w:bookmarkEnd w:id="212"/>
      <w:bookmarkEnd w:id="213"/>
      <w:bookmarkEnd w:id="214"/>
      <w:bookmarkEnd w:id="215"/>
      <w:bookmarkEnd w:id="216"/>
      <w:bookmarkEnd w:id="217"/>
      <w:bookmarkEnd w:id="218"/>
    </w:p>
    <w:p w14:paraId="2994017F" w14:textId="77777777" w:rsidR="00F31CD2" w:rsidRPr="00FB03DC" w:rsidRDefault="00A71D56">
      <w:pPr>
        <w:spacing w:line="360" w:lineRule="auto"/>
        <w:ind w:firstLine="480"/>
        <w:outlineLvl w:val="1"/>
        <w:rPr>
          <w:rFonts w:ascii="仿宋" w:eastAsia="仿宋" w:hAnsi="仿宋"/>
          <w:sz w:val="24"/>
          <w:lang w:eastAsia="zh-CN"/>
        </w:rPr>
      </w:pPr>
      <w:bookmarkStart w:id="219" w:name="_Toc3370"/>
      <w:bookmarkStart w:id="220" w:name="_Toc198731956"/>
      <w:bookmarkStart w:id="221" w:name="_Toc5892"/>
      <w:r w:rsidRPr="00FB03DC">
        <w:rPr>
          <w:rFonts w:ascii="仿宋" w:eastAsia="仿宋" w:hAnsi="仿宋"/>
          <w:sz w:val="24"/>
          <w:lang w:eastAsia="zh-CN"/>
        </w:rPr>
        <w:t>（一）登记信息的备份</w:t>
      </w:r>
      <w:bookmarkEnd w:id="219"/>
      <w:bookmarkEnd w:id="220"/>
      <w:bookmarkEnd w:id="221"/>
    </w:p>
    <w:p w14:paraId="2E0A2B9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全体资产管理计划份额持有人在此同意管理人、份额登记机构或者其他份额登记义务人将集合资产管理计划投资者名称、身份信息以及集合资产管理计划份额明细等数据备份至中国证监会认定的机构。</w:t>
      </w:r>
    </w:p>
    <w:p w14:paraId="57364FFD" w14:textId="77777777" w:rsidR="00F31CD2" w:rsidRPr="00FB03DC" w:rsidRDefault="00A71D56">
      <w:pPr>
        <w:spacing w:line="360" w:lineRule="auto"/>
        <w:ind w:firstLine="480"/>
        <w:outlineLvl w:val="1"/>
        <w:rPr>
          <w:rFonts w:ascii="仿宋" w:eastAsia="仿宋" w:hAnsi="仿宋"/>
          <w:sz w:val="24"/>
          <w:lang w:eastAsia="zh-CN"/>
        </w:rPr>
      </w:pPr>
      <w:bookmarkStart w:id="222" w:name="_Toc198731957"/>
      <w:bookmarkStart w:id="223" w:name="_Toc20369"/>
      <w:bookmarkStart w:id="224" w:name="_Toc19825"/>
      <w:r w:rsidRPr="00FB03DC">
        <w:rPr>
          <w:rFonts w:ascii="仿宋" w:eastAsia="仿宋" w:hAnsi="仿宋"/>
          <w:sz w:val="24"/>
          <w:lang w:eastAsia="zh-CN"/>
        </w:rPr>
        <w:t>（二）集合计划份额登记业务</w:t>
      </w:r>
      <w:bookmarkEnd w:id="222"/>
      <w:bookmarkEnd w:id="223"/>
      <w:bookmarkEnd w:id="224"/>
    </w:p>
    <w:p w14:paraId="59A76F7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份额登记业务指本集合计划登记、存管、过户、清算和结算业务，具体内容包括投资人集合计划账户的建立和管理、集合计划份额登记、集合计划销售业务的确认、清算和结算、代理发放红利、建立并保管集合计划份额持有人名册和办理非交易过户等。</w:t>
      </w:r>
    </w:p>
    <w:p w14:paraId="076CA1F8" w14:textId="77777777" w:rsidR="00F31CD2" w:rsidRPr="00FB03DC" w:rsidRDefault="00A71D56">
      <w:pPr>
        <w:spacing w:line="360" w:lineRule="auto"/>
        <w:ind w:firstLine="480"/>
        <w:outlineLvl w:val="1"/>
        <w:rPr>
          <w:rFonts w:ascii="仿宋" w:eastAsia="仿宋" w:hAnsi="仿宋"/>
          <w:sz w:val="24"/>
          <w:lang w:eastAsia="zh-CN"/>
        </w:rPr>
      </w:pPr>
      <w:bookmarkStart w:id="225" w:name="_Toc198731958"/>
      <w:bookmarkStart w:id="226" w:name="_Toc18027"/>
      <w:bookmarkStart w:id="227" w:name="_Toc5071"/>
      <w:r w:rsidRPr="00FB03DC">
        <w:rPr>
          <w:rFonts w:ascii="仿宋" w:eastAsia="仿宋" w:hAnsi="仿宋"/>
          <w:sz w:val="24"/>
          <w:lang w:eastAsia="zh-CN"/>
        </w:rPr>
        <w:t>（三）集合计划份额登记业务办理机构</w:t>
      </w:r>
      <w:bookmarkEnd w:id="225"/>
      <w:bookmarkEnd w:id="226"/>
      <w:bookmarkEnd w:id="227"/>
    </w:p>
    <w:p w14:paraId="6D8E6A3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本集合计划的份额登记机构为管理人华泰证券（上海）资产管理有限公司。</w:t>
      </w:r>
    </w:p>
    <w:p w14:paraId="0B8E29A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如本合同成立后集合计划管理人委托其他符合条件的机构办理本集合计划份额登记业务的，应与代理人签订委托代理协议，以明确集合计划管理人和代理机构在投资人集合计划账户管理、集合计划份额登记、清算及集合计划交易确认、发放红利、建立并保管集合计划份额持有人名册等事宜中的权利和义务，保护集合计划份额持有人的合法权益。</w:t>
      </w:r>
    </w:p>
    <w:p w14:paraId="67E1E6BA" w14:textId="77777777" w:rsidR="00F31CD2" w:rsidRPr="00FB03DC" w:rsidRDefault="00A71D56">
      <w:pPr>
        <w:spacing w:line="360" w:lineRule="auto"/>
        <w:ind w:firstLine="480"/>
        <w:outlineLvl w:val="1"/>
        <w:rPr>
          <w:rFonts w:ascii="仿宋" w:eastAsia="仿宋" w:hAnsi="仿宋"/>
          <w:sz w:val="24"/>
          <w:lang w:eastAsia="zh-CN"/>
        </w:rPr>
      </w:pPr>
      <w:bookmarkStart w:id="228" w:name="_Toc24129"/>
      <w:bookmarkStart w:id="229" w:name="_Toc198731959"/>
      <w:bookmarkStart w:id="230" w:name="_Toc8791"/>
      <w:r w:rsidRPr="00FB03DC">
        <w:rPr>
          <w:rFonts w:ascii="仿宋" w:eastAsia="仿宋" w:hAnsi="仿宋"/>
          <w:sz w:val="24"/>
          <w:lang w:eastAsia="zh-CN"/>
        </w:rPr>
        <w:t>（四）集合计划份额登记机构的权利</w:t>
      </w:r>
      <w:bookmarkStart w:id="231" w:name="_Hlt88820748"/>
      <w:bookmarkEnd w:id="228"/>
      <w:bookmarkEnd w:id="229"/>
      <w:bookmarkEnd w:id="230"/>
      <w:bookmarkEnd w:id="231"/>
    </w:p>
    <w:p w14:paraId="605D6AB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集合计划份额登记机构享有以下权利：</w:t>
      </w:r>
    </w:p>
    <w:p w14:paraId="7AD33BE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1、取得登记费；</w:t>
      </w:r>
    </w:p>
    <w:p w14:paraId="14ADF5D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2、建立和管理投资人集合计划账户；</w:t>
      </w:r>
    </w:p>
    <w:p w14:paraId="70BC382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3、保管集合计划份额持有人开户资料、交易资料、集合计划份额持有人名册等；</w:t>
      </w:r>
    </w:p>
    <w:p w14:paraId="7FC3193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4、在法律法规允许的范围内，对登记业务的办理时间进行调整，并依照有关规定于开始实施前在指定媒介上公告；</w:t>
      </w:r>
    </w:p>
    <w:p w14:paraId="7AAB464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5、法律法规及中国证监会规定的和集合计划合同约定的其他权利。</w:t>
      </w:r>
    </w:p>
    <w:p w14:paraId="17B49A11" w14:textId="77777777" w:rsidR="00F31CD2" w:rsidRPr="00FB03DC" w:rsidRDefault="00A71D56">
      <w:pPr>
        <w:spacing w:line="360" w:lineRule="auto"/>
        <w:ind w:firstLine="480"/>
        <w:outlineLvl w:val="1"/>
        <w:rPr>
          <w:rFonts w:ascii="仿宋" w:eastAsia="仿宋" w:hAnsi="仿宋"/>
          <w:sz w:val="24"/>
          <w:lang w:eastAsia="zh-CN"/>
        </w:rPr>
      </w:pPr>
      <w:bookmarkStart w:id="232" w:name="_Toc15839"/>
      <w:bookmarkStart w:id="233" w:name="_Toc198731960"/>
      <w:bookmarkStart w:id="234" w:name="_Toc13862"/>
      <w:r w:rsidRPr="00FB03DC">
        <w:rPr>
          <w:rFonts w:ascii="仿宋" w:eastAsia="仿宋" w:hAnsi="仿宋"/>
          <w:sz w:val="24"/>
          <w:lang w:eastAsia="zh-CN"/>
        </w:rPr>
        <w:t>（五）集合计划份额登记机构的义务</w:t>
      </w:r>
      <w:bookmarkEnd w:id="232"/>
      <w:bookmarkEnd w:id="233"/>
      <w:bookmarkEnd w:id="234"/>
    </w:p>
    <w:p w14:paraId="06874A8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集合计划份额登记机构承担以下义务：</w:t>
      </w:r>
    </w:p>
    <w:p w14:paraId="0F42FA6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1、配备足够的专业人员办理本集合计划份额的登记业务；</w:t>
      </w:r>
    </w:p>
    <w:p w14:paraId="178D27B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2、严格按照法律法规和集合计划合同规定的条件办理本集合计划份额的登记业务；</w:t>
      </w:r>
    </w:p>
    <w:p w14:paraId="1D38AF2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3、妥善保存登记数据，并将集合计划份额持有人名称、身份信息及集合计划份额明细等数据备份至中国证监会认定的机构。其保存期限自集合计划账户销户之日起不得少于20年；</w:t>
      </w:r>
    </w:p>
    <w:p w14:paraId="22A5578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对集合计划份额持有人的集合计划账户信息负有保密义务，因违反该保密义务对投资人或集合计划带来的损失，须承担相应的赔偿责任，但司法强制检查情形及法律法规及中国证监会规定的和集合计划合同约定的其他情形除外；</w:t>
      </w:r>
    </w:p>
    <w:p w14:paraId="3C1C558D"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5、按集合计划合同及招募说明书规定为投资人办理非交易过户业务、提供其他必要的服务；</w:t>
      </w:r>
    </w:p>
    <w:p w14:paraId="260AC4D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6、接受集合计划管理人的监督；</w:t>
      </w:r>
    </w:p>
    <w:p w14:paraId="062E0B9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7、法律法规及中国证监会规定的和集合计划合同约定的其他义务。</w:t>
      </w:r>
    </w:p>
    <w:p w14:paraId="2F7EEB55" w14:textId="77777777" w:rsidR="00F31CD2" w:rsidRPr="00FB03DC" w:rsidRDefault="00F31CD2">
      <w:pPr>
        <w:spacing w:line="360" w:lineRule="auto"/>
        <w:ind w:firstLine="480"/>
        <w:rPr>
          <w:rFonts w:ascii="仿宋" w:eastAsia="仿宋" w:hAnsi="仿宋"/>
          <w:sz w:val="24"/>
          <w:lang w:eastAsia="zh-CN"/>
        </w:rPr>
      </w:pPr>
    </w:p>
    <w:p w14:paraId="3316E90E" w14:textId="77777777" w:rsidR="00F31CD2" w:rsidRPr="00FB03DC" w:rsidRDefault="00A71D56">
      <w:pPr>
        <w:pStyle w:val="2"/>
        <w:spacing w:before="0" w:after="0" w:line="240" w:lineRule="auto"/>
        <w:ind w:firstLine="643"/>
        <w:rPr>
          <w:rFonts w:ascii="仿宋" w:eastAsia="仿宋" w:hAnsi="仿宋"/>
          <w:b/>
          <w:bCs/>
          <w:lang w:eastAsia="zh-CN"/>
        </w:rPr>
      </w:pPr>
      <w:bookmarkStart w:id="235" w:name="_Toc24813"/>
      <w:bookmarkStart w:id="236" w:name="_Toc2290"/>
      <w:bookmarkStart w:id="237" w:name="_Toc27276"/>
      <w:bookmarkStart w:id="238" w:name="_Toc198731961"/>
      <w:bookmarkStart w:id="239" w:name="_Toc159589297"/>
      <w:bookmarkStart w:id="240" w:name="_Toc23378"/>
      <w:bookmarkStart w:id="241" w:name="_Toc6313416"/>
      <w:bookmarkStart w:id="242" w:name="_Toc51775867"/>
      <w:bookmarkStart w:id="243" w:name="_Toc10130"/>
      <w:bookmarkStart w:id="244" w:name="_Toc6478"/>
      <w:r w:rsidRPr="00FB03DC">
        <w:rPr>
          <w:rFonts w:ascii="仿宋" w:eastAsia="仿宋" w:hAnsi="仿宋"/>
          <w:b/>
          <w:bCs/>
          <w:lang w:eastAsia="zh-CN"/>
        </w:rPr>
        <w:t>十一、资产管理计划的投资</w:t>
      </w:r>
      <w:bookmarkEnd w:id="235"/>
      <w:bookmarkEnd w:id="236"/>
      <w:bookmarkEnd w:id="237"/>
      <w:bookmarkEnd w:id="238"/>
      <w:bookmarkEnd w:id="239"/>
      <w:bookmarkEnd w:id="240"/>
      <w:bookmarkEnd w:id="241"/>
      <w:bookmarkEnd w:id="242"/>
      <w:bookmarkEnd w:id="243"/>
      <w:bookmarkEnd w:id="244"/>
    </w:p>
    <w:p w14:paraId="10F79B60" w14:textId="77777777" w:rsidR="00F31CD2" w:rsidRPr="00FB03DC" w:rsidRDefault="00A71D56">
      <w:pPr>
        <w:spacing w:line="360" w:lineRule="auto"/>
        <w:ind w:firstLine="480"/>
        <w:outlineLvl w:val="1"/>
        <w:rPr>
          <w:rFonts w:ascii="仿宋" w:eastAsia="仿宋" w:hAnsi="仿宋"/>
          <w:iCs/>
          <w:sz w:val="24"/>
          <w:lang w:eastAsia="zh-CN"/>
        </w:rPr>
      </w:pPr>
      <w:bookmarkStart w:id="245" w:name="_Toc198731962"/>
      <w:bookmarkStart w:id="246" w:name="_Toc16538"/>
      <w:bookmarkStart w:id="247" w:name="_Toc30976"/>
      <w:r w:rsidRPr="00FB03DC">
        <w:rPr>
          <w:rFonts w:ascii="仿宋" w:eastAsia="仿宋" w:hAnsi="仿宋"/>
          <w:iCs/>
          <w:sz w:val="24"/>
          <w:lang w:eastAsia="zh-CN"/>
        </w:rPr>
        <w:t>（一）投资目标</w:t>
      </w:r>
      <w:bookmarkEnd w:id="245"/>
      <w:bookmarkEnd w:id="246"/>
      <w:bookmarkEnd w:id="247"/>
    </w:p>
    <w:p w14:paraId="06106AD3" w14:textId="77777777" w:rsidR="00F31CD2" w:rsidRPr="00FB03DC" w:rsidRDefault="00A71D56">
      <w:pPr>
        <w:spacing w:line="360" w:lineRule="auto"/>
        <w:ind w:left="220" w:firstLine="425"/>
        <w:rPr>
          <w:rFonts w:ascii="仿宋" w:eastAsia="仿宋" w:hAnsi="仿宋"/>
          <w:sz w:val="24"/>
          <w:lang w:eastAsia="zh-CN"/>
        </w:rPr>
      </w:pPr>
      <w:r w:rsidRPr="00FB03DC">
        <w:rPr>
          <w:rFonts w:ascii="仿宋" w:eastAsia="仿宋" w:hAnsi="仿宋"/>
          <w:sz w:val="24"/>
          <w:lang w:eastAsia="zh-CN"/>
        </w:rPr>
        <w:t>本集合计划主要投资于境内的固定收益类资产，管理人依据丰富的投资经验及专业的研究能力，严格控制业务风险，在争取本金安全的前提下追求稳定的收益。</w:t>
      </w:r>
    </w:p>
    <w:p w14:paraId="3EDED5ED" w14:textId="77777777" w:rsidR="00F31CD2" w:rsidRPr="00FB03DC" w:rsidRDefault="00A71D56">
      <w:pPr>
        <w:spacing w:line="360" w:lineRule="auto"/>
        <w:ind w:firstLine="480"/>
        <w:outlineLvl w:val="1"/>
        <w:rPr>
          <w:rFonts w:ascii="仿宋" w:eastAsia="仿宋" w:hAnsi="仿宋"/>
          <w:sz w:val="24"/>
          <w:lang w:eastAsia="zh-CN"/>
        </w:rPr>
      </w:pPr>
      <w:bookmarkStart w:id="248" w:name="_Toc32021"/>
      <w:bookmarkStart w:id="249" w:name="_Toc198731963"/>
      <w:bookmarkStart w:id="250" w:name="_Toc14704"/>
      <w:r w:rsidRPr="00FB03DC">
        <w:rPr>
          <w:rFonts w:ascii="仿宋" w:eastAsia="仿宋" w:hAnsi="仿宋"/>
          <w:sz w:val="24"/>
          <w:lang w:eastAsia="zh-CN"/>
        </w:rPr>
        <w:t>（二）投资范围</w:t>
      </w:r>
      <w:bookmarkEnd w:id="248"/>
      <w:bookmarkEnd w:id="249"/>
      <w:bookmarkEnd w:id="250"/>
    </w:p>
    <w:p w14:paraId="05C1C48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hint="eastAsia"/>
          <w:sz w:val="24"/>
          <w:lang w:eastAsia="zh-CN"/>
        </w:rPr>
        <w:t>固定收益类资产：银行存款（包括活期存款、定期存款、通知存款、结构性存款和其他银行存款（非活期）），货币市场基金，国债、政策性金融债、地方政府债、央行票据、金融企业（公司）债券、非金融企业（公司）债券、资产支持证券，公开募集证券投资基金等；</w:t>
      </w:r>
    </w:p>
    <w:p w14:paraId="759E652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hint="eastAsia"/>
          <w:sz w:val="24"/>
          <w:lang w:eastAsia="zh-CN"/>
        </w:rPr>
        <w:t>期货和衍生品类资产：与固定收益类资产挂钩的信用联结票据。</w:t>
      </w:r>
    </w:p>
    <w:p w14:paraId="589BAD1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cs="仿宋" w:hint="eastAsia"/>
          <w:sz w:val="24"/>
          <w:szCs w:val="32"/>
          <w:lang w:eastAsia="zh-CN"/>
        </w:rPr>
        <w:t>本资产管理计划可以参与债券正回购、债券逆回购业务。</w:t>
      </w:r>
    </w:p>
    <w:p w14:paraId="674CF57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如法律法规或监管机构以后允许本资产管理计划投资其他证券市场或者其他品种，资产管理计划管理人在征得合同各方书面同意并履行</w:t>
      </w:r>
      <w:r w:rsidRPr="00FB03DC">
        <w:rPr>
          <w:rFonts w:ascii="仿宋" w:eastAsia="仿宋" w:hAnsi="仿宋" w:hint="eastAsia"/>
          <w:sz w:val="24"/>
          <w:lang w:eastAsia="zh-CN"/>
        </w:rPr>
        <w:t>符合本合同规定</w:t>
      </w:r>
      <w:r w:rsidRPr="00FB03DC">
        <w:rPr>
          <w:rFonts w:ascii="仿宋" w:eastAsia="仿宋" w:hAnsi="仿宋" w:hint="eastAsia"/>
          <w:sz w:val="24"/>
          <w:lang w:eastAsia="zh-CN"/>
        </w:rPr>
        <w:lastRenderedPageBreak/>
        <w:t>的相应</w:t>
      </w:r>
      <w:r w:rsidRPr="00FB03DC">
        <w:rPr>
          <w:rFonts w:ascii="仿宋" w:eastAsia="仿宋" w:hAnsi="仿宋"/>
          <w:sz w:val="24"/>
          <w:lang w:eastAsia="zh-CN"/>
        </w:rPr>
        <w:t>程序后，可以相应调整本资产管理计划的投资范围、投资比例规定，并应为管理人和托管人相关系统准备以及投资组合调整留出必要的时间。</w:t>
      </w:r>
    </w:p>
    <w:p w14:paraId="0E72D950"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sz w:val="24"/>
          <w:lang w:eastAsia="zh-CN"/>
        </w:rPr>
        <w:t>本计划完成备案前，可以以现金管理为目的，投资于银行活期存款、货币市场基金等中国证监会认可的投资品种。</w:t>
      </w:r>
    </w:p>
    <w:p w14:paraId="6707932C" w14:textId="77777777" w:rsidR="00F31CD2" w:rsidRPr="00FB03DC" w:rsidRDefault="00A71D56">
      <w:pPr>
        <w:spacing w:line="360" w:lineRule="auto"/>
        <w:ind w:firstLine="480"/>
        <w:outlineLvl w:val="1"/>
        <w:rPr>
          <w:rFonts w:ascii="仿宋" w:eastAsia="仿宋" w:hAnsi="仿宋"/>
          <w:iCs/>
          <w:sz w:val="24"/>
          <w:lang w:eastAsia="zh-CN"/>
        </w:rPr>
      </w:pPr>
      <w:bookmarkStart w:id="251" w:name="_Toc8115"/>
      <w:bookmarkStart w:id="252" w:name="_Toc198731964"/>
      <w:r w:rsidRPr="00FB03DC">
        <w:rPr>
          <w:rFonts w:ascii="仿宋" w:eastAsia="仿宋" w:hAnsi="仿宋"/>
          <w:sz w:val="24"/>
          <w:szCs w:val="24"/>
          <w:lang w:eastAsia="zh-CN"/>
        </w:rPr>
        <w:t>（三）</w:t>
      </w:r>
      <w:r w:rsidRPr="00FB03DC">
        <w:rPr>
          <w:rFonts w:ascii="仿宋" w:eastAsia="仿宋" w:hAnsi="仿宋"/>
          <w:iCs/>
          <w:sz w:val="24"/>
          <w:lang w:eastAsia="zh-CN"/>
        </w:rPr>
        <w:t>投资策略</w:t>
      </w:r>
      <w:bookmarkEnd w:id="251"/>
      <w:bookmarkEnd w:id="252"/>
    </w:p>
    <w:p w14:paraId="28A5F945" w14:textId="77777777" w:rsidR="00F31CD2" w:rsidRPr="00FB03DC" w:rsidRDefault="00A71D56">
      <w:pPr>
        <w:spacing w:line="360" w:lineRule="auto"/>
        <w:ind w:firstLine="480"/>
        <w:rPr>
          <w:rFonts w:ascii="仿宋" w:eastAsia="仿宋" w:hAnsi="仿宋" w:cs="仿宋"/>
          <w:sz w:val="24"/>
          <w:lang w:eastAsia="zh-CN"/>
        </w:rPr>
      </w:pPr>
      <w:bookmarkStart w:id="253" w:name="_Toc10761"/>
      <w:r w:rsidRPr="00FB03DC">
        <w:rPr>
          <w:rFonts w:ascii="仿宋" w:eastAsia="仿宋" w:hAnsi="仿宋" w:cs="仿宋" w:hint="eastAsia"/>
          <w:sz w:val="24"/>
          <w:lang w:eastAsia="zh-CN"/>
        </w:rPr>
        <w:t>1、固定收益类策略：分析宏观经济数据、货币政策和利率变化趋势以及不同类属的收益率水平、流动性和信用风险，以久期控制和结构分布策略为主，以收益率曲线策略、利差策略等为辅，构造能够提供稳定收益的债券与货币市场工具组合。</w:t>
      </w:r>
    </w:p>
    <w:p w14:paraId="02589055" w14:textId="77777777" w:rsidR="00F31CD2" w:rsidRPr="00FB03DC" w:rsidRDefault="00A71D56">
      <w:pPr>
        <w:spacing w:line="360" w:lineRule="auto"/>
        <w:ind w:firstLine="480"/>
        <w:rPr>
          <w:rFonts w:ascii="仿宋" w:eastAsia="仿宋" w:hAnsi="仿宋" w:cs="仿宋"/>
          <w:sz w:val="24"/>
          <w:lang w:eastAsia="zh-CN"/>
        </w:rPr>
      </w:pPr>
      <w:r w:rsidRPr="00FB03DC">
        <w:rPr>
          <w:rFonts w:ascii="仿宋" w:eastAsia="仿宋" w:hAnsi="仿宋" w:cs="仿宋" w:hint="eastAsia"/>
          <w:sz w:val="24"/>
          <w:lang w:eastAsia="zh-CN"/>
        </w:rPr>
        <w:t>2、衍生品策略：充分考量交易对手的信用风险，结合产品资产配置需要，管理人选择合适挂钩标的以及收益结构的衍生品。</w:t>
      </w:r>
    </w:p>
    <w:p w14:paraId="1AA5AC34" w14:textId="77777777" w:rsidR="00F31CD2" w:rsidRPr="00FB03DC" w:rsidRDefault="00A71D56">
      <w:pPr>
        <w:spacing w:line="360" w:lineRule="auto"/>
        <w:ind w:firstLine="480"/>
        <w:rPr>
          <w:rFonts w:ascii="仿宋" w:eastAsia="仿宋" w:hAnsi="仿宋" w:cs="仿宋"/>
          <w:sz w:val="24"/>
          <w:lang w:eastAsia="zh-CN"/>
        </w:rPr>
      </w:pPr>
      <w:r w:rsidRPr="00FB03DC">
        <w:rPr>
          <w:rFonts w:ascii="仿宋" w:eastAsia="仿宋" w:hAnsi="仿宋" w:cs="仿宋" w:hint="eastAsia"/>
          <w:sz w:val="24"/>
          <w:lang w:eastAsia="zh-CN"/>
        </w:rPr>
        <w:t>管理人将根据本计划投资目标，结合法律法规、监管要求及市场变化，对投资管理方法和标准进行调整和优化。</w:t>
      </w:r>
    </w:p>
    <w:p w14:paraId="60CBF785" w14:textId="77777777" w:rsidR="00F31CD2" w:rsidRPr="00FB03DC" w:rsidRDefault="00A71D56">
      <w:pPr>
        <w:spacing w:line="360" w:lineRule="auto"/>
        <w:ind w:firstLine="480"/>
        <w:outlineLvl w:val="1"/>
        <w:rPr>
          <w:rFonts w:ascii="仿宋" w:eastAsia="仿宋" w:hAnsi="仿宋"/>
          <w:sz w:val="24"/>
          <w:lang w:eastAsia="zh-CN"/>
        </w:rPr>
      </w:pPr>
      <w:bookmarkStart w:id="254" w:name="_Toc198731965"/>
      <w:r w:rsidRPr="00FB03DC">
        <w:rPr>
          <w:rFonts w:ascii="仿宋" w:eastAsia="仿宋" w:hAnsi="仿宋"/>
          <w:sz w:val="24"/>
          <w:lang w:eastAsia="zh-CN"/>
        </w:rPr>
        <w:t>（四）集合计划的决策依据</w:t>
      </w:r>
      <w:bookmarkEnd w:id="253"/>
      <w:bookmarkEnd w:id="254"/>
    </w:p>
    <w:p w14:paraId="0BE395B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集合计划以国家有关法律、法规和本合同的有关规定为决策依据，并以维护集合计划投资者利益作为最高准则。具体决策依据包括：</w:t>
      </w:r>
    </w:p>
    <w:p w14:paraId="34F4472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1、《指导意见》、《管理办法》、《运作管理规定》、《集合资产管理合同》、《说明书》等有关法律性文件；</w:t>
      </w:r>
    </w:p>
    <w:p w14:paraId="1A59A42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2、国内外经济形势、利率变化趋势以及行业与上市公司基本面研究；</w:t>
      </w:r>
    </w:p>
    <w:p w14:paraId="7BFBBDA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3、投资对象收益和风险的匹配关系，本计划将在充分权衡投资对象的风险和收益的前提下做出投资决策。   </w:t>
      </w:r>
    </w:p>
    <w:p w14:paraId="03A81DDE" w14:textId="77777777" w:rsidR="00F31CD2" w:rsidRPr="00FB03DC" w:rsidRDefault="00A71D56">
      <w:pPr>
        <w:spacing w:line="360" w:lineRule="auto"/>
        <w:ind w:firstLine="480"/>
        <w:outlineLvl w:val="1"/>
        <w:rPr>
          <w:rFonts w:ascii="仿宋" w:eastAsia="仿宋" w:hAnsi="仿宋"/>
          <w:sz w:val="24"/>
          <w:lang w:eastAsia="zh-CN"/>
        </w:rPr>
      </w:pPr>
      <w:bookmarkStart w:id="255" w:name="_Toc198731966"/>
      <w:bookmarkStart w:id="256" w:name="_Toc1365"/>
      <w:r w:rsidRPr="00FB03DC">
        <w:rPr>
          <w:rFonts w:ascii="仿宋" w:eastAsia="仿宋" w:hAnsi="仿宋"/>
          <w:sz w:val="24"/>
          <w:lang w:eastAsia="zh-CN"/>
        </w:rPr>
        <w:t>（五）集合计划的投资程序</w:t>
      </w:r>
      <w:bookmarkEnd w:id="255"/>
      <w:bookmarkEnd w:id="256"/>
    </w:p>
    <w:p w14:paraId="638E91E8" w14:textId="77777777" w:rsidR="00F31CD2" w:rsidRPr="00FB03DC" w:rsidRDefault="00A71D56">
      <w:pPr>
        <w:spacing w:line="360" w:lineRule="auto"/>
        <w:ind w:firstLine="480"/>
        <w:outlineLvl w:val="2"/>
        <w:rPr>
          <w:rFonts w:ascii="仿宋" w:eastAsia="仿宋" w:hAnsi="仿宋"/>
          <w:iCs/>
          <w:sz w:val="24"/>
          <w:lang w:eastAsia="zh-CN"/>
        </w:rPr>
      </w:pPr>
      <w:r w:rsidRPr="00FB03DC">
        <w:rPr>
          <w:rFonts w:ascii="仿宋" w:eastAsia="仿宋" w:hAnsi="仿宋"/>
          <w:iCs/>
          <w:sz w:val="24"/>
          <w:lang w:eastAsia="zh-CN"/>
        </w:rPr>
        <w:t>1、投资决策程序</w:t>
      </w:r>
    </w:p>
    <w:p w14:paraId="6F805D53"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管理人投资决策委员会为最高投资决策机构，负责对相关品类投资中的重大问题进行决策，并在符合相关法规以及公司制度的要求下对管理人投资部门负责人以及投资经理进行投资授权。</w:t>
      </w:r>
    </w:p>
    <w:p w14:paraId="2A893682"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投资经理根据投资决策委员会授权，在研究支持下，根据市场情况进行投资组合的构建或调整。在组合构建和调整的过程中，投资经理必须严格遵守有关法律法规、本计划的投资范围、投资比例、投资限制及其他要求。</w:t>
      </w:r>
    </w:p>
    <w:p w14:paraId="6CFCEEB8" w14:textId="77777777" w:rsidR="00F31CD2" w:rsidRPr="00FB03DC" w:rsidRDefault="00A71D56">
      <w:pPr>
        <w:spacing w:line="360" w:lineRule="auto"/>
        <w:ind w:firstLine="480"/>
        <w:outlineLvl w:val="2"/>
        <w:rPr>
          <w:rFonts w:ascii="仿宋" w:eastAsia="仿宋" w:hAnsi="仿宋"/>
          <w:iCs/>
          <w:sz w:val="24"/>
          <w:lang w:eastAsia="zh-CN"/>
        </w:rPr>
      </w:pPr>
      <w:r w:rsidRPr="00FB03DC">
        <w:rPr>
          <w:rFonts w:ascii="仿宋" w:eastAsia="仿宋" w:hAnsi="仿宋"/>
          <w:iCs/>
          <w:sz w:val="24"/>
          <w:lang w:eastAsia="zh-CN"/>
        </w:rPr>
        <w:lastRenderedPageBreak/>
        <w:t>2、投资交易程序</w:t>
      </w:r>
    </w:p>
    <w:p w14:paraId="3E5EEC59"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sz w:val="24"/>
          <w:szCs w:val="24"/>
          <w:lang w:eastAsia="zh-CN"/>
        </w:rPr>
        <w:t>投资经理下达投资指令由交易员完成。通过严格的交易制度和独立的交易岗位、风险控制岗位，可实行实时监控，并通过集中清算加强监管，保证投资指令在合法、合规的前提下得到高效地执行。</w:t>
      </w:r>
    </w:p>
    <w:p w14:paraId="5A9DF490" w14:textId="77777777" w:rsidR="00F31CD2" w:rsidRPr="00FB03DC" w:rsidRDefault="00A71D56">
      <w:pPr>
        <w:spacing w:line="360" w:lineRule="auto"/>
        <w:ind w:firstLine="480"/>
        <w:outlineLvl w:val="2"/>
        <w:rPr>
          <w:rFonts w:ascii="仿宋" w:eastAsia="仿宋" w:hAnsi="仿宋"/>
          <w:iCs/>
          <w:sz w:val="24"/>
          <w:lang w:eastAsia="zh-CN"/>
        </w:rPr>
      </w:pPr>
      <w:r w:rsidRPr="00FB03DC">
        <w:rPr>
          <w:rFonts w:ascii="仿宋" w:eastAsia="仿宋" w:hAnsi="仿宋"/>
          <w:iCs/>
          <w:sz w:val="24"/>
          <w:lang w:eastAsia="zh-CN"/>
        </w:rPr>
        <w:t>3、风险管理程序</w:t>
      </w:r>
    </w:p>
    <w:p w14:paraId="78BC172B" w14:textId="77777777" w:rsidR="00F31CD2" w:rsidRPr="00FB03DC" w:rsidRDefault="00A71D56">
      <w:pPr>
        <w:spacing w:line="360" w:lineRule="auto"/>
        <w:ind w:firstLine="480"/>
        <w:rPr>
          <w:rFonts w:ascii="仿宋" w:eastAsia="仿宋" w:hAnsi="仿宋"/>
          <w:i/>
          <w:sz w:val="24"/>
          <w:szCs w:val="20"/>
          <w:lang w:eastAsia="zh-CN"/>
        </w:rPr>
      </w:pPr>
      <w:r w:rsidRPr="00FB03DC">
        <w:rPr>
          <w:rFonts w:ascii="仿宋" w:eastAsia="仿宋" w:hAnsi="仿宋"/>
          <w:iCs/>
          <w:sz w:val="24"/>
          <w:lang w:eastAsia="zh-CN"/>
        </w:rPr>
        <w:t>管理人风险管理部门按照有关法律法规、公司制度和本合同相关要求，对本计划的投资行为和投资组合进行持续监控，并进行风险预警，确保本计划承担的风险在适当范围内。投资经理根据风险管理和业绩分析的情况及相关建议，对投资组合进行调整，以确保遵守各项合规控制和风险管理要求。</w:t>
      </w:r>
    </w:p>
    <w:p w14:paraId="62D1CB2C" w14:textId="77777777" w:rsidR="00F31CD2" w:rsidRPr="00FB03DC" w:rsidRDefault="00A71D56">
      <w:pPr>
        <w:spacing w:line="360" w:lineRule="auto"/>
        <w:ind w:firstLine="480"/>
        <w:outlineLvl w:val="1"/>
        <w:rPr>
          <w:rFonts w:ascii="仿宋" w:eastAsia="仿宋" w:hAnsi="仿宋"/>
          <w:sz w:val="24"/>
          <w:lang w:eastAsia="zh-CN"/>
        </w:rPr>
      </w:pPr>
      <w:bookmarkStart w:id="257" w:name="_Toc12150"/>
      <w:bookmarkStart w:id="258" w:name="_Toc198731967"/>
      <w:r w:rsidRPr="00FB03DC">
        <w:rPr>
          <w:rFonts w:ascii="仿宋" w:eastAsia="仿宋" w:hAnsi="仿宋"/>
          <w:sz w:val="24"/>
          <w:lang w:eastAsia="zh-CN"/>
        </w:rPr>
        <w:t>（六）</w:t>
      </w:r>
      <w:r w:rsidRPr="00FB03DC">
        <w:rPr>
          <w:rFonts w:ascii="仿宋" w:eastAsia="仿宋" w:hAnsi="仿宋"/>
          <w:sz w:val="24"/>
          <w:szCs w:val="20"/>
          <w:lang w:eastAsia="zh-CN"/>
        </w:rPr>
        <w:t>投资比例</w:t>
      </w:r>
      <w:bookmarkEnd w:id="257"/>
      <w:bookmarkEnd w:id="258"/>
    </w:p>
    <w:p w14:paraId="256C4F3F" w14:textId="77777777" w:rsidR="00F31CD2" w:rsidRPr="00FB03DC" w:rsidRDefault="00A71D56">
      <w:pPr>
        <w:pStyle w:val="19"/>
        <w:spacing w:line="360" w:lineRule="auto"/>
        <w:ind w:firstLine="480"/>
        <w:outlineLvl w:val="2"/>
        <w:rPr>
          <w:rFonts w:ascii="仿宋" w:eastAsia="仿宋" w:hAnsi="仿宋"/>
          <w:sz w:val="24"/>
          <w:szCs w:val="20"/>
          <w:lang w:eastAsia="zh-CN"/>
        </w:rPr>
      </w:pPr>
      <w:r w:rsidRPr="00FB03DC">
        <w:rPr>
          <w:rFonts w:ascii="仿宋" w:eastAsia="仿宋" w:hAnsi="仿宋"/>
          <w:sz w:val="24"/>
          <w:szCs w:val="20"/>
          <w:lang w:eastAsia="zh-CN"/>
        </w:rPr>
        <w:t>1、本计划投资比例如下：</w:t>
      </w:r>
    </w:p>
    <w:p w14:paraId="4728EBD1" w14:textId="77777777" w:rsidR="00F31CD2" w:rsidRPr="00FB03DC" w:rsidRDefault="00A71D56">
      <w:pPr>
        <w:spacing w:line="360" w:lineRule="auto"/>
        <w:ind w:firstLine="480"/>
        <w:rPr>
          <w:rFonts w:ascii="仿宋" w:eastAsia="仿宋" w:hAnsi="仿宋"/>
          <w:sz w:val="24"/>
          <w:lang w:eastAsia="zh-CN"/>
        </w:rPr>
      </w:pPr>
      <w:bookmarkStart w:id="259" w:name="_Toc23532"/>
      <w:r w:rsidRPr="00FB03DC">
        <w:rPr>
          <w:rFonts w:ascii="仿宋" w:eastAsia="仿宋" w:hAnsi="仿宋"/>
          <w:sz w:val="24"/>
          <w:lang w:eastAsia="zh-CN"/>
        </w:rPr>
        <w:t>固定收益类资产占总资产比例为80-100%；</w:t>
      </w:r>
    </w:p>
    <w:p w14:paraId="07EB992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期货和衍生品类资产占总资产比例为0-20%。</w:t>
      </w:r>
    </w:p>
    <w:p w14:paraId="745F3A0B" w14:textId="77777777" w:rsidR="00F31CD2" w:rsidRPr="00FB03DC" w:rsidRDefault="00A71D56">
      <w:pPr>
        <w:pStyle w:val="19"/>
        <w:spacing w:line="360" w:lineRule="auto"/>
        <w:ind w:firstLine="480"/>
        <w:rPr>
          <w:rFonts w:ascii="仿宋" w:eastAsia="仿宋" w:hAnsi="仿宋"/>
          <w:iCs/>
          <w:sz w:val="24"/>
          <w:lang w:eastAsia="zh-CN"/>
        </w:rPr>
      </w:pPr>
      <w:r w:rsidRPr="00FB03DC">
        <w:rPr>
          <w:rFonts w:ascii="仿宋" w:eastAsia="仿宋" w:hAnsi="仿宋"/>
          <w:iCs/>
          <w:sz w:val="24"/>
          <w:lang w:eastAsia="zh-CN"/>
        </w:rPr>
        <w:t>资产管理计划投资于其他资产管理产品的，大类资产配置比例、总资产占净资产比例应当按照穿透原则合并计算。</w:t>
      </w:r>
    </w:p>
    <w:p w14:paraId="04429FC7" w14:textId="77777777" w:rsidR="00F31CD2" w:rsidRPr="00FB03DC" w:rsidRDefault="00A71D56">
      <w:pPr>
        <w:pStyle w:val="19"/>
        <w:spacing w:line="360" w:lineRule="auto"/>
        <w:ind w:firstLine="480"/>
        <w:rPr>
          <w:rFonts w:ascii="仿宋" w:eastAsia="仿宋" w:hAnsi="仿宋"/>
          <w:iCs/>
          <w:sz w:val="24"/>
          <w:lang w:eastAsia="zh-CN"/>
        </w:rPr>
      </w:pPr>
      <w:r w:rsidRPr="00FB03DC">
        <w:rPr>
          <w:rFonts w:ascii="仿宋" w:eastAsia="仿宋" w:hAnsi="仿宋"/>
          <w:sz w:val="24"/>
          <w:szCs w:val="20"/>
          <w:lang w:eastAsia="zh-CN"/>
        </w:rPr>
        <w:t>在实际操作过程中，管理人可能受限于知识、技术、经验等因素而影响其对市场走势的判断，管理人不保证上述关于市场走势的判断一定准确，不对本计划的收益状况或本金不受损失做出任何承诺。</w:t>
      </w:r>
    </w:p>
    <w:p w14:paraId="0AF83870" w14:textId="77777777" w:rsidR="00F31CD2" w:rsidRPr="00FB03DC" w:rsidRDefault="00A71D56">
      <w:pPr>
        <w:pStyle w:val="19"/>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2、投资比例超限的处理方式及流程</w:t>
      </w:r>
      <w:bookmarkEnd w:id="259"/>
    </w:p>
    <w:p w14:paraId="6F99DB6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因证券期货市场波动、证券发行人合并、资产管理计划规模变动等管理人之外的因素导致资产管理计划投资不符合法律、行政法规和中国证监会规定的投资比例或者合同约定的投资比例的，管理人应当在流动性受限资产可出售、可转让或者恢复交易的二十个交易日内调整至符合相关要求。</w:t>
      </w:r>
    </w:p>
    <w:p w14:paraId="7C83F462" w14:textId="77777777" w:rsidR="00F31CD2" w:rsidRPr="00FB03DC" w:rsidRDefault="00A71D56">
      <w:pPr>
        <w:spacing w:line="360" w:lineRule="auto"/>
        <w:ind w:firstLine="480"/>
        <w:outlineLvl w:val="1"/>
        <w:rPr>
          <w:rFonts w:ascii="仿宋" w:eastAsia="仿宋" w:hAnsi="仿宋"/>
          <w:iCs/>
          <w:sz w:val="24"/>
          <w:lang w:eastAsia="zh-CN"/>
        </w:rPr>
      </w:pPr>
      <w:bookmarkStart w:id="260" w:name="_Toc198731968"/>
      <w:bookmarkStart w:id="261" w:name="_Toc15409"/>
      <w:r w:rsidRPr="00FB03DC">
        <w:rPr>
          <w:rFonts w:ascii="仿宋" w:eastAsia="仿宋" w:hAnsi="仿宋"/>
          <w:iCs/>
          <w:sz w:val="24"/>
          <w:lang w:eastAsia="zh-CN"/>
        </w:rPr>
        <w:t>（七）投资限制</w:t>
      </w:r>
      <w:bookmarkEnd w:id="260"/>
      <w:bookmarkEnd w:id="261"/>
    </w:p>
    <w:p w14:paraId="6D434351"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本集合计划的投资限制包括：</w:t>
      </w:r>
    </w:p>
    <w:p w14:paraId="487A7409" w14:textId="77777777" w:rsidR="00F31CD2" w:rsidRPr="00FB03DC" w:rsidRDefault="00A71D56">
      <w:pPr>
        <w:pStyle w:val="19"/>
        <w:spacing w:line="360" w:lineRule="auto"/>
        <w:ind w:firstLine="480"/>
        <w:jc w:val="left"/>
        <w:rPr>
          <w:rFonts w:ascii="仿宋" w:eastAsia="仿宋" w:hAnsi="仿宋"/>
          <w:iCs/>
          <w:sz w:val="24"/>
          <w:lang w:eastAsia="zh-CN"/>
        </w:rPr>
      </w:pPr>
      <w:r w:rsidRPr="00FB03DC">
        <w:rPr>
          <w:rFonts w:ascii="仿宋" w:eastAsia="仿宋" w:hAnsi="仿宋"/>
          <w:iCs/>
          <w:sz w:val="24"/>
          <w:lang w:eastAsia="zh-CN"/>
        </w:rPr>
        <w:t>（1）投资于同一资产的资金不得超过本计划资产净值的25%；除以收购公司为目的设立的资产管理计划、专门投资于未上市企业股权的资产管理计划外，管理人管理的全部集合资产管理计划投资于同一资产的资金，不得超过该资产的25%；本计划投资于其他资产管理产品的，投资单只资产管理产品的比</w:t>
      </w:r>
      <w:r w:rsidRPr="00FB03DC">
        <w:rPr>
          <w:rFonts w:ascii="仿宋" w:eastAsia="仿宋" w:hAnsi="仿宋"/>
          <w:iCs/>
          <w:sz w:val="24"/>
          <w:lang w:eastAsia="zh-CN"/>
        </w:rPr>
        <w:lastRenderedPageBreak/>
        <w:t>例，以及按照穿透原则合并计算的投资同一资产的比例，均应符合前述要求；法律法规另有规定的，从其规定；</w:t>
      </w:r>
    </w:p>
    <w:p w14:paraId="1CC24F9E" w14:textId="77777777" w:rsidR="00F31CD2" w:rsidRPr="00FB03DC" w:rsidRDefault="00A71D56">
      <w:pPr>
        <w:pStyle w:val="19"/>
        <w:spacing w:line="360" w:lineRule="auto"/>
        <w:ind w:firstLine="480"/>
        <w:jc w:val="left"/>
        <w:rPr>
          <w:rFonts w:ascii="仿宋" w:eastAsia="仿宋" w:hAnsi="仿宋"/>
          <w:iCs/>
          <w:sz w:val="24"/>
          <w:lang w:eastAsia="zh-CN"/>
        </w:rPr>
      </w:pPr>
      <w:r w:rsidRPr="00FB03DC">
        <w:rPr>
          <w:rFonts w:ascii="仿宋" w:eastAsia="仿宋" w:hAnsi="仿宋"/>
          <w:iCs/>
          <w:sz w:val="24"/>
          <w:lang w:eastAsia="zh-CN"/>
        </w:rPr>
        <w:t xml:space="preserve">（2）总资产占净资产比例：不超过200% </w:t>
      </w:r>
    </w:p>
    <w:p w14:paraId="65752BC6" w14:textId="77777777" w:rsidR="00F31CD2" w:rsidRPr="00FB03DC" w:rsidRDefault="00A71D56">
      <w:pPr>
        <w:pStyle w:val="19"/>
        <w:spacing w:line="360" w:lineRule="auto"/>
        <w:ind w:firstLine="480"/>
        <w:jc w:val="left"/>
        <w:rPr>
          <w:rFonts w:ascii="仿宋" w:eastAsia="仿宋" w:hAnsi="仿宋"/>
          <w:iCs/>
          <w:sz w:val="24"/>
          <w:lang w:eastAsia="zh-CN"/>
        </w:rPr>
      </w:pPr>
      <w:r w:rsidRPr="00FB03DC">
        <w:rPr>
          <w:rFonts w:ascii="仿宋" w:eastAsia="仿宋" w:hAnsi="仿宋"/>
          <w:sz w:val="24"/>
          <w:szCs w:val="20"/>
          <w:lang w:eastAsia="zh-CN"/>
        </w:rPr>
        <w:t>（</w:t>
      </w:r>
      <w:r w:rsidRPr="00FB03DC">
        <w:rPr>
          <w:rFonts w:ascii="仿宋" w:eastAsia="仿宋" w:hAnsi="仿宋"/>
          <w:iCs/>
          <w:sz w:val="24"/>
          <w:lang w:eastAsia="zh-CN"/>
        </w:rPr>
        <w:t>3）法律法规规定的和本合同约定的其他投资限制。如法律法规对上述比例限制另有规定的，从其规定。</w:t>
      </w:r>
    </w:p>
    <w:p w14:paraId="5B1D40CA"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本集合计划的禁止行为包括： </w:t>
      </w:r>
    </w:p>
    <w:p w14:paraId="0C4B7AE0"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1、违规将集合计划资产用于资金拆借、贷款、抵押融资或者对外担保等用途；</w:t>
      </w:r>
    </w:p>
    <w:p w14:paraId="46B58FA8"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2、将集合计划资产用于可能承担无限责任的投资；</w:t>
      </w:r>
    </w:p>
    <w:p w14:paraId="3E550748"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3、向客户做出保证其资产本金不受损失或者保证其取得最低收益的承诺； </w:t>
      </w:r>
    </w:p>
    <w:p w14:paraId="5F053A88"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4、挪用集合计划资产； </w:t>
      </w:r>
    </w:p>
    <w:p w14:paraId="66A36A64"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5、募集资金不入账或者其他任何形式的账外经营； </w:t>
      </w:r>
    </w:p>
    <w:p w14:paraId="26356941"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6、募集资金超过计划说明书约定的规模； </w:t>
      </w:r>
    </w:p>
    <w:p w14:paraId="6A139DCE"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7、接受单一客户参与资金低于中国证监会规定的最低限额； </w:t>
      </w:r>
    </w:p>
    <w:p w14:paraId="0D99D4B6"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8、使用集合计划资产进行不必要的交易； </w:t>
      </w:r>
    </w:p>
    <w:p w14:paraId="6181FAAB"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9、内幕交易、利益输送、操纵证券价格、不正当关联交易及其他违反公平交易规定的行为； </w:t>
      </w:r>
    </w:p>
    <w:p w14:paraId="527A66EF"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10、利用资产管理计划，通过直接投资、投资其他资产管理产品或者与他人进行交叉融资安排等方式，违规为本机构及其控股股东、实际控制人或者其他关联方提供融资；</w:t>
      </w:r>
    </w:p>
    <w:p w14:paraId="3CCBBF7B"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11、为本机构或他人违规持有金融机构股权提供便利；</w:t>
      </w:r>
    </w:p>
    <w:p w14:paraId="6F7DB7A9"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iCs/>
          <w:sz w:val="24"/>
          <w:lang w:eastAsia="zh-CN"/>
        </w:rPr>
        <w:t>12、法律、行政法规和中国证监会禁止的其他行为。</w:t>
      </w:r>
    </w:p>
    <w:p w14:paraId="44FBB067" w14:textId="77777777" w:rsidR="00F31CD2" w:rsidRPr="00FB03DC" w:rsidRDefault="00A71D56">
      <w:pPr>
        <w:spacing w:line="360" w:lineRule="auto"/>
        <w:ind w:firstLine="480"/>
        <w:outlineLvl w:val="1"/>
        <w:rPr>
          <w:rFonts w:ascii="仿宋" w:eastAsia="仿宋" w:hAnsi="仿宋"/>
          <w:iCs/>
          <w:sz w:val="24"/>
          <w:lang w:eastAsia="zh-CN"/>
        </w:rPr>
      </w:pPr>
      <w:bookmarkStart w:id="262" w:name="_Toc21959"/>
      <w:bookmarkStart w:id="263" w:name="_Toc198731969"/>
      <w:bookmarkStart w:id="264" w:name="_Toc30488"/>
      <w:r w:rsidRPr="00FB03DC">
        <w:rPr>
          <w:rFonts w:ascii="仿宋" w:eastAsia="仿宋" w:hAnsi="仿宋"/>
          <w:iCs/>
          <w:sz w:val="24"/>
          <w:lang w:eastAsia="zh-CN"/>
        </w:rPr>
        <w:t>（八）业绩比较基准（如有）及确定依据</w:t>
      </w:r>
      <w:bookmarkEnd w:id="262"/>
      <w:bookmarkEnd w:id="263"/>
      <w:bookmarkEnd w:id="264"/>
    </w:p>
    <w:p w14:paraId="06AB2960"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本集合计划不设业绩比较基准。</w:t>
      </w:r>
    </w:p>
    <w:p w14:paraId="6F5F0610" w14:textId="77777777" w:rsidR="00F31CD2" w:rsidRPr="00FB03DC" w:rsidRDefault="00A71D56">
      <w:pPr>
        <w:spacing w:line="360" w:lineRule="auto"/>
        <w:ind w:firstLine="480"/>
        <w:outlineLvl w:val="1"/>
        <w:rPr>
          <w:rFonts w:ascii="仿宋" w:eastAsia="仿宋" w:hAnsi="仿宋"/>
          <w:iCs/>
          <w:sz w:val="24"/>
          <w:lang w:eastAsia="zh-CN"/>
        </w:rPr>
      </w:pPr>
      <w:bookmarkStart w:id="265" w:name="_Toc23505"/>
      <w:bookmarkStart w:id="266" w:name="_Toc198731970"/>
      <w:r w:rsidRPr="00FB03DC">
        <w:rPr>
          <w:rFonts w:ascii="仿宋" w:eastAsia="仿宋" w:hAnsi="仿宋"/>
          <w:iCs/>
          <w:sz w:val="24"/>
          <w:lang w:eastAsia="zh-CN"/>
        </w:rPr>
        <w:t>（九）风险收益特征</w:t>
      </w:r>
      <w:bookmarkEnd w:id="265"/>
      <w:bookmarkEnd w:id="266"/>
    </w:p>
    <w:p w14:paraId="2B788AE0" w14:textId="77777777" w:rsidR="00F31CD2" w:rsidRPr="00FB03DC" w:rsidRDefault="00A71D56">
      <w:pPr>
        <w:spacing w:line="360" w:lineRule="auto"/>
        <w:ind w:firstLine="480"/>
        <w:rPr>
          <w:rFonts w:ascii="仿宋" w:eastAsia="仿宋" w:hAnsi="仿宋"/>
          <w:lang w:eastAsia="zh-CN"/>
        </w:rPr>
      </w:pPr>
      <w:r w:rsidRPr="00FB03DC">
        <w:rPr>
          <w:rFonts w:ascii="仿宋" w:eastAsia="仿宋" w:hAnsi="仿宋"/>
          <w:iCs/>
          <w:sz w:val="24"/>
          <w:lang w:eastAsia="zh-CN"/>
        </w:rPr>
        <w:t>本集合计划属中低风险产品，适合合格投资者中的专业投资者和风险承受能力匹配的谨慎型及以上的普通投资者。</w:t>
      </w:r>
    </w:p>
    <w:p w14:paraId="4A747EFA" w14:textId="77777777" w:rsidR="00F31CD2" w:rsidRPr="00FB03DC" w:rsidRDefault="00A71D56">
      <w:pPr>
        <w:spacing w:line="360" w:lineRule="auto"/>
        <w:ind w:firstLine="480"/>
        <w:outlineLvl w:val="1"/>
        <w:rPr>
          <w:rFonts w:ascii="仿宋" w:eastAsia="仿宋" w:hAnsi="仿宋"/>
          <w:iCs/>
          <w:sz w:val="24"/>
          <w:lang w:eastAsia="zh-CN"/>
        </w:rPr>
      </w:pPr>
      <w:bookmarkStart w:id="267" w:name="_Toc198731971"/>
      <w:bookmarkStart w:id="268" w:name="_Toc10156"/>
      <w:bookmarkStart w:id="269" w:name="_Toc848"/>
      <w:r w:rsidRPr="00FB03DC">
        <w:rPr>
          <w:rFonts w:ascii="仿宋" w:eastAsia="仿宋" w:hAnsi="仿宋"/>
          <w:iCs/>
          <w:sz w:val="24"/>
          <w:lang w:eastAsia="zh-CN"/>
        </w:rPr>
        <w:t>（十）建仓期</w:t>
      </w:r>
      <w:bookmarkEnd w:id="267"/>
      <w:bookmarkEnd w:id="268"/>
      <w:bookmarkEnd w:id="269"/>
    </w:p>
    <w:p w14:paraId="7238213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本集合计划的建仓期为6个月，本集合计划管理人应当在产品成立之日起6个月内，使得本产品投资组合比例符合投资比例的要求。</w:t>
      </w:r>
    </w:p>
    <w:p w14:paraId="6E5F70D4" w14:textId="77777777" w:rsidR="00F31CD2" w:rsidRPr="00FB03DC" w:rsidRDefault="00A71D56">
      <w:pPr>
        <w:spacing w:line="360" w:lineRule="auto"/>
        <w:ind w:firstLine="480"/>
        <w:outlineLvl w:val="1"/>
        <w:rPr>
          <w:rFonts w:ascii="仿宋" w:eastAsia="仿宋" w:hAnsi="仿宋"/>
          <w:iCs/>
          <w:sz w:val="24"/>
          <w:lang w:eastAsia="zh-CN"/>
        </w:rPr>
      </w:pPr>
      <w:bookmarkStart w:id="270" w:name="_Toc3869"/>
      <w:bookmarkStart w:id="271" w:name="_Toc2565"/>
      <w:bookmarkStart w:id="272" w:name="_Toc198731972"/>
      <w:r w:rsidRPr="00FB03DC">
        <w:rPr>
          <w:rFonts w:ascii="仿宋" w:eastAsia="仿宋" w:hAnsi="仿宋"/>
          <w:iCs/>
          <w:sz w:val="24"/>
          <w:lang w:eastAsia="zh-CN"/>
        </w:rPr>
        <w:t>（十一）流动性安排</w:t>
      </w:r>
      <w:bookmarkEnd w:id="270"/>
      <w:bookmarkEnd w:id="271"/>
      <w:bookmarkEnd w:id="272"/>
    </w:p>
    <w:p w14:paraId="5E786F39"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在开放退出期内，本集合计划资产组合中七个工作日可变现资产的价值不低于该计划资产净值的10%，主动投资于流动性受限资产的市值在开放退出期内合计不得超过该计划资产净值的20%。</w:t>
      </w:r>
    </w:p>
    <w:p w14:paraId="4D4FC170" w14:textId="77777777" w:rsidR="00F31CD2" w:rsidRPr="00FB03DC" w:rsidRDefault="00F31CD2">
      <w:pPr>
        <w:spacing w:line="360" w:lineRule="auto"/>
        <w:ind w:firstLine="480"/>
        <w:rPr>
          <w:rFonts w:ascii="仿宋" w:eastAsia="仿宋" w:hAnsi="仿宋"/>
          <w:iCs/>
          <w:sz w:val="24"/>
          <w:lang w:eastAsia="zh-CN"/>
        </w:rPr>
      </w:pPr>
    </w:p>
    <w:p w14:paraId="07BCB677" w14:textId="77777777" w:rsidR="00F31CD2" w:rsidRPr="00FB03DC" w:rsidRDefault="00F31CD2">
      <w:pPr>
        <w:spacing w:line="360" w:lineRule="auto"/>
        <w:rPr>
          <w:rFonts w:ascii="仿宋" w:eastAsia="仿宋" w:hAnsi="仿宋"/>
          <w:iCs/>
          <w:sz w:val="24"/>
          <w:lang w:eastAsia="zh-CN"/>
        </w:rPr>
      </w:pPr>
    </w:p>
    <w:p w14:paraId="6DB09F5C" w14:textId="77777777" w:rsidR="00F31CD2" w:rsidRPr="00FB03DC" w:rsidRDefault="00A71D56">
      <w:pPr>
        <w:pStyle w:val="2"/>
        <w:spacing w:before="0" w:after="0" w:line="360" w:lineRule="auto"/>
        <w:ind w:firstLine="643"/>
        <w:rPr>
          <w:rFonts w:ascii="仿宋" w:eastAsia="仿宋" w:hAnsi="仿宋"/>
          <w:b/>
          <w:bCs/>
          <w:lang w:eastAsia="zh-CN"/>
        </w:rPr>
      </w:pPr>
      <w:bookmarkStart w:id="273" w:name="_Toc51775868"/>
      <w:bookmarkStart w:id="274" w:name="_Toc17341"/>
      <w:bookmarkStart w:id="275" w:name="_Toc159589298"/>
      <w:bookmarkStart w:id="276" w:name="_Toc32075"/>
      <w:bookmarkStart w:id="277" w:name="_Toc7464"/>
      <w:bookmarkStart w:id="278" w:name="_Toc8418"/>
      <w:bookmarkStart w:id="279" w:name="_Toc6313417"/>
      <w:bookmarkStart w:id="280" w:name="_Toc14973"/>
      <w:bookmarkStart w:id="281" w:name="_Toc21037"/>
      <w:r w:rsidRPr="00FB03DC">
        <w:rPr>
          <w:rFonts w:ascii="仿宋" w:eastAsia="仿宋" w:hAnsi="仿宋"/>
          <w:b/>
          <w:bCs/>
          <w:lang w:eastAsia="zh-CN"/>
        </w:rPr>
        <w:br w:type="page"/>
      </w:r>
      <w:bookmarkStart w:id="282" w:name="_Toc198731973"/>
      <w:r w:rsidRPr="00FB03DC">
        <w:rPr>
          <w:rFonts w:ascii="仿宋" w:eastAsia="仿宋" w:hAnsi="仿宋"/>
          <w:b/>
          <w:bCs/>
          <w:lang w:eastAsia="zh-CN"/>
        </w:rPr>
        <w:lastRenderedPageBreak/>
        <w:t>十二、服务机构及投资顾问</w:t>
      </w:r>
      <w:bookmarkEnd w:id="273"/>
      <w:bookmarkEnd w:id="274"/>
      <w:bookmarkEnd w:id="275"/>
      <w:bookmarkEnd w:id="276"/>
      <w:bookmarkEnd w:id="277"/>
      <w:bookmarkEnd w:id="278"/>
      <w:bookmarkEnd w:id="279"/>
      <w:bookmarkEnd w:id="280"/>
      <w:bookmarkEnd w:id="281"/>
      <w:bookmarkEnd w:id="282"/>
    </w:p>
    <w:p w14:paraId="2BDE8C1A" w14:textId="77777777" w:rsidR="00F31CD2" w:rsidRPr="00FB03DC" w:rsidRDefault="00A71D56">
      <w:pPr>
        <w:pStyle w:val="19"/>
        <w:spacing w:line="360" w:lineRule="auto"/>
        <w:ind w:firstLine="480"/>
        <w:rPr>
          <w:rFonts w:ascii="仿宋" w:eastAsia="仿宋" w:hAnsi="仿宋"/>
          <w:sz w:val="24"/>
          <w:szCs w:val="20"/>
          <w:lang w:eastAsia="zh-CN"/>
        </w:rPr>
      </w:pPr>
      <w:r w:rsidRPr="00FB03DC">
        <w:rPr>
          <w:rFonts w:ascii="仿宋" w:eastAsia="仿宋" w:hAnsi="仿宋"/>
          <w:sz w:val="24"/>
          <w:szCs w:val="20"/>
          <w:lang w:eastAsia="zh-CN"/>
        </w:rPr>
        <w:t>本集合计划的估值与核算服务机构为华泰证券股份有限公司，其在证券投资基金业协会登记的业务登记编码为：A00004。华泰证券股份有限公司是管理人的关联方。管理人与上述服务机构签署了外包服务协议，明确约定了外包服务内容、双方的权利义务以及纠纷处理方式等。管理人聘请服务机构不影响本合同各方的权利义务，亦不免除管理人的相应责任，如因服务机构原因导致计划财产损失的，由管理人负责向服务机构追偿。</w:t>
      </w:r>
    </w:p>
    <w:p w14:paraId="13B188B5"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本集合计划是否聘请投资顾问：否</w:t>
      </w:r>
    </w:p>
    <w:p w14:paraId="1CD63144" w14:textId="77777777" w:rsidR="00F31CD2" w:rsidRPr="00FB03DC" w:rsidRDefault="00A71D56">
      <w:pPr>
        <w:pStyle w:val="2"/>
        <w:spacing w:before="0" w:after="0" w:line="360" w:lineRule="auto"/>
        <w:ind w:firstLine="643"/>
        <w:rPr>
          <w:rFonts w:ascii="仿宋" w:eastAsia="仿宋" w:hAnsi="仿宋"/>
          <w:b/>
          <w:bCs/>
          <w:lang w:eastAsia="zh-CN"/>
        </w:rPr>
      </w:pPr>
      <w:bookmarkStart w:id="283" w:name="_Toc6313418"/>
      <w:bookmarkStart w:id="284" w:name="_Toc6363"/>
      <w:bookmarkStart w:id="285" w:name="_Toc18265"/>
      <w:bookmarkStart w:id="286" w:name="_Toc159589299"/>
      <w:bookmarkStart w:id="287" w:name="_Toc25847"/>
      <w:bookmarkStart w:id="288" w:name="_Toc10936"/>
      <w:bookmarkStart w:id="289" w:name="_Toc7356"/>
      <w:bookmarkStart w:id="290" w:name="_Toc11542"/>
      <w:bookmarkStart w:id="291" w:name="_Toc51775869"/>
      <w:r w:rsidRPr="00FB03DC">
        <w:rPr>
          <w:rFonts w:ascii="仿宋" w:eastAsia="仿宋" w:hAnsi="仿宋"/>
          <w:b/>
          <w:bCs/>
          <w:lang w:eastAsia="zh-CN"/>
        </w:rPr>
        <w:br w:type="page"/>
      </w:r>
      <w:bookmarkStart w:id="292" w:name="_Toc198731974"/>
      <w:r w:rsidRPr="00FB03DC">
        <w:rPr>
          <w:rFonts w:ascii="仿宋" w:eastAsia="仿宋" w:hAnsi="仿宋"/>
          <w:b/>
          <w:bCs/>
          <w:lang w:eastAsia="zh-CN"/>
        </w:rPr>
        <w:lastRenderedPageBreak/>
        <w:t>十三、分级安排</w:t>
      </w:r>
      <w:bookmarkEnd w:id="283"/>
      <w:bookmarkEnd w:id="284"/>
      <w:bookmarkEnd w:id="285"/>
      <w:bookmarkEnd w:id="286"/>
      <w:bookmarkEnd w:id="287"/>
      <w:bookmarkEnd w:id="288"/>
      <w:bookmarkEnd w:id="289"/>
      <w:bookmarkEnd w:id="290"/>
      <w:bookmarkEnd w:id="291"/>
      <w:bookmarkEnd w:id="292"/>
    </w:p>
    <w:p w14:paraId="602CC94E"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sz w:val="24"/>
          <w:lang w:eastAsia="zh-CN"/>
        </w:rPr>
        <w:t>本集合计划是否根据风险收益特征进行分级</w:t>
      </w:r>
      <w:r w:rsidRPr="00FB03DC">
        <w:rPr>
          <w:rFonts w:ascii="仿宋" w:eastAsia="仿宋" w:hAnsi="仿宋"/>
          <w:iCs/>
          <w:sz w:val="24"/>
          <w:lang w:eastAsia="zh-CN"/>
        </w:rPr>
        <w:t>：否</w:t>
      </w:r>
    </w:p>
    <w:p w14:paraId="313399BE" w14:textId="77777777" w:rsidR="00F31CD2" w:rsidRPr="00FB03DC" w:rsidRDefault="00F31CD2">
      <w:pPr>
        <w:rPr>
          <w:rFonts w:ascii="仿宋" w:eastAsia="仿宋" w:hAnsi="仿宋"/>
          <w:b/>
          <w:bCs/>
          <w:sz w:val="32"/>
          <w:szCs w:val="32"/>
          <w:lang w:eastAsia="zh-CN"/>
        </w:rPr>
      </w:pPr>
    </w:p>
    <w:p w14:paraId="239DD0C9" w14:textId="77777777" w:rsidR="00F31CD2" w:rsidRPr="00FB03DC" w:rsidRDefault="00A71D56">
      <w:pPr>
        <w:pStyle w:val="2"/>
        <w:spacing w:before="0" w:after="0" w:line="360" w:lineRule="auto"/>
        <w:ind w:firstLine="643"/>
        <w:rPr>
          <w:rFonts w:ascii="仿宋" w:eastAsia="仿宋" w:hAnsi="仿宋"/>
          <w:b/>
          <w:bCs/>
          <w:lang w:eastAsia="zh-CN"/>
        </w:rPr>
      </w:pPr>
      <w:bookmarkStart w:id="293" w:name="_Toc12447"/>
      <w:bookmarkStart w:id="294" w:name="_Toc29224"/>
      <w:bookmarkStart w:id="295" w:name="_Toc17498"/>
      <w:bookmarkStart w:id="296" w:name="_Toc517"/>
      <w:bookmarkStart w:id="297" w:name="_Toc6313419"/>
      <w:bookmarkStart w:id="298" w:name="_Toc51775870"/>
      <w:bookmarkStart w:id="299" w:name="_Toc159589300"/>
      <w:bookmarkStart w:id="300" w:name="_Toc17151"/>
      <w:bookmarkStart w:id="301" w:name="_Toc28728"/>
      <w:r w:rsidRPr="00FB03DC">
        <w:rPr>
          <w:rFonts w:ascii="仿宋" w:eastAsia="仿宋" w:hAnsi="仿宋"/>
          <w:b/>
          <w:bCs/>
          <w:lang w:eastAsia="zh-CN"/>
        </w:rPr>
        <w:br w:type="page"/>
      </w:r>
      <w:bookmarkStart w:id="302" w:name="_Toc198731975"/>
      <w:r w:rsidRPr="00FB03DC">
        <w:rPr>
          <w:rFonts w:ascii="仿宋" w:eastAsia="仿宋" w:hAnsi="仿宋"/>
          <w:b/>
          <w:bCs/>
          <w:lang w:eastAsia="zh-CN"/>
        </w:rPr>
        <w:lastRenderedPageBreak/>
        <w:t>十四、利益冲突及关联交易</w:t>
      </w:r>
      <w:bookmarkEnd w:id="293"/>
      <w:bookmarkEnd w:id="294"/>
      <w:bookmarkEnd w:id="295"/>
      <w:bookmarkEnd w:id="296"/>
      <w:bookmarkEnd w:id="297"/>
      <w:bookmarkEnd w:id="298"/>
      <w:bookmarkEnd w:id="299"/>
      <w:bookmarkEnd w:id="300"/>
      <w:bookmarkEnd w:id="301"/>
      <w:bookmarkEnd w:id="302"/>
    </w:p>
    <w:p w14:paraId="785F82C9" w14:textId="77777777" w:rsidR="00F31CD2" w:rsidRPr="00FB03DC" w:rsidRDefault="00A71D56">
      <w:pPr>
        <w:spacing w:line="360" w:lineRule="auto"/>
        <w:ind w:firstLine="480"/>
        <w:outlineLvl w:val="1"/>
        <w:rPr>
          <w:rFonts w:ascii="仿宋" w:eastAsia="仿宋" w:hAnsi="仿宋"/>
          <w:sz w:val="24"/>
          <w:lang w:eastAsia="zh-CN"/>
        </w:rPr>
      </w:pPr>
      <w:bookmarkStart w:id="303" w:name="_Toc198731976"/>
      <w:bookmarkStart w:id="304" w:name="_Toc18313"/>
      <w:bookmarkStart w:id="305" w:name="_Toc1591"/>
      <w:r w:rsidRPr="00FB03DC">
        <w:rPr>
          <w:rFonts w:ascii="仿宋" w:eastAsia="仿宋" w:hAnsi="仿宋"/>
          <w:sz w:val="24"/>
          <w:lang w:eastAsia="zh-CN"/>
        </w:rPr>
        <w:t>（一）本集合计划可能存在以下利益冲突情形：</w:t>
      </w:r>
      <w:bookmarkEnd w:id="303"/>
      <w:bookmarkEnd w:id="304"/>
      <w:bookmarkEnd w:id="305"/>
    </w:p>
    <w:p w14:paraId="03295C1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1、管理人及其附属机构以自有资金参与本集合计划；</w:t>
      </w:r>
    </w:p>
    <w:p w14:paraId="64BDEC8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2、管理人的董事、监事、高级管理人员、从业人员及其配偶、控股股东、实际控制人或者其他关联方参与本集合计划；</w:t>
      </w:r>
    </w:p>
    <w:p w14:paraId="6528475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3、管理人管理的其他资管产品（包括本计划投资经理管理的其他资管产品）基于各自投资策略需要可能与本计划存在相同、相似或相反的投资交易行为，或者在买卖同一只证券的时间上存在先后；</w:t>
      </w:r>
    </w:p>
    <w:p w14:paraId="5545EA5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4、其他可能产生利益冲突的情形。</w:t>
      </w:r>
    </w:p>
    <w:p w14:paraId="763AD5C0" w14:textId="77777777" w:rsidR="00F31CD2" w:rsidRPr="00FB03DC" w:rsidRDefault="00A71D56">
      <w:pPr>
        <w:spacing w:line="360" w:lineRule="auto"/>
        <w:ind w:firstLine="480"/>
        <w:outlineLvl w:val="1"/>
        <w:rPr>
          <w:rFonts w:ascii="仿宋" w:eastAsia="仿宋" w:hAnsi="仿宋"/>
          <w:sz w:val="24"/>
          <w:lang w:eastAsia="zh-CN"/>
        </w:rPr>
      </w:pPr>
      <w:bookmarkStart w:id="306" w:name="_Toc22272"/>
      <w:bookmarkStart w:id="307" w:name="_Toc17596"/>
      <w:bookmarkStart w:id="308" w:name="_Toc198731977"/>
      <w:r w:rsidRPr="00FB03DC">
        <w:rPr>
          <w:rFonts w:ascii="仿宋" w:eastAsia="仿宋" w:hAnsi="仿宋"/>
          <w:sz w:val="24"/>
          <w:lang w:eastAsia="zh-CN"/>
        </w:rPr>
        <w:t>（二）利益冲突的处理方式、披露方式、披露内容以及披露频率</w:t>
      </w:r>
      <w:bookmarkEnd w:id="306"/>
      <w:bookmarkEnd w:id="307"/>
      <w:bookmarkEnd w:id="308"/>
    </w:p>
    <w:p w14:paraId="4A272D05" w14:textId="77777777" w:rsidR="00F31CD2" w:rsidRPr="00FB03DC" w:rsidRDefault="00A71D56">
      <w:pPr>
        <w:spacing w:line="360" w:lineRule="auto"/>
        <w:ind w:firstLine="480"/>
        <w:outlineLvl w:val="2"/>
        <w:rPr>
          <w:rFonts w:ascii="仿宋" w:eastAsia="仿宋" w:hAnsi="仿宋"/>
          <w:sz w:val="24"/>
          <w:lang w:eastAsia="zh-CN"/>
        </w:rPr>
      </w:pPr>
      <w:bookmarkStart w:id="309" w:name="_Toc7812"/>
      <w:r w:rsidRPr="00FB03DC">
        <w:rPr>
          <w:rFonts w:ascii="仿宋" w:eastAsia="仿宋" w:hAnsi="仿宋"/>
          <w:sz w:val="24"/>
          <w:lang w:eastAsia="zh-CN"/>
        </w:rPr>
        <w:t>1、若涉及了利益冲突第1项的情形，管理人及其附属机构严格遵守法律、行政法规和中国证监会的规定以及本合同的约定，按照法律法规以及本合同的约定履行意见征询、信息披露、监管报告等程序，并与集合计划其他投资者享有同等权益、承担同等风险。</w:t>
      </w:r>
    </w:p>
    <w:p w14:paraId="5BF705D6"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若涉及了利益冲突第2项的情形，管理人将确保严格遵守法律、行政法规和中国证监会的规定以及本合同的约定，该部分投资者与集合计划其他投资者享有同等权益、承担同等风险。管理人将及时向投资者进行披露，并对该资产管理计划账户进行监控，以及根据相关规定及时进行报告。</w:t>
      </w:r>
    </w:p>
    <w:p w14:paraId="2EA7C799"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3、若涉及了利益冲突第3项的情形，管理人将从充分维护投资者利益角度积极处理该等利益冲突情形，防范利益输送等违法违规行为。</w:t>
      </w:r>
    </w:p>
    <w:p w14:paraId="75A0FEC9"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4、若涉及了其他利益冲突情形的，管理人将确保严格遵守法律、行政法规和中国证监会的规定以及本合同的约定，从充分维护投资者利益角度积极处理该等利益冲突。</w:t>
      </w:r>
    </w:p>
    <w:p w14:paraId="3C5B6CCA" w14:textId="77777777" w:rsidR="00F31CD2" w:rsidRPr="00FB03DC" w:rsidRDefault="00A71D56">
      <w:pPr>
        <w:spacing w:line="360" w:lineRule="auto"/>
        <w:ind w:firstLine="480"/>
        <w:outlineLvl w:val="1"/>
        <w:rPr>
          <w:rFonts w:ascii="仿宋" w:eastAsia="仿宋" w:hAnsi="仿宋"/>
          <w:sz w:val="24"/>
          <w:lang w:eastAsia="zh-CN"/>
        </w:rPr>
      </w:pPr>
      <w:bookmarkStart w:id="310" w:name="_Toc6752"/>
      <w:bookmarkStart w:id="311" w:name="_Toc198731978"/>
      <w:r w:rsidRPr="00FB03DC">
        <w:rPr>
          <w:rFonts w:ascii="仿宋" w:eastAsia="仿宋" w:hAnsi="仿宋"/>
          <w:sz w:val="24"/>
          <w:lang w:eastAsia="zh-CN"/>
        </w:rPr>
        <w:t>（三）关联交易</w:t>
      </w:r>
      <w:bookmarkEnd w:id="309"/>
      <w:bookmarkEnd w:id="310"/>
      <w:bookmarkEnd w:id="311"/>
    </w:p>
    <w:p w14:paraId="1A696052" w14:textId="77777777" w:rsidR="00F31CD2" w:rsidRPr="00FB03DC" w:rsidRDefault="00A71D56">
      <w:pPr>
        <w:spacing w:line="360" w:lineRule="auto"/>
        <w:ind w:firstLine="482"/>
        <w:rPr>
          <w:rFonts w:ascii="仿宋" w:eastAsia="仿宋" w:hAnsi="仿宋"/>
          <w:iCs/>
          <w:sz w:val="24"/>
          <w:lang w:eastAsia="zh-CN"/>
        </w:rPr>
      </w:pPr>
      <w:r w:rsidRPr="00FB03DC">
        <w:rPr>
          <w:rFonts w:ascii="仿宋" w:eastAsia="仿宋" w:hAnsi="仿宋"/>
          <w:b/>
          <w:bCs/>
          <w:iCs/>
          <w:sz w:val="24"/>
          <w:lang w:eastAsia="zh-CN"/>
        </w:rPr>
        <w:t>在本合同所约定的投资范围内，投资者知晓管理人可以</w:t>
      </w:r>
      <w:r w:rsidRPr="00FB03DC">
        <w:rPr>
          <w:rFonts w:ascii="仿宋" w:eastAsia="仿宋" w:hAnsi="仿宋" w:hint="eastAsia"/>
          <w:b/>
          <w:bCs/>
          <w:iCs/>
          <w:sz w:val="24"/>
          <w:lang w:eastAsia="zh-CN"/>
        </w:rPr>
        <w:t>根据法律法规规定、本合同约定</w:t>
      </w:r>
      <w:r w:rsidRPr="00FB03DC">
        <w:rPr>
          <w:rFonts w:ascii="仿宋" w:eastAsia="仿宋" w:hAnsi="仿宋"/>
          <w:b/>
          <w:bCs/>
          <w:iCs/>
          <w:sz w:val="24"/>
          <w:lang w:eastAsia="zh-CN"/>
        </w:rPr>
        <w:t>运用本计划的资产从事关联交易，包括但不限于投资于管理人、托管人及前述机构的控股股东、实际控制人或者其他关联方发行的证券或承销期内承销的证券、前述机构管理的公募证券投资基金、私募资管产品以及从事其他类型的关联交易</w:t>
      </w:r>
      <w:r w:rsidRPr="00FB03DC">
        <w:rPr>
          <w:rFonts w:ascii="仿宋" w:eastAsia="仿宋" w:hAnsi="仿宋"/>
          <w:iCs/>
          <w:sz w:val="24"/>
          <w:lang w:eastAsia="zh-CN"/>
        </w:rPr>
        <w:t>。</w:t>
      </w:r>
    </w:p>
    <w:p w14:paraId="57A0E295"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lastRenderedPageBreak/>
        <w:t>本集合计划关联方按照《企业会计准则》的规定确定。本集合计划关联方指管理人、托管人及前述机构的控股股东、实际控制人或者与其有其他重大利害关系的公司。</w:t>
      </w:r>
    </w:p>
    <w:p w14:paraId="52216231"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已建立关联交易管理机制，根据内部关联交易制度对私募资管计划的关联认定、关联交易定价、关联交易审批程序等进行规范和管控。私募资管计划如进行关联交易，需由投资经理或其投资助理发起关联交易审批流程，由本计划所属投资部门负责人、投资部门分管领导、合规管理部门、风险管理部门对交易的合规性、公允性进行关联交易审批后方可进行；涉及重大关联交易时，还需经相关投资决策委员会、首席风险官、合规总监审批后方可进行。</w:t>
      </w:r>
    </w:p>
    <w:p w14:paraId="65C0D980"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管理人以本计划资产从事关联交易的，应当遵守法律、行政法规、中国证监会的规定和合同约定。</w:t>
      </w:r>
    </w:p>
    <w:p w14:paraId="3264EC53" w14:textId="77777777" w:rsidR="00F31CD2" w:rsidRPr="00FB03DC" w:rsidRDefault="00A71D56">
      <w:pPr>
        <w:spacing w:line="360" w:lineRule="auto"/>
        <w:ind w:firstLine="482"/>
        <w:rPr>
          <w:rFonts w:ascii="仿宋" w:eastAsia="仿宋" w:hAnsi="仿宋"/>
          <w:b/>
          <w:bCs/>
          <w:iCs/>
          <w:sz w:val="24"/>
          <w:lang w:eastAsia="zh-CN"/>
        </w:rPr>
      </w:pPr>
      <w:r w:rsidRPr="00FB03DC">
        <w:rPr>
          <w:rFonts w:ascii="仿宋" w:eastAsia="仿宋" w:hAnsi="仿宋"/>
          <w:b/>
          <w:bCs/>
          <w:iCs/>
          <w:sz w:val="24"/>
          <w:lang w:eastAsia="zh-CN"/>
        </w:rPr>
        <w:t>如管理人开展重大关联交易，管理人应事先取得投资者的同意，</w:t>
      </w:r>
      <w:r w:rsidRPr="00FB03DC">
        <w:rPr>
          <w:rFonts w:ascii="仿宋" w:eastAsia="仿宋" w:hAnsi="仿宋" w:hint="eastAsia"/>
          <w:iCs/>
          <w:sz w:val="24"/>
          <w:lang w:eastAsia="zh-CN"/>
        </w:rPr>
        <w:t>事后及时告知投资者和托管人</w:t>
      </w:r>
      <w:r w:rsidRPr="00FB03DC">
        <w:rPr>
          <w:rFonts w:ascii="仿宋" w:eastAsia="仿宋" w:hAnsi="仿宋"/>
          <w:b/>
          <w:bCs/>
          <w:iCs/>
          <w:sz w:val="24"/>
          <w:lang w:eastAsia="zh-CN"/>
        </w:rPr>
        <w:t>并向中国证监会相关派出机构报告。具体而言，管理人以本计划资产从事重大关联交易的，除本合同另有约定外，应提前以</w:t>
      </w:r>
      <w:r w:rsidRPr="00FB03DC">
        <w:rPr>
          <w:rFonts w:ascii="仿宋" w:eastAsia="仿宋" w:hAnsi="仿宋" w:hint="eastAsia"/>
          <w:b/>
          <w:bCs/>
          <w:iCs/>
          <w:sz w:val="24"/>
          <w:lang w:eastAsia="zh-CN"/>
        </w:rPr>
        <w:t>邮件</w:t>
      </w:r>
      <w:r w:rsidRPr="00FB03DC">
        <w:rPr>
          <w:rFonts w:ascii="仿宋" w:eastAsia="仿宋" w:hAnsi="仿宋"/>
          <w:b/>
          <w:bCs/>
          <w:sz w:val="24"/>
          <w:lang w:eastAsia="zh-CN"/>
        </w:rPr>
        <w:t>的方式</w:t>
      </w:r>
      <w:r w:rsidRPr="00FB03DC">
        <w:rPr>
          <w:rFonts w:ascii="仿宋" w:eastAsia="仿宋" w:hAnsi="仿宋"/>
          <w:b/>
          <w:bCs/>
          <w:iCs/>
          <w:sz w:val="24"/>
          <w:lang w:eastAsia="zh-CN"/>
        </w:rPr>
        <w:t>征询投资者意见，</w:t>
      </w:r>
      <w:r w:rsidRPr="00FB03DC">
        <w:rPr>
          <w:rFonts w:ascii="仿宋" w:eastAsia="仿宋" w:hAnsi="仿宋" w:hint="eastAsia"/>
          <w:b/>
          <w:bCs/>
          <w:iCs/>
          <w:sz w:val="24"/>
          <w:lang w:eastAsia="zh-CN"/>
        </w:rPr>
        <w:t>管理人应为投资者回复预留合理期限并载明拟进行的重大关联交易的相关信息，</w:t>
      </w:r>
      <w:r w:rsidRPr="00FB03DC">
        <w:rPr>
          <w:rFonts w:ascii="仿宋" w:eastAsia="仿宋" w:hAnsi="仿宋"/>
          <w:b/>
          <w:bCs/>
          <w:iCs/>
          <w:sz w:val="24"/>
          <w:lang w:eastAsia="zh-CN"/>
        </w:rPr>
        <w:t>如投资者未在前述通知的指定时间内通过指定形式明确表示同意该笔重大关联交易的，即视为投资者不同意管理人本次重大关联交易</w:t>
      </w:r>
      <w:r w:rsidRPr="00FB03DC">
        <w:rPr>
          <w:rFonts w:ascii="仿宋" w:eastAsia="仿宋" w:hAnsi="仿宋" w:hint="eastAsia"/>
          <w:b/>
          <w:bCs/>
          <w:iCs/>
          <w:sz w:val="24"/>
          <w:lang w:eastAsia="zh-CN"/>
        </w:rPr>
        <w:t>。投资者不同意（包括视为不同意的），</w:t>
      </w:r>
      <w:r w:rsidRPr="00FB03DC">
        <w:rPr>
          <w:rFonts w:ascii="仿宋" w:eastAsia="仿宋" w:hAnsi="仿宋"/>
          <w:b/>
          <w:bCs/>
          <w:iCs/>
          <w:sz w:val="24"/>
          <w:lang w:eastAsia="zh-CN"/>
        </w:rPr>
        <w:t>则管理人不得开展该笔重大关联交易。</w:t>
      </w:r>
    </w:p>
    <w:p w14:paraId="64CB0A69" w14:textId="77777777" w:rsidR="00F31CD2" w:rsidRPr="00FB03DC" w:rsidRDefault="00A71D56">
      <w:pPr>
        <w:spacing w:line="360" w:lineRule="auto"/>
        <w:ind w:firstLine="482"/>
        <w:rPr>
          <w:rFonts w:ascii="仿宋" w:eastAsia="仿宋" w:hAnsi="仿宋"/>
          <w:b/>
          <w:bCs/>
          <w:iCs/>
          <w:sz w:val="24"/>
          <w:lang w:eastAsia="zh-CN"/>
        </w:rPr>
      </w:pPr>
      <w:r w:rsidRPr="00FB03DC">
        <w:rPr>
          <w:rFonts w:ascii="仿宋" w:eastAsia="仿宋" w:hAnsi="仿宋"/>
          <w:b/>
          <w:bCs/>
          <w:iCs/>
          <w:sz w:val="24"/>
          <w:lang w:eastAsia="zh-CN"/>
        </w:rPr>
        <w:t>重大关联交易包括：</w:t>
      </w:r>
    </w:p>
    <w:p w14:paraId="5C5B4B50" w14:textId="77777777" w:rsidR="00F31CD2" w:rsidRPr="00FB03DC" w:rsidRDefault="00A71D56">
      <w:pPr>
        <w:spacing w:line="360" w:lineRule="auto"/>
        <w:ind w:firstLine="482"/>
        <w:rPr>
          <w:rFonts w:ascii="仿宋" w:eastAsia="仿宋" w:hAnsi="仿宋"/>
          <w:b/>
          <w:bCs/>
          <w:iCs/>
          <w:sz w:val="24"/>
          <w:lang w:eastAsia="zh-CN"/>
        </w:rPr>
      </w:pPr>
      <w:r w:rsidRPr="00FB03DC">
        <w:rPr>
          <w:rFonts w:ascii="仿宋" w:eastAsia="仿宋" w:hAnsi="仿宋"/>
          <w:b/>
          <w:bCs/>
          <w:iCs/>
          <w:sz w:val="24"/>
          <w:lang w:eastAsia="zh-CN"/>
        </w:rPr>
        <w:t>1、本计划投资于关联方发行的证券或者承销期内承销的证券，且交易金额超过本计划净资产的10%；</w:t>
      </w:r>
    </w:p>
    <w:p w14:paraId="35652EDB" w14:textId="77777777" w:rsidR="00F31CD2" w:rsidRPr="00FB03DC" w:rsidRDefault="00A71D56">
      <w:pPr>
        <w:spacing w:line="360" w:lineRule="auto"/>
        <w:ind w:firstLine="482"/>
        <w:rPr>
          <w:rFonts w:ascii="仿宋" w:eastAsia="仿宋" w:hAnsi="仿宋"/>
          <w:iCs/>
          <w:sz w:val="24"/>
          <w:lang w:eastAsia="zh-CN"/>
        </w:rPr>
      </w:pPr>
      <w:r w:rsidRPr="00FB03DC">
        <w:rPr>
          <w:rFonts w:ascii="仿宋" w:eastAsia="仿宋" w:hAnsi="仿宋"/>
          <w:b/>
          <w:bCs/>
          <w:iCs/>
          <w:sz w:val="24"/>
          <w:lang w:eastAsia="zh-CN"/>
        </w:rPr>
        <w:t>2、相关法律法规、基金业协会自律规则、管理人公司制度规定为重大关联交易的其他情形。</w:t>
      </w:r>
    </w:p>
    <w:p w14:paraId="05C34587" w14:textId="77777777" w:rsidR="00F31CD2" w:rsidRPr="00FB03DC" w:rsidRDefault="00A71D56">
      <w:pPr>
        <w:spacing w:line="360" w:lineRule="auto"/>
        <w:ind w:firstLine="482"/>
        <w:rPr>
          <w:rFonts w:ascii="仿宋" w:eastAsia="仿宋" w:hAnsi="仿宋"/>
          <w:b/>
          <w:bCs/>
          <w:iCs/>
          <w:sz w:val="24"/>
          <w:lang w:eastAsia="zh-CN"/>
        </w:rPr>
      </w:pPr>
      <w:r w:rsidRPr="00FB03DC">
        <w:rPr>
          <w:rFonts w:ascii="仿宋" w:eastAsia="仿宋" w:hAnsi="仿宋"/>
          <w:b/>
          <w:bCs/>
          <w:iCs/>
          <w:sz w:val="24"/>
          <w:lang w:eastAsia="zh-CN"/>
        </w:rPr>
        <w:t>前述重大关联交易外的其他关联交易为一般关联交易。管理人以本计划资产从事一般关联交易的，无需就具体关联交易事先再行分别、逐笔取得投资者的同意，投资者签署本合同即视为已经充分理解并同意管理人从事该等关联交易，管理人事后及时告知投资者和托管人，并向中国证监会相关派出机构报告。</w:t>
      </w:r>
    </w:p>
    <w:p w14:paraId="2F4F07D6" w14:textId="77777777" w:rsidR="00F31CD2" w:rsidRPr="00FB03DC" w:rsidRDefault="00A71D56">
      <w:pPr>
        <w:spacing w:line="360" w:lineRule="auto"/>
        <w:ind w:firstLine="482"/>
        <w:rPr>
          <w:rFonts w:ascii="仿宋" w:eastAsia="仿宋" w:hAnsi="仿宋"/>
          <w:b/>
          <w:bCs/>
          <w:iCs/>
          <w:sz w:val="24"/>
          <w:lang w:eastAsia="zh-CN"/>
        </w:rPr>
      </w:pPr>
      <w:r w:rsidRPr="00FB03DC">
        <w:rPr>
          <w:rFonts w:ascii="仿宋" w:eastAsia="仿宋" w:hAnsi="仿宋"/>
          <w:b/>
          <w:bCs/>
          <w:iCs/>
          <w:sz w:val="24"/>
          <w:lang w:eastAsia="zh-CN"/>
        </w:rPr>
        <w:lastRenderedPageBreak/>
        <w:t>如法律法规、监管规定、自律规则</w:t>
      </w:r>
      <w:r w:rsidRPr="00FB03DC">
        <w:rPr>
          <w:rFonts w:ascii="仿宋" w:eastAsia="仿宋" w:hAnsi="仿宋" w:hint="eastAsia"/>
          <w:b/>
          <w:bCs/>
          <w:iCs/>
          <w:sz w:val="24"/>
          <w:lang w:eastAsia="zh-CN"/>
        </w:rPr>
        <w:t>、管理人公司制度</w:t>
      </w:r>
      <w:r w:rsidRPr="00FB03DC">
        <w:rPr>
          <w:rFonts w:ascii="仿宋" w:eastAsia="仿宋" w:hAnsi="仿宋"/>
          <w:b/>
          <w:bCs/>
          <w:iCs/>
          <w:sz w:val="24"/>
          <w:lang w:eastAsia="zh-CN"/>
        </w:rPr>
        <w:t>对关联交易相关规则有所变更的，本计划关联交易相关规则按照法律法规、监管规定、自律组织</w:t>
      </w:r>
      <w:r w:rsidRPr="00FB03DC">
        <w:rPr>
          <w:rFonts w:ascii="仿宋" w:eastAsia="仿宋" w:hAnsi="仿宋" w:hint="eastAsia"/>
          <w:b/>
          <w:bCs/>
          <w:iCs/>
          <w:sz w:val="24"/>
          <w:lang w:eastAsia="zh-CN"/>
        </w:rPr>
        <w:t>以及管理人公司制度</w:t>
      </w:r>
      <w:r w:rsidRPr="00FB03DC">
        <w:rPr>
          <w:rFonts w:ascii="仿宋" w:eastAsia="仿宋" w:hAnsi="仿宋"/>
          <w:b/>
          <w:bCs/>
          <w:iCs/>
          <w:sz w:val="24"/>
          <w:lang w:eastAsia="zh-CN"/>
        </w:rPr>
        <w:t>的要求执行，并以公告</w:t>
      </w:r>
      <w:r w:rsidRPr="00FB03DC">
        <w:rPr>
          <w:rFonts w:ascii="仿宋" w:eastAsia="仿宋" w:hAnsi="仿宋" w:hint="eastAsia"/>
          <w:b/>
          <w:bCs/>
          <w:iCs/>
          <w:sz w:val="24"/>
          <w:lang w:eastAsia="zh-CN"/>
        </w:rPr>
        <w:t>及邮件</w:t>
      </w:r>
      <w:r w:rsidRPr="00FB03DC">
        <w:rPr>
          <w:rFonts w:ascii="仿宋" w:eastAsia="仿宋" w:hAnsi="仿宋"/>
          <w:b/>
          <w:bCs/>
          <w:iCs/>
          <w:sz w:val="24"/>
          <w:lang w:eastAsia="zh-CN"/>
        </w:rPr>
        <w:t>形式通知投资者。</w:t>
      </w:r>
    </w:p>
    <w:p w14:paraId="05EC74A3"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本资产管理计划前述关联方的名单分别由管理人、托管人各自整理及更新，其中有重大利害关系的公司由前述主体根据法律法规及内部制度的规定自行确定。</w:t>
      </w:r>
    </w:p>
    <w:p w14:paraId="5B434729"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管理人关联方名单详见附件一，并以管理人按照相关法律法规和公司制度所确定和更新范围为准。</w:t>
      </w:r>
    </w:p>
    <w:p w14:paraId="3F0DE7B5"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托管人向管理人披露托管人及其控股股东、实际控制人或者其他关联方，以及前述机构发行的证券或者承销期内承销的证券等信息，具体以公开市场披露的主体信息和证券信息为准。</w:t>
      </w:r>
    </w:p>
    <w:p w14:paraId="137ECF3E" w14:textId="77777777" w:rsidR="00F31CD2" w:rsidRPr="00FB03DC" w:rsidRDefault="00F31CD2">
      <w:pPr>
        <w:spacing w:line="360" w:lineRule="auto"/>
        <w:rPr>
          <w:rFonts w:ascii="仿宋" w:eastAsia="仿宋" w:hAnsi="仿宋"/>
          <w:sz w:val="24"/>
          <w:szCs w:val="24"/>
          <w:lang w:eastAsia="zh-CN"/>
        </w:rPr>
      </w:pPr>
    </w:p>
    <w:p w14:paraId="02E131C1" w14:textId="77777777" w:rsidR="00F31CD2" w:rsidRPr="00FB03DC" w:rsidRDefault="00A71D56">
      <w:pPr>
        <w:pStyle w:val="2"/>
        <w:spacing w:before="0" w:after="0" w:line="360" w:lineRule="auto"/>
        <w:ind w:firstLine="643"/>
        <w:rPr>
          <w:rFonts w:ascii="仿宋" w:eastAsia="仿宋" w:hAnsi="仿宋"/>
          <w:b/>
          <w:bCs/>
          <w:lang w:eastAsia="zh-CN"/>
        </w:rPr>
      </w:pPr>
      <w:bookmarkStart w:id="312" w:name="_Toc51775871"/>
      <w:bookmarkStart w:id="313" w:name="_Toc9952"/>
      <w:bookmarkStart w:id="314" w:name="_Toc10901"/>
      <w:bookmarkStart w:id="315" w:name="_Toc17111"/>
      <w:bookmarkStart w:id="316" w:name="_Toc6313420"/>
      <w:bookmarkStart w:id="317" w:name="_Toc16077"/>
      <w:bookmarkStart w:id="318" w:name="_Toc28073"/>
      <w:bookmarkStart w:id="319" w:name="_Toc159589301"/>
      <w:bookmarkStart w:id="320" w:name="_Toc27298"/>
      <w:r w:rsidRPr="00FB03DC">
        <w:rPr>
          <w:rFonts w:ascii="仿宋" w:eastAsia="仿宋" w:hAnsi="仿宋"/>
          <w:b/>
          <w:bCs/>
          <w:lang w:eastAsia="zh-CN"/>
        </w:rPr>
        <w:br w:type="page"/>
      </w:r>
      <w:bookmarkStart w:id="321" w:name="_Toc198731979"/>
      <w:r w:rsidRPr="00FB03DC">
        <w:rPr>
          <w:rFonts w:ascii="仿宋" w:eastAsia="仿宋" w:hAnsi="仿宋"/>
          <w:b/>
          <w:bCs/>
          <w:lang w:eastAsia="zh-CN"/>
        </w:rPr>
        <w:lastRenderedPageBreak/>
        <w:t>十五、投资经理的指定与变更</w:t>
      </w:r>
      <w:bookmarkEnd w:id="312"/>
      <w:bookmarkEnd w:id="313"/>
      <w:bookmarkEnd w:id="314"/>
      <w:bookmarkEnd w:id="315"/>
      <w:bookmarkEnd w:id="316"/>
      <w:bookmarkEnd w:id="317"/>
      <w:bookmarkEnd w:id="318"/>
      <w:bookmarkEnd w:id="319"/>
      <w:bookmarkEnd w:id="320"/>
      <w:bookmarkEnd w:id="321"/>
    </w:p>
    <w:p w14:paraId="143E5D62"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本集合计划投资经理由管理人负责指定。</w:t>
      </w:r>
    </w:p>
    <w:p w14:paraId="379128C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本集合计划投资经理为</w:t>
      </w:r>
      <w:r w:rsidRPr="00FB03DC">
        <w:rPr>
          <w:rFonts w:ascii="仿宋" w:eastAsia="仿宋" w:hAnsi="仿宋" w:hint="eastAsia"/>
          <w:sz w:val="24"/>
          <w:lang w:eastAsia="zh-CN"/>
        </w:rPr>
        <w:t>薛雅婧，薛雅婧女士曾供职于美国太平洋人寿保险公司资产负债管理部门，担任高级精算师，负责指数连接型年金产品的固收投资及风险对冲策略，现任华泰证券（上海）资产管理有限公司多资产专户投资部投资经理，负责跨境固收策略产品投资。薛雅婧女士在海外市场具备7年以上的专业投资经验。</w:t>
      </w:r>
    </w:p>
    <w:p w14:paraId="56D669A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hint="eastAsia"/>
          <w:sz w:val="24"/>
          <w:lang w:eastAsia="zh-CN"/>
        </w:rPr>
        <w:t>本计划投资经理已经依法取得基金从业资格，具有三年以上投资管理、投资研究、投资咨询等相关业务经验，具备良好的诚信记录和职业操守，且最近三年未被监管机构采取重大行政监管措施、行政处罚。</w:t>
      </w:r>
    </w:p>
    <w:p w14:paraId="7A9F31AE"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lang w:eastAsia="zh-CN"/>
        </w:rPr>
        <w:t>管理人可以根据需要变更投资经理。集合计划存续期间，如管理人决定变更投资经理的，应当于变更决定日（含）起的5日内以管理人网站公告的方式时向投资者披露，并报送协会。</w:t>
      </w:r>
    </w:p>
    <w:p w14:paraId="4841EB81" w14:textId="77777777" w:rsidR="00F31CD2" w:rsidRPr="00FB03DC" w:rsidRDefault="00F31CD2">
      <w:pPr>
        <w:spacing w:line="360" w:lineRule="auto"/>
        <w:rPr>
          <w:rFonts w:ascii="仿宋" w:eastAsia="仿宋" w:hAnsi="仿宋"/>
          <w:sz w:val="24"/>
          <w:szCs w:val="24"/>
          <w:lang w:eastAsia="zh-CN"/>
        </w:rPr>
      </w:pPr>
    </w:p>
    <w:p w14:paraId="23F4811E" w14:textId="77777777" w:rsidR="00F31CD2" w:rsidRPr="00FB03DC" w:rsidRDefault="00A71D56">
      <w:pPr>
        <w:pStyle w:val="2"/>
        <w:spacing w:before="0" w:after="0" w:line="360" w:lineRule="auto"/>
        <w:ind w:firstLine="643"/>
        <w:rPr>
          <w:rFonts w:ascii="仿宋" w:eastAsia="仿宋" w:hAnsi="仿宋"/>
          <w:b/>
          <w:bCs/>
          <w:lang w:eastAsia="zh-CN"/>
        </w:rPr>
      </w:pPr>
      <w:bookmarkStart w:id="322" w:name="_Toc6914"/>
      <w:bookmarkStart w:id="323" w:name="_Toc51775872"/>
      <w:bookmarkStart w:id="324" w:name="_Toc19491"/>
      <w:bookmarkStart w:id="325" w:name="_Toc6313421"/>
      <w:bookmarkStart w:id="326" w:name="_Toc862"/>
      <w:bookmarkStart w:id="327" w:name="_Toc12323"/>
      <w:bookmarkStart w:id="328" w:name="_Toc12358"/>
      <w:bookmarkStart w:id="329" w:name="_Toc18595"/>
      <w:bookmarkStart w:id="330" w:name="_Toc159589302"/>
      <w:r w:rsidRPr="00FB03DC">
        <w:rPr>
          <w:rFonts w:ascii="仿宋" w:eastAsia="仿宋" w:hAnsi="仿宋"/>
          <w:b/>
          <w:bCs/>
          <w:lang w:eastAsia="zh-CN"/>
        </w:rPr>
        <w:br w:type="page"/>
      </w:r>
      <w:bookmarkStart w:id="331" w:name="_Toc198731980"/>
      <w:r w:rsidRPr="00FB03DC">
        <w:rPr>
          <w:rFonts w:ascii="仿宋" w:eastAsia="仿宋" w:hAnsi="仿宋"/>
          <w:b/>
          <w:bCs/>
          <w:lang w:eastAsia="zh-CN"/>
        </w:rPr>
        <w:lastRenderedPageBreak/>
        <w:t>十六、资产管理计划的财产</w:t>
      </w:r>
      <w:bookmarkEnd w:id="322"/>
      <w:bookmarkEnd w:id="323"/>
      <w:bookmarkEnd w:id="324"/>
      <w:bookmarkEnd w:id="325"/>
      <w:bookmarkEnd w:id="326"/>
      <w:bookmarkEnd w:id="327"/>
      <w:bookmarkEnd w:id="328"/>
      <w:bookmarkEnd w:id="329"/>
      <w:bookmarkEnd w:id="330"/>
      <w:bookmarkEnd w:id="331"/>
    </w:p>
    <w:p w14:paraId="760A19C9" w14:textId="77777777" w:rsidR="00F31CD2" w:rsidRPr="00FB03DC" w:rsidRDefault="00A71D56">
      <w:pPr>
        <w:spacing w:line="360" w:lineRule="auto"/>
        <w:ind w:firstLine="480"/>
        <w:outlineLvl w:val="1"/>
        <w:rPr>
          <w:rFonts w:ascii="仿宋" w:eastAsia="仿宋" w:hAnsi="仿宋"/>
          <w:sz w:val="24"/>
          <w:lang w:eastAsia="zh-CN"/>
        </w:rPr>
      </w:pPr>
      <w:bookmarkStart w:id="332" w:name="_Toc12031"/>
      <w:bookmarkStart w:id="333" w:name="_Toc198731981"/>
      <w:bookmarkStart w:id="334" w:name="_Toc8573"/>
      <w:r w:rsidRPr="00FB03DC">
        <w:rPr>
          <w:rFonts w:ascii="仿宋" w:eastAsia="仿宋" w:hAnsi="仿宋"/>
          <w:sz w:val="24"/>
          <w:lang w:eastAsia="zh-CN"/>
        </w:rPr>
        <w:t>（一）集合计划资产的保管与处分</w:t>
      </w:r>
      <w:bookmarkEnd w:id="332"/>
      <w:bookmarkEnd w:id="333"/>
      <w:bookmarkEnd w:id="334"/>
    </w:p>
    <w:p w14:paraId="7C8C359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1、资产管理计划财产为信托财产，其债务由资产管理计划财产本身承担责任，投资者以其出资为限对资产管理计划财产的债务承担责任。</w:t>
      </w:r>
    </w:p>
    <w:p w14:paraId="29EFFE2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2、资产管理计划财产独立于管理人和托管人的固有财产，并独立于管理人管理的和托管人托管的其他财产。管理人、托管人不得将资产管理计划财产归入其固有财产。</w:t>
      </w:r>
    </w:p>
    <w:p w14:paraId="76F4F49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3、管理人、托管人因资产管理计划财产的管理、运用或者其他情形而取得的财产和收益，归入资产管理计划财产。</w:t>
      </w:r>
    </w:p>
    <w:p w14:paraId="2E58B62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4、管理人、托管人因依法解散、被依法撤销或者被依法宣告破产等原因进行清算的，资产管理计划财产不属于其清算财产。</w:t>
      </w:r>
    </w:p>
    <w:p w14:paraId="1C4FBEF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5、管理人、托管人以其固有财产承担法律责任，其债权人不得对资产管理计划财产行使请求冻结、扣押和其他权利。</w:t>
      </w:r>
    </w:p>
    <w:p w14:paraId="3A5E05A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6、资产管理计划财产产生的债权不得与不属于资产管理计划财产本身的债务相互抵销。非因资产管理计划财产本身承担的债务，管理人、托管人不得主张其债权人对资产管理计划财产强制执行。上述债权人对资产管理计划财产主张权利时，管理人、托管人应当明确告知资产管理计划财产的独立性，采取合理措施并及时通知投资者。</w:t>
      </w:r>
    </w:p>
    <w:p w14:paraId="440C0EDE" w14:textId="77777777" w:rsidR="00F31CD2" w:rsidRPr="00FB03DC" w:rsidRDefault="00A71D56">
      <w:pPr>
        <w:spacing w:line="360" w:lineRule="auto"/>
        <w:ind w:firstLine="480"/>
        <w:outlineLvl w:val="1"/>
        <w:rPr>
          <w:rFonts w:ascii="仿宋" w:eastAsia="仿宋" w:hAnsi="仿宋"/>
          <w:sz w:val="24"/>
          <w:lang w:eastAsia="zh-CN"/>
        </w:rPr>
      </w:pPr>
      <w:bookmarkStart w:id="335" w:name="_Toc21390"/>
      <w:bookmarkStart w:id="336" w:name="_Toc4491"/>
      <w:bookmarkStart w:id="337" w:name="_Toc198731982"/>
      <w:r w:rsidRPr="00FB03DC">
        <w:rPr>
          <w:rFonts w:ascii="仿宋" w:eastAsia="仿宋" w:hAnsi="仿宋"/>
          <w:sz w:val="24"/>
          <w:lang w:eastAsia="zh-CN"/>
        </w:rPr>
        <w:t>（二）集合计划账户的开立</w:t>
      </w:r>
      <w:bookmarkEnd w:id="335"/>
      <w:bookmarkEnd w:id="336"/>
      <w:bookmarkEnd w:id="337"/>
    </w:p>
    <w:p w14:paraId="1DA338C3" w14:textId="31490E7E"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1.托管人为本集合计划开立托管账户、证券账户以及其他相关账户。托管账户名称为“华泰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集合资产管理计划”，具体名称以实际开立为准。证券账户名称为“华泰证券资管—中国银行股份有限公司北京市分行—华泰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具体名称以实际开立为准。管理人应依法履行受益所有人识别义务，在开立托管账户时按照开户银行要求，就相关信息的提供、核实提供必要的协助，并确保所提供信息以及证明材料的真实性、准确性。</w:t>
      </w:r>
      <w:r w:rsidRPr="00FB03DC">
        <w:rPr>
          <w:rFonts w:ascii="仿宋" w:eastAsia="仿宋" w:hAnsi="仿宋"/>
          <w:sz w:val="24"/>
          <w:szCs w:val="24"/>
          <w:lang w:eastAsia="zh-CN" w:bidi="en-US"/>
        </w:rPr>
        <w:t xml:space="preserve">托管账户的开立和使用，限于满足开展本集合资产管理计划业务的需要。管理人同意将托管账户纳入托管人网银主账户项下进行控制和管理。管理人同意托管人使用托管账户网银密钥或托管人相关系统执行托管资金账户划款操作。 </w:t>
      </w:r>
    </w:p>
    <w:p w14:paraId="19C549B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2.其他投资账户的开立</w:t>
      </w:r>
    </w:p>
    <w:p w14:paraId="7CA067C7" w14:textId="360E5F5C" w:rsidR="00F31CD2" w:rsidRPr="00FB03DC" w:rsidRDefault="00A71D56" w:rsidP="00FB03DC">
      <w:pPr>
        <w:spacing w:line="360" w:lineRule="auto"/>
        <w:ind w:firstLine="480"/>
        <w:rPr>
          <w:rFonts w:ascii="仿宋" w:eastAsia="仿宋" w:hAnsi="仿宋"/>
          <w:sz w:val="24"/>
          <w:szCs w:val="24"/>
          <w:lang w:eastAsia="zh-CN" w:bidi="en-US"/>
        </w:rPr>
      </w:pPr>
      <w:r w:rsidRPr="00FB03DC">
        <w:rPr>
          <w:rFonts w:ascii="仿宋" w:eastAsia="仿宋" w:hAnsi="仿宋"/>
          <w:sz w:val="24"/>
          <w:szCs w:val="24"/>
          <w:lang w:eastAsia="zh-CN" w:bidi="en-US"/>
        </w:rPr>
        <w:t>与本集合计划投资有关的其他账户，如定期存款账户、银行理财账户等，管理人需在账户开立前与托管人协商一致。如果未经托管人同意，管理人自行开立其他投资账户，托管人有权拒绝执行对应的划款指令，由此导致的损失，由管理人负责，与托管人无关。定期存款（包括协议存款）账户的户名应与托管户名一致，预留印鉴应至少留一枚托管人印鉴。协议存款或定期存款协议中应明确注明存款到期本息应划回托管账户，协议存款或定期存款协议应经托管人审核。定期存款（包括协议存款）账户开立的存款证实书或存单原件由托管人保管。</w:t>
      </w:r>
    </w:p>
    <w:p w14:paraId="75C3FF4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szCs w:val="24"/>
          <w:lang w:eastAsia="zh-CN" w:bidi="en-US"/>
        </w:rPr>
        <w:t>如由于本集合计划投资的股权上市或其他投资需要而为本集合计划开立证券账户或资金账户，管理人需与证券公司和托管人签订三方经纪服务协议，并责成证券公司向托管人提供产品对账单。管理人保证按“第三方存管”模式将甲方的资金账户与托管账户建立唯一对应关系，对应关系一经确定，不得更</w:t>
      </w:r>
      <w:r w:rsidRPr="00FB03DC">
        <w:rPr>
          <w:rFonts w:ascii="仿宋" w:eastAsia="仿宋" w:hAnsi="仿宋"/>
          <w:sz w:val="24"/>
          <w:lang w:eastAsia="zh-CN"/>
        </w:rPr>
        <w:t>改，由于管理人未签订经纪服务协议或者未将证券账户或资金账户与托管账户建立唯一关联，导致本集合计划财产损失的，由管理人承担全部责任，与托管人无关。甲方、管理人与托管人应当在开户过程中相互配合，并提供所需资料。除相关法律法规以及相关监管机构另有规定外，投资账户户名与本集合计划托管账户户名一致，投资本金及收益的唯一回款账户应为本本集合计划托管账户。</w:t>
      </w:r>
    </w:p>
    <w:p w14:paraId="7B25CDDD"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本集合计划到期后，甲方、管理人与托管人应当在销户过程中相互配合，并提供所需资料。</w:t>
      </w:r>
    </w:p>
    <w:p w14:paraId="74578D98" w14:textId="77777777" w:rsidR="00F31CD2" w:rsidRPr="00FB03DC" w:rsidRDefault="00F31CD2">
      <w:pPr>
        <w:spacing w:line="360" w:lineRule="auto"/>
        <w:rPr>
          <w:rFonts w:ascii="仿宋" w:eastAsia="仿宋" w:hAnsi="仿宋"/>
          <w:sz w:val="24"/>
          <w:lang w:eastAsia="zh-CN"/>
        </w:rPr>
      </w:pPr>
    </w:p>
    <w:p w14:paraId="5DDFF93A" w14:textId="77777777" w:rsidR="00F31CD2" w:rsidRPr="00FB03DC" w:rsidRDefault="00A71D56">
      <w:pPr>
        <w:pStyle w:val="2"/>
        <w:spacing w:before="0" w:after="0" w:line="360" w:lineRule="auto"/>
        <w:ind w:firstLine="643"/>
        <w:rPr>
          <w:rFonts w:ascii="仿宋" w:eastAsia="仿宋" w:hAnsi="仿宋"/>
          <w:b/>
          <w:bCs/>
          <w:lang w:eastAsia="zh-CN"/>
        </w:rPr>
      </w:pPr>
      <w:bookmarkStart w:id="338" w:name="_Toc51775873"/>
      <w:bookmarkStart w:id="339" w:name="_Toc30848"/>
      <w:bookmarkStart w:id="340" w:name="_Toc24116"/>
      <w:bookmarkStart w:id="341" w:name="_Toc27115"/>
      <w:bookmarkStart w:id="342" w:name="_Toc6313422"/>
      <w:bookmarkStart w:id="343" w:name="_Toc184"/>
      <w:bookmarkStart w:id="344" w:name="_Toc12777"/>
      <w:bookmarkStart w:id="345" w:name="OLE_LINK3"/>
      <w:bookmarkStart w:id="346" w:name="_Toc159589303"/>
      <w:bookmarkStart w:id="347" w:name="_Toc26239"/>
      <w:r w:rsidRPr="00FB03DC">
        <w:rPr>
          <w:rFonts w:ascii="仿宋" w:eastAsia="仿宋" w:hAnsi="仿宋"/>
          <w:b/>
          <w:bCs/>
          <w:lang w:eastAsia="zh-CN"/>
        </w:rPr>
        <w:br w:type="page"/>
      </w:r>
      <w:bookmarkStart w:id="348" w:name="_Toc198731983"/>
      <w:r w:rsidRPr="00FB03DC">
        <w:rPr>
          <w:rFonts w:ascii="仿宋" w:eastAsia="仿宋" w:hAnsi="仿宋"/>
          <w:b/>
          <w:bCs/>
          <w:lang w:eastAsia="zh-CN"/>
        </w:rPr>
        <w:lastRenderedPageBreak/>
        <w:t>十七、投资指令的发送、确认和执行</w:t>
      </w:r>
      <w:bookmarkEnd w:id="338"/>
      <w:bookmarkEnd w:id="339"/>
      <w:bookmarkEnd w:id="340"/>
      <w:bookmarkEnd w:id="341"/>
      <w:bookmarkEnd w:id="342"/>
      <w:bookmarkEnd w:id="343"/>
      <w:bookmarkEnd w:id="344"/>
      <w:bookmarkEnd w:id="345"/>
      <w:bookmarkEnd w:id="346"/>
      <w:bookmarkEnd w:id="347"/>
      <w:bookmarkEnd w:id="348"/>
    </w:p>
    <w:p w14:paraId="74690D65" w14:textId="77777777" w:rsidR="00F31CD2" w:rsidRPr="00FB03DC" w:rsidRDefault="00A71D56">
      <w:pPr>
        <w:spacing w:line="360" w:lineRule="auto"/>
        <w:ind w:firstLine="480"/>
        <w:rPr>
          <w:rFonts w:ascii="仿宋" w:eastAsia="仿宋" w:hAnsi="仿宋"/>
          <w:sz w:val="24"/>
          <w:lang w:eastAsia="zh-CN"/>
        </w:rPr>
      </w:pPr>
      <w:bookmarkStart w:id="349" w:name="OLE_LINK8"/>
      <w:bookmarkStart w:id="350" w:name="_Toc1796"/>
      <w:bookmarkStart w:id="351" w:name="_Toc18422"/>
      <w:r w:rsidRPr="00FB03DC">
        <w:rPr>
          <w:rFonts w:ascii="仿宋" w:eastAsia="仿宋" w:hAnsi="仿宋"/>
          <w:sz w:val="24"/>
          <w:lang w:eastAsia="zh-CN"/>
        </w:rPr>
        <w:t>管理人在运用受托资产时向托管人发送资金划拨及其他款项付款指令，托管人根据相关法律法规规定以及本合同约定执行管理人的指令、办理资产管理计划名下的资金往来等有关事项。</w:t>
      </w:r>
    </w:p>
    <w:p w14:paraId="7D33C80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管理人发送的指令包括电子指令和纸质指令。</w:t>
      </w:r>
    </w:p>
    <w:p w14:paraId="468DF449" w14:textId="57364E5C"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电子指令包括管理人发送的电子指令（采用电子报文传送的电子指令、</w:t>
      </w:r>
      <w:r w:rsidRPr="00FB03DC">
        <w:rPr>
          <w:rFonts w:ascii="仿宋" w:eastAsia="仿宋" w:hAnsi="仿宋" w:hint="eastAsia"/>
          <w:sz w:val="24"/>
          <w:lang w:eastAsia="zh-CN"/>
        </w:rPr>
        <w:t>中国银行托管系统</w:t>
      </w:r>
      <w:r w:rsidRPr="00FB03DC">
        <w:rPr>
          <w:rFonts w:ascii="仿宋" w:eastAsia="仿宋" w:hAnsi="仿宋"/>
          <w:sz w:val="24"/>
          <w:lang w:eastAsia="zh-CN"/>
        </w:rPr>
        <w:t>平台录入的电子指令）、自动产生的电子指令（托管人根据管理人同意设定的业务规则自动产生的电子指令）。纸质指令包括管理人给托管人传真指令、邮件指令或原件指令。</w:t>
      </w:r>
    </w:p>
    <w:p w14:paraId="4EE16777" w14:textId="77777777" w:rsidR="00F31CD2" w:rsidRPr="00FB03DC" w:rsidRDefault="00A71D56">
      <w:pPr>
        <w:spacing w:line="360" w:lineRule="auto"/>
        <w:ind w:firstLine="480"/>
        <w:outlineLvl w:val="1"/>
        <w:rPr>
          <w:rFonts w:ascii="仿宋" w:eastAsia="仿宋" w:hAnsi="仿宋"/>
          <w:sz w:val="24"/>
          <w:lang w:eastAsia="zh-CN"/>
        </w:rPr>
      </w:pPr>
      <w:bookmarkStart w:id="352" w:name="_Toc198731984"/>
      <w:r w:rsidRPr="00FB03DC">
        <w:rPr>
          <w:rFonts w:ascii="仿宋" w:eastAsia="仿宋" w:hAnsi="仿宋"/>
          <w:sz w:val="24"/>
          <w:lang w:eastAsia="zh-CN"/>
        </w:rPr>
        <w:t>（一）管理人对发送指令人员的书面授权</w:t>
      </w:r>
      <w:bookmarkEnd w:id="352"/>
    </w:p>
    <w:p w14:paraId="384B1CF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应事先向托管人提供书面授权通知书，指定指令的被授权人员及被授权印鉴，授权通知书的内容包括被授权人员名单、联系方式、签字/印章样本、权限和预留印鉴，以及授权的传真号码、电子邮箱、电话号码等。授权通知书应加盖管理人公司公章和法定代表人（或授权人）签字/签章（若由授权代表签署，还应附上法定代表人的授权书），并写明生效时间。管理人应使用传真或其他与托管人协商一致的方式向托管人发出授权通知书，同时电话通知托管人。授权通知书经管理人与托管人以电话方式或其他管理人和托管人认可的方式确认后，于授权通知书载明的生效时间</w:t>
      </w:r>
      <w:r w:rsidRPr="00FB03DC">
        <w:rPr>
          <w:rFonts w:ascii="仿宋" w:eastAsia="仿宋" w:hAnsi="仿宋" w:hint="eastAsia"/>
          <w:sz w:val="24"/>
          <w:lang w:eastAsia="zh-CN"/>
        </w:rPr>
        <w:t>（未写明生效时间以</w:t>
      </w:r>
      <w:r w:rsidRPr="00FB03DC">
        <w:rPr>
          <w:rFonts w:ascii="仿宋" w:eastAsia="仿宋" w:hAnsi="仿宋"/>
          <w:sz w:val="24"/>
          <w:lang w:eastAsia="zh-CN"/>
        </w:rPr>
        <w:t>授权通知书的落款时间</w:t>
      </w:r>
      <w:r w:rsidRPr="00FB03DC">
        <w:rPr>
          <w:rFonts w:ascii="仿宋" w:eastAsia="仿宋" w:hAnsi="仿宋" w:hint="eastAsia"/>
          <w:sz w:val="24"/>
          <w:lang w:eastAsia="zh-CN"/>
        </w:rPr>
        <w:t>为生效时间）</w:t>
      </w:r>
      <w:r w:rsidRPr="00FB03DC">
        <w:rPr>
          <w:rFonts w:ascii="仿宋" w:eastAsia="仿宋" w:hAnsi="仿宋"/>
          <w:sz w:val="24"/>
          <w:lang w:eastAsia="zh-CN"/>
        </w:rPr>
        <w:t>生效。若授权通知书载明的生效时间</w:t>
      </w:r>
      <w:r w:rsidRPr="00FB03DC">
        <w:rPr>
          <w:rFonts w:ascii="仿宋" w:eastAsia="仿宋" w:hAnsi="仿宋" w:hint="eastAsia"/>
          <w:sz w:val="24"/>
          <w:lang w:eastAsia="zh-CN"/>
        </w:rPr>
        <w:t>（未写明生效时间以授权通知书的落款时间为生效时间）</w:t>
      </w:r>
      <w:r w:rsidRPr="00FB03DC">
        <w:rPr>
          <w:rFonts w:ascii="仿宋" w:eastAsia="仿宋" w:hAnsi="仿宋"/>
          <w:sz w:val="24"/>
          <w:lang w:eastAsia="zh-CN"/>
        </w:rPr>
        <w:t>早于管理人与托管人双方确认时间的，则以管理人与托管人双方共同确认的时间为授权生效时间。管理人在发出授权通知书之日起三个工作日内将授权通知书的正本送交托管人。授权通知书正本内容与托管人收到的传真不一致的，以托管人收到的传真为准。</w:t>
      </w:r>
    </w:p>
    <w:p w14:paraId="34A4112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管理人和托管人对授权通知书负有保密义务，其内容不得向授权人、被授权人及相关操作人员以外的任何人泄露，但法律法规规定或有权机关另有要求的除外。</w:t>
      </w:r>
    </w:p>
    <w:p w14:paraId="153370B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知晓、同意并授权托管人收集和使用上述被授权人员的个人信息（包括但不限于姓名、证件号码、手机/电话号码、电子邮箱、地址等）。管理人确认并承诺，管理人已获得被授权人员同意向托管人提供和使用上述个人信</w:t>
      </w:r>
      <w:r w:rsidRPr="00FB03DC">
        <w:rPr>
          <w:rFonts w:ascii="仿宋" w:eastAsia="仿宋" w:hAnsi="仿宋"/>
          <w:sz w:val="24"/>
          <w:lang w:eastAsia="zh-CN"/>
        </w:rPr>
        <w:lastRenderedPageBreak/>
        <w:t>息，且被授权人员已知晓和同意个人信息使用用途。管理人将对上述个人信息的提供承担全部责任，如违反此项承诺给托管人造成损失的，由管理人承担一切法律后果。上述个人信息将用于本合同下托管业务的需要。</w:t>
      </w:r>
    </w:p>
    <w:p w14:paraId="717905DB" w14:textId="77777777" w:rsidR="00F31CD2" w:rsidRPr="00FB03DC" w:rsidRDefault="00A71D56">
      <w:pPr>
        <w:spacing w:line="360" w:lineRule="auto"/>
        <w:ind w:firstLine="480"/>
        <w:outlineLvl w:val="1"/>
        <w:rPr>
          <w:rFonts w:ascii="仿宋" w:eastAsia="仿宋" w:hAnsi="仿宋"/>
          <w:sz w:val="24"/>
          <w:lang w:eastAsia="zh-CN"/>
        </w:rPr>
      </w:pPr>
      <w:bookmarkStart w:id="353" w:name="_Toc198731985"/>
      <w:r w:rsidRPr="00FB03DC">
        <w:rPr>
          <w:rFonts w:ascii="仿宋" w:eastAsia="仿宋" w:hAnsi="仿宋"/>
          <w:sz w:val="24"/>
          <w:lang w:eastAsia="zh-CN"/>
        </w:rPr>
        <w:t>（二）更换被授权人员等的程序</w:t>
      </w:r>
      <w:bookmarkEnd w:id="353"/>
    </w:p>
    <w:p w14:paraId="4AE2A4C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撤换被授权人员、改变被授权人员的权限、变更或新增授权传真号码、电话号码、电子邮箱的，必须提前至少一个交易日，使用传真方式或其他管理人和托管人认可的方式重新向托管人发出加盖管理人公司公章和法定代表人或授权人签章（若由授权人签署，还应附上法定代表人的授权书）的授权通知书，同时电话通知托管人。经管理人与托管人以电话方式或其他管理人和托管人认可的方式确认后，授权通知书于其载明的生效时间生效（如授权通知书上载明的生效时间早于管理人与托管人双方确认时间的，则以管理人与托管人双方确认时间为生效时间），同时原授权通知书失效。管理人在变更授权通知书之日起三个工作日内将重新出具的授权通知书的正本送交托管人。授权通知书正本内容与托管人收到的传真/邮件不一致的，以托管人收到的传真/邮件为准。托管人更换接收管理人指令的人员，应提前通知管理人。</w:t>
      </w:r>
    </w:p>
    <w:p w14:paraId="73D8812B" w14:textId="77777777" w:rsidR="00F31CD2" w:rsidRPr="00FB03DC" w:rsidRDefault="00A71D56">
      <w:pPr>
        <w:spacing w:line="360" w:lineRule="auto"/>
        <w:ind w:firstLine="480"/>
        <w:outlineLvl w:val="1"/>
        <w:rPr>
          <w:rFonts w:ascii="仿宋" w:eastAsia="仿宋" w:hAnsi="仿宋"/>
          <w:sz w:val="24"/>
          <w:lang w:eastAsia="zh-CN"/>
        </w:rPr>
      </w:pPr>
      <w:bookmarkStart w:id="354" w:name="_Toc198731986"/>
      <w:r w:rsidRPr="00FB03DC">
        <w:rPr>
          <w:rFonts w:ascii="仿宋" w:eastAsia="仿宋" w:hAnsi="仿宋"/>
          <w:sz w:val="24"/>
          <w:lang w:eastAsia="zh-CN"/>
        </w:rPr>
        <w:t>（三）指令的内容</w:t>
      </w:r>
      <w:bookmarkEnd w:id="354"/>
    </w:p>
    <w:p w14:paraId="53E039C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指令是在管理本资产管理计划时，管理人向托管人发出的交易成交单、交易指令及资金划拨类指令（下称“指令”）。指令应加盖管理人预留印鉴并由被授权人印章/签字。管理人发给托管人的资金划拨类指令应写明款项事由、时间、金额、出款和收款账户信息等。</w:t>
      </w:r>
    </w:p>
    <w:p w14:paraId="5C150AD0" w14:textId="77777777" w:rsidR="00F31CD2" w:rsidRPr="00FB03DC" w:rsidRDefault="00A71D56">
      <w:pPr>
        <w:spacing w:line="360" w:lineRule="auto"/>
        <w:ind w:firstLine="480"/>
        <w:outlineLvl w:val="1"/>
        <w:rPr>
          <w:rFonts w:ascii="仿宋" w:eastAsia="仿宋" w:hAnsi="仿宋"/>
          <w:sz w:val="24"/>
          <w:lang w:eastAsia="zh-CN"/>
        </w:rPr>
      </w:pPr>
      <w:bookmarkStart w:id="355" w:name="_Toc198731987"/>
      <w:r w:rsidRPr="00FB03DC">
        <w:rPr>
          <w:rFonts w:ascii="仿宋" w:eastAsia="仿宋" w:hAnsi="仿宋"/>
          <w:sz w:val="24"/>
          <w:lang w:eastAsia="zh-CN"/>
        </w:rPr>
        <w:t>（四）指令的发送、确认及执行的时间和程序</w:t>
      </w:r>
      <w:bookmarkEnd w:id="355"/>
    </w:p>
    <w:p w14:paraId="2E4CBC0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1、指令发送的方式</w:t>
      </w:r>
    </w:p>
    <w:p w14:paraId="50D5688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管理人选择以下的方式向托管人发送指令。如需变更指令发送方式，管理人须提前向托管人提供变更指令发送方式的书面通知书；对于在该通知书生效前管理人已经按照本合同约定发送的指令，管理人不得否定其效力。 </w:t>
      </w:r>
    </w:p>
    <w:p w14:paraId="2617C7A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（1）管理人通过深证通电子直连对接方式，向托管人发送电子划款指令或投资指令。</w:t>
      </w:r>
    </w:p>
    <w:p w14:paraId="7954205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管理人通过深证通电子直连对接方式发送电子指令的，管理人应至少在资产管理计划成立日前一日，通过授权电子邮箱或加盖预留印鉴的函件告知托管人本资产管理计划的资产代码。</w:t>
      </w:r>
    </w:p>
    <w:p w14:paraId="2B6AC54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对于管理人通过上述方式发送的指令，管理人不得否认其法律效力。</w:t>
      </w:r>
    </w:p>
    <w:p w14:paraId="3A1E72C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对于管理人无法通过上述方式发送指令的，在应急情况下，管理人可以传真/邮件发送划款指令或者快递、现场交互原件指令。具体操作方式分别按照以下第（2）、（3）款指令发送方式执行。</w:t>
      </w:r>
    </w:p>
    <w:p w14:paraId="3D263B8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（2）管理人选择以传真/邮件方式发送指令</w:t>
      </w:r>
    </w:p>
    <w:p w14:paraId="7EC6477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对于管理人通过授权传真号码/电子邮箱发出的指令，管理人不得否认其法律效力。</w:t>
      </w:r>
    </w:p>
    <w:p w14:paraId="17B16F0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特殊情况下，管理人无法使用授权传真号码/电子邮箱发送指令时，可通过非授权传真号码/电子邮箱应急发送传真指令，管理人须通过授权的电话号码通知托管人接收传真指令/邮件指令。如因管理人未通知托管人接收传真/邮件指令造成的损失，托管人不承担责任。上述特殊情况解决后，管理人如需变更授权传真号码/电子邮箱，应按照本合同关于“更换被授权人员等的程序”相关约定执行。</w:t>
      </w:r>
    </w:p>
    <w:p w14:paraId="0CFC8F7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（3）管理人快递寄送或现场交互指令原件的形式传递指令。</w:t>
      </w:r>
    </w:p>
    <w:p w14:paraId="5017DB95"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2、指令附件的发送方式</w:t>
      </w:r>
    </w:p>
    <w:p w14:paraId="3E4FD4C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向托管人发送指令的同时，通过授权传真号码或授权电子邮箱提供相关合同、交易凭证或其他证明材料。管理人对该等资料的真实性、有效性、准确性、完整性和合法合规性负责。如管理人未提供符合托管人要求的指令附件，托管人有权暂不执行该指令直至管理人提交符合托管人要求的指令附件。</w:t>
      </w:r>
    </w:p>
    <w:p w14:paraId="17A35EA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对于通过授权传真号码或授权电子邮箱发出的指令附件，管理人不得否认其效力。</w:t>
      </w:r>
    </w:p>
    <w:p w14:paraId="71728CD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3、指令发送的时间</w:t>
      </w:r>
    </w:p>
    <w:p w14:paraId="52914CE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对于新股、新债申购等网下公开发行业务，管理人应于网下申购缴款日的10:00前将指令发送给托管人。</w:t>
      </w:r>
    </w:p>
    <w:p w14:paraId="2B40E4A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对于期货出入金业务，管理人应至少于交易日期货出入金截止时间前2</w:t>
      </w:r>
      <w:r w:rsidRPr="00FB03DC">
        <w:rPr>
          <w:rFonts w:ascii="仿宋" w:eastAsia="仿宋" w:hAnsi="仿宋" w:hint="eastAsia"/>
          <w:sz w:val="24"/>
          <w:lang w:eastAsia="zh-CN"/>
        </w:rPr>
        <w:t>个工作</w:t>
      </w:r>
      <w:r w:rsidRPr="00FB03DC">
        <w:rPr>
          <w:rFonts w:ascii="仿宋" w:eastAsia="仿宋" w:hAnsi="仿宋"/>
          <w:sz w:val="24"/>
          <w:lang w:eastAsia="zh-CN"/>
        </w:rPr>
        <w:t>小时将期货出入金指令发送至托管人。正常情况下由托管人依据管理人发</w:t>
      </w:r>
      <w:r w:rsidRPr="00FB03DC">
        <w:rPr>
          <w:rFonts w:ascii="仿宋" w:eastAsia="仿宋" w:hAnsi="仿宋"/>
          <w:sz w:val="24"/>
          <w:lang w:eastAsia="zh-CN"/>
        </w:rPr>
        <w:lastRenderedPageBreak/>
        <w:t>出的出入金指令，通过期货结算银行银期转账系统进行出入金操作。当结算银行银期转账系统出现故障等其他紧急情况时，管理人可以使用非银期转账手工出入金。</w:t>
      </w:r>
    </w:p>
    <w:p w14:paraId="7390E29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非银期转账手工出入金，入金由托管人依据管理人提供的划款指令通过结算银行的系统划往期货公司指定账户后，由管理人通知期货公司进行入金操作，出金由管理人通知期货公司出金后，由期货公司处理。</w:t>
      </w:r>
    </w:p>
    <w:p w14:paraId="1851815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执行完期货出金或入金的操作后，管理人应通过其交易系统或终端系统查询出金划出情况和入金到账情况。如管理人经查询后发现问题，应立即告知托管人，双方共同核实。如管理人未及时查询或查询发现问题后未立即告知托管人，则管理人应自行承担相应不利后果，托管人不承担责任。</w:t>
      </w:r>
    </w:p>
    <w:p w14:paraId="09DCA3C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对于场内业务，首次进行场内交易前管理人应与托管人确认已完成交易单元和股东代码设置后方可进行。</w:t>
      </w:r>
    </w:p>
    <w:p w14:paraId="7083DEB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银行间业务，管理人应于交易日15:00前将银行间成交单及相关划款指令发送至托管人。管理人应与托管人确认托管人已完成证书和权限设置后方可进行本资产管理计划的银行间交易。对于向托管人出具无需银行间成交单授权书的，管理人应在首笔银行间交易时通过预留电话通知托管人，如管理人未通知托管人，导致指令未执行或执行失败的，托管人不承担责任。</w:t>
      </w:r>
    </w:p>
    <w:p w14:paraId="0E03C8A8" w14:textId="5968F12B"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对上海证券交易所认购权证行权交易，管理人应于行权日1</w:t>
      </w:r>
      <w:r w:rsidR="00C02D55" w:rsidRPr="00FB03DC">
        <w:rPr>
          <w:rFonts w:ascii="仿宋" w:eastAsia="仿宋" w:hAnsi="仿宋"/>
          <w:sz w:val="24"/>
          <w:lang w:eastAsia="zh-CN"/>
        </w:rPr>
        <w:t>4</w:t>
      </w:r>
      <w:r w:rsidRPr="00FB03DC">
        <w:rPr>
          <w:rFonts w:ascii="仿宋" w:eastAsia="仿宋" w:hAnsi="仿宋"/>
          <w:sz w:val="24"/>
          <w:lang w:eastAsia="zh-CN"/>
        </w:rPr>
        <w:t>:00前将需要交付的行权金额及费用金额书面通知托管人，托管人在16:00前支付至中国证券登记结算有限责任公司指定账户。</w:t>
      </w:r>
    </w:p>
    <w:p w14:paraId="4235951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对于指定时间出款的交易指令，管理人应提前2</w:t>
      </w:r>
      <w:r w:rsidRPr="00FB03DC">
        <w:rPr>
          <w:rFonts w:ascii="仿宋" w:eastAsia="仿宋" w:hAnsi="仿宋" w:hint="eastAsia"/>
          <w:sz w:val="24"/>
          <w:lang w:eastAsia="zh-CN"/>
        </w:rPr>
        <w:t>个工作</w:t>
      </w:r>
      <w:r w:rsidRPr="00FB03DC">
        <w:rPr>
          <w:rFonts w:ascii="仿宋" w:eastAsia="仿宋" w:hAnsi="仿宋"/>
          <w:sz w:val="24"/>
          <w:lang w:eastAsia="zh-CN"/>
        </w:rPr>
        <w:t>小时将指令发送至托管人；对于管理人于15:00以后发送至托管人的指令，托管人不保证当日出款，如出款不成功，托管人不承担责任。</w:t>
      </w:r>
    </w:p>
    <w:p w14:paraId="1CA59F2D"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4、指令的确认</w:t>
      </w:r>
    </w:p>
    <w:p w14:paraId="18D8329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管理人有义务在发送指令后使用授权电话号码与托管人进行确认，如因管理人未通知托管人接收指令造成的损失，托管人不承担责任。对于依照授权通知书发出的指令，管理人不得否认其效力。</w:t>
      </w:r>
    </w:p>
    <w:p w14:paraId="39191834"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5、指令的执行</w:t>
      </w:r>
    </w:p>
    <w:p w14:paraId="12C264D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管理人在发送指令时，应确保出款账户有足够的资金余额、文件资料齐全，并为托管人留出执行指令所必需的时间</w:t>
      </w:r>
      <w:r w:rsidRPr="00FB03DC">
        <w:rPr>
          <w:rFonts w:ascii="仿宋" w:eastAsia="仿宋" w:hAnsi="仿宋" w:hint="eastAsia"/>
          <w:sz w:val="24"/>
          <w:lang w:eastAsia="zh-CN"/>
        </w:rPr>
        <w:t>（通常为不少于2个工作小时）</w:t>
      </w:r>
      <w:r w:rsidRPr="00FB03DC">
        <w:rPr>
          <w:rFonts w:ascii="仿宋" w:eastAsia="仿宋" w:hAnsi="仿宋"/>
          <w:sz w:val="24"/>
          <w:lang w:eastAsia="zh-CN"/>
        </w:rPr>
        <w:t>，因管理人未给予合理必需的时间导致托管人操作不成功的，托管人不承担责任。</w:t>
      </w:r>
    </w:p>
    <w:p w14:paraId="46A2B5A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托管人确认收到管理人发送的指令后，应对指令进行审查，审核指令的要素（金额、收款账号、收款户名、用途）是否齐全；纸质指令还应审核印鉴和印章/签字是否和预留印鉴和签字样本表面一致性相符，纸质指令加盖的印鉴和预留印鉴形式上不存在</w:t>
      </w:r>
      <w:r w:rsidRPr="00FB03DC">
        <w:rPr>
          <w:rFonts w:ascii="仿宋" w:eastAsia="仿宋" w:hAnsi="仿宋" w:hint="eastAsia"/>
          <w:sz w:val="24"/>
          <w:lang w:eastAsia="zh-CN"/>
        </w:rPr>
        <w:t>明显</w:t>
      </w:r>
      <w:r w:rsidRPr="00FB03DC">
        <w:rPr>
          <w:rFonts w:ascii="仿宋" w:eastAsia="仿宋" w:hAnsi="仿宋"/>
          <w:sz w:val="24"/>
          <w:lang w:eastAsia="zh-CN"/>
        </w:rPr>
        <w:t>差异即视为表面一致性审查通过，对于因传真或扫描引起的印章、签字等变形、扭曲，托管人</w:t>
      </w:r>
      <w:r w:rsidRPr="00FB03DC">
        <w:rPr>
          <w:rFonts w:ascii="仿宋" w:eastAsia="仿宋" w:hAnsi="仿宋" w:hint="eastAsia"/>
          <w:sz w:val="24"/>
          <w:lang w:eastAsia="zh-CN"/>
        </w:rPr>
        <w:t>应当与管理人核实确认</w:t>
      </w:r>
      <w:r w:rsidRPr="00FB03DC">
        <w:rPr>
          <w:rFonts w:ascii="仿宋" w:eastAsia="仿宋" w:hAnsi="仿宋"/>
          <w:sz w:val="24"/>
          <w:lang w:eastAsia="zh-CN"/>
        </w:rPr>
        <w:t>。托管人仅对管理人提交的指令按照本合同约定进行审查，管理人应保证</w:t>
      </w:r>
      <w:r w:rsidRPr="00FB03DC">
        <w:rPr>
          <w:rFonts w:ascii="仿宋" w:eastAsia="仿宋" w:hAnsi="仿宋" w:hint="eastAsia"/>
          <w:sz w:val="24"/>
          <w:lang w:eastAsia="zh-CN"/>
        </w:rPr>
        <w:t>提交的其它</w:t>
      </w:r>
      <w:r w:rsidRPr="00FB03DC">
        <w:rPr>
          <w:rFonts w:ascii="仿宋" w:eastAsia="仿宋" w:hAnsi="仿宋"/>
          <w:sz w:val="24"/>
          <w:lang w:eastAsia="zh-CN"/>
        </w:rPr>
        <w:t>文件资料合法、真实、完整、准确和有效。如因管理人提供的上述文件不合法、不真实、不完整、不准确或无效而影响托管人的审核或给任何第三人带来损失，</w:t>
      </w:r>
      <w:r w:rsidRPr="00FB03DC">
        <w:rPr>
          <w:rFonts w:ascii="仿宋" w:eastAsia="仿宋" w:hAnsi="仿宋" w:hint="eastAsia"/>
          <w:sz w:val="24"/>
          <w:lang w:eastAsia="zh-CN"/>
        </w:rPr>
        <w:t>托管人已履行信义义务、勤勉尽责的不承担责任，</w:t>
      </w:r>
      <w:r w:rsidRPr="00FB03DC">
        <w:rPr>
          <w:rFonts w:ascii="仿宋" w:eastAsia="仿宋" w:hAnsi="仿宋"/>
          <w:sz w:val="24"/>
          <w:lang w:eastAsia="zh-CN"/>
        </w:rPr>
        <w:t>由管理人承担责任。</w:t>
      </w:r>
    </w:p>
    <w:p w14:paraId="6B1F16E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托管人审核指令无误后应在规定期限内及时执行。</w:t>
      </w:r>
    </w:p>
    <w:p w14:paraId="22BDF927"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6、指令的撤销</w:t>
      </w:r>
    </w:p>
    <w:p w14:paraId="6D0C1C3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 xml:space="preserve">在指令未执行的前提下，若撤销纸质指令，管理人应在原指令上注明“作废”“废”、“取消”等字样并加盖预留印鉴及被授权人印章/签字后传真给托管人，并电话通知托管人。若撤销电子指令，管理人应通过相关系统撤销，系统功能不支持撤销的，应参照撤销纸质指令方式撤销电子指令。若在托管人接收相应撤销申请前相关指令已经执行，托管人不承担任何责任，一切后果由管理人自行承担。 </w:t>
      </w:r>
    </w:p>
    <w:p w14:paraId="04A35C06" w14:textId="77777777" w:rsidR="00F31CD2" w:rsidRPr="00FB03DC" w:rsidRDefault="00A71D56">
      <w:pPr>
        <w:spacing w:line="360" w:lineRule="auto"/>
        <w:ind w:firstLine="480"/>
        <w:outlineLvl w:val="1"/>
        <w:rPr>
          <w:rFonts w:ascii="仿宋" w:eastAsia="仿宋" w:hAnsi="仿宋"/>
          <w:sz w:val="24"/>
          <w:lang w:eastAsia="zh-CN"/>
        </w:rPr>
      </w:pPr>
      <w:bookmarkStart w:id="356" w:name="_Toc198731988"/>
      <w:r w:rsidRPr="00FB03DC">
        <w:rPr>
          <w:rFonts w:ascii="仿宋" w:eastAsia="仿宋" w:hAnsi="仿宋"/>
          <w:sz w:val="24"/>
          <w:lang w:eastAsia="zh-CN"/>
        </w:rPr>
        <w:t>（五）管理人发送错误指令的情形和处理程序</w:t>
      </w:r>
      <w:bookmarkEnd w:id="356"/>
    </w:p>
    <w:p w14:paraId="0A0E175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1、管理人发送错误指令的情形包括指令发送人员无权或超越权限发送指令，指令不能辨识或要素不全导致无法执行等情形。</w:t>
      </w:r>
    </w:p>
    <w:p w14:paraId="59A2312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2、当托管人认为所接受指令为错误指令时，应及时与管理人进行电话确认，并有权暂停指令的执行，由管理人撤销指令或撤销后再重新发送指令。</w:t>
      </w:r>
    </w:p>
    <w:p w14:paraId="3E45A3FA" w14:textId="77777777" w:rsidR="00F31CD2" w:rsidRPr="00FB03DC" w:rsidRDefault="00A71D56">
      <w:pPr>
        <w:spacing w:line="360" w:lineRule="auto"/>
        <w:ind w:firstLine="480"/>
        <w:outlineLvl w:val="1"/>
        <w:rPr>
          <w:rFonts w:ascii="仿宋" w:eastAsia="仿宋" w:hAnsi="仿宋"/>
          <w:sz w:val="24"/>
          <w:lang w:eastAsia="zh-CN"/>
        </w:rPr>
      </w:pPr>
      <w:bookmarkStart w:id="357" w:name="_Toc198731989"/>
      <w:r w:rsidRPr="00FB03DC">
        <w:rPr>
          <w:rFonts w:ascii="仿宋" w:eastAsia="仿宋" w:hAnsi="仿宋"/>
          <w:sz w:val="24"/>
          <w:lang w:eastAsia="zh-CN"/>
        </w:rPr>
        <w:t>（六）管理人发送的指令有可能违反本协议约定或有关法律法规的规定的情形和处理程序</w:t>
      </w:r>
      <w:bookmarkEnd w:id="357"/>
    </w:p>
    <w:p w14:paraId="10B087BD"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托管人发现管理人发送的指令有可能违反本合同约定或有关法律法规的规定时，应暂缓执行指令，并及时通知管理人，管理人收到通知后应及时核对并纠正；如相关交易已生效，则应通知管理人在法规规定期限内及时纠正；对于托管人事前无法监督并拒绝执行的交易行为，托管人在履行了对管理人的前述通知义务后，即视为完全履行了其投资监督职责。对于管理人违反《基金法》、《管理办法》、《运作规定》、本合同或其他有关法律法规行为造成受托资产或投资者损失的，由管理人承担全部责任，托管人</w:t>
      </w:r>
      <w:r w:rsidRPr="00FB03DC">
        <w:rPr>
          <w:rFonts w:ascii="仿宋" w:eastAsia="仿宋" w:hAnsi="仿宋" w:hint="eastAsia"/>
          <w:sz w:val="24"/>
          <w:lang w:eastAsia="zh-CN"/>
        </w:rPr>
        <w:t>已履行信义义务、勤勉尽责的</w:t>
      </w:r>
      <w:r w:rsidRPr="00FB03DC">
        <w:rPr>
          <w:rFonts w:ascii="仿宋" w:eastAsia="仿宋" w:hAnsi="仿宋"/>
          <w:sz w:val="24"/>
          <w:lang w:eastAsia="zh-CN"/>
        </w:rPr>
        <w:t>免于承担责任。</w:t>
      </w:r>
    </w:p>
    <w:p w14:paraId="5F540FEF" w14:textId="77777777" w:rsidR="00F31CD2" w:rsidRPr="00FB03DC" w:rsidRDefault="00A71D56">
      <w:pPr>
        <w:spacing w:line="360" w:lineRule="auto"/>
        <w:ind w:firstLine="480"/>
        <w:outlineLvl w:val="1"/>
        <w:rPr>
          <w:rFonts w:ascii="仿宋" w:eastAsia="仿宋" w:hAnsi="仿宋"/>
          <w:sz w:val="24"/>
          <w:lang w:eastAsia="zh-CN"/>
        </w:rPr>
      </w:pPr>
      <w:bookmarkStart w:id="358" w:name="_Toc198731990"/>
      <w:r w:rsidRPr="00FB03DC">
        <w:rPr>
          <w:rFonts w:ascii="仿宋" w:eastAsia="仿宋" w:hAnsi="仿宋"/>
          <w:sz w:val="24"/>
          <w:lang w:eastAsia="zh-CN"/>
        </w:rPr>
        <w:t>（七）托管人未按照管理人指令执行的处理方法</w:t>
      </w:r>
      <w:bookmarkEnd w:id="358"/>
    </w:p>
    <w:p w14:paraId="36F43F7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管理人的有效指令和通知，除非发生本合同约定的情形，托管人不得无故拒绝或拖延执行。除因故意或过失致使本资产管理计划、管理人的利益受到损害而负直接经济损失的赔偿责任外，托管人对执行管理人的合法有效指令对资产管理计划财产以及管理人造成的损失不承担责任。</w:t>
      </w:r>
    </w:p>
    <w:p w14:paraId="53333A1A" w14:textId="77777777" w:rsidR="00F31CD2" w:rsidRPr="00FB03DC" w:rsidRDefault="00A71D56">
      <w:pPr>
        <w:spacing w:line="360" w:lineRule="auto"/>
        <w:ind w:firstLine="480"/>
        <w:outlineLvl w:val="1"/>
        <w:rPr>
          <w:rFonts w:ascii="仿宋" w:eastAsia="仿宋" w:hAnsi="仿宋"/>
          <w:sz w:val="24"/>
          <w:lang w:eastAsia="zh-CN"/>
        </w:rPr>
      </w:pPr>
      <w:bookmarkStart w:id="359" w:name="_Toc198731991"/>
      <w:r w:rsidRPr="00FB03DC">
        <w:rPr>
          <w:rFonts w:ascii="仿宋" w:eastAsia="仿宋" w:hAnsi="仿宋"/>
          <w:sz w:val="24"/>
          <w:lang w:eastAsia="zh-CN"/>
        </w:rPr>
        <w:t>（八）指令的保管</w:t>
      </w:r>
      <w:bookmarkEnd w:id="359"/>
    </w:p>
    <w:p w14:paraId="6F48E60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指令若以传真/邮件形式发出，则正本由管理人保管，托管人保管指令传真件/扫描件。当两者不一致时，以托管人收到的指令传真件/扫描件为准。</w:t>
      </w:r>
    </w:p>
    <w:p w14:paraId="5AADEB5E" w14:textId="77777777" w:rsidR="00F31CD2" w:rsidRPr="00FB03DC" w:rsidRDefault="00A71D56">
      <w:pPr>
        <w:spacing w:line="360" w:lineRule="auto"/>
        <w:ind w:firstLine="480"/>
        <w:outlineLvl w:val="1"/>
        <w:rPr>
          <w:rFonts w:ascii="仿宋" w:eastAsia="仿宋" w:hAnsi="仿宋"/>
          <w:sz w:val="24"/>
          <w:lang w:eastAsia="zh-CN"/>
        </w:rPr>
      </w:pPr>
      <w:bookmarkStart w:id="360" w:name="_Toc198731992"/>
      <w:r w:rsidRPr="00FB03DC">
        <w:rPr>
          <w:rFonts w:ascii="仿宋" w:eastAsia="仿宋" w:hAnsi="仿宋"/>
          <w:sz w:val="24"/>
          <w:lang w:eastAsia="zh-CN"/>
        </w:rPr>
        <w:t>（九）相关责任</w:t>
      </w:r>
      <w:bookmarkEnd w:id="360"/>
    </w:p>
    <w:p w14:paraId="5D2B57FA"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对于因银行托管账户没有充足资金致使管理人向托管人发出的指令未能及时清算所造成的损失，由管理人承担。因管理人原因造成的指令发送不及时、指令发送错误、未能留出足够执行时间、未能及时与托管人进行指令确认、未提供符合托管人要求的指令附件等致使资金未能及时清算或交易失败所造成的损失由管理人承担。托管人正确执行管理人发送的有效指令，资产管理计划财产发生损失的，托管人不承担任何形式的责任。在正常业务受理渠道和指令规定的时间内，因托管人故意或过失造成未能及时或正确执行合法合规的有效指令而导致资产管理计划财产受损的，托管人应承担相应的责任，但</w:t>
      </w:r>
      <w:r w:rsidRPr="00FB03DC">
        <w:rPr>
          <w:rFonts w:ascii="仿宋" w:eastAsia="仿宋" w:hAnsi="仿宋" w:hint="eastAsia"/>
          <w:sz w:val="24"/>
          <w:lang w:eastAsia="zh-CN"/>
        </w:rPr>
        <w:t>因</w:t>
      </w:r>
      <w:r w:rsidRPr="00FB03DC">
        <w:rPr>
          <w:rFonts w:ascii="仿宋" w:eastAsia="仿宋" w:hAnsi="仿宋"/>
          <w:sz w:val="24"/>
          <w:lang w:eastAsia="zh-CN"/>
        </w:rPr>
        <w:t>遇到不可抗力</w:t>
      </w:r>
      <w:r w:rsidRPr="00FB03DC">
        <w:rPr>
          <w:rFonts w:ascii="仿宋" w:eastAsia="仿宋" w:hAnsi="仿宋" w:hint="eastAsia"/>
          <w:sz w:val="24"/>
          <w:lang w:eastAsia="zh-CN"/>
        </w:rPr>
        <w:t>无法及时或正确执行的</w:t>
      </w:r>
      <w:r w:rsidRPr="00FB03DC">
        <w:rPr>
          <w:rFonts w:ascii="仿宋" w:eastAsia="仿宋" w:hAnsi="仿宋"/>
          <w:sz w:val="24"/>
          <w:lang w:eastAsia="zh-CN"/>
        </w:rPr>
        <w:t>的情况除外。</w:t>
      </w:r>
    </w:p>
    <w:p w14:paraId="62DB021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托管人根据本合同相关规定履行印鉴和签名的表面一致性形式审核职责，如果管理人的指令存在事实上未经授权、越权、欺诈、伪造、变造或未能及时提供授权通知书等情形，托管人不承担因执行有关指令或拒绝执行有关指令而</w:t>
      </w:r>
      <w:r w:rsidRPr="00FB03DC">
        <w:rPr>
          <w:rFonts w:ascii="仿宋" w:eastAsia="仿宋" w:hAnsi="仿宋"/>
          <w:sz w:val="24"/>
          <w:lang w:eastAsia="zh-CN"/>
        </w:rPr>
        <w:lastRenderedPageBreak/>
        <w:t>给管理人或资产管理计划财产或任何第三方带来的损失，相关责任由管理人承担，但托管人未按本合同约定尽审核义务执行指令而造成损失的情形除外。</w:t>
      </w:r>
      <w:bookmarkEnd w:id="349"/>
      <w:bookmarkEnd w:id="350"/>
      <w:bookmarkEnd w:id="351"/>
    </w:p>
    <w:p w14:paraId="06EAFD67" w14:textId="77777777" w:rsidR="00F31CD2" w:rsidRPr="00FB03DC" w:rsidRDefault="00F31CD2">
      <w:pPr>
        <w:spacing w:line="360" w:lineRule="auto"/>
        <w:ind w:firstLine="480"/>
        <w:rPr>
          <w:rFonts w:ascii="仿宋" w:eastAsia="仿宋" w:hAnsi="仿宋"/>
          <w:sz w:val="24"/>
          <w:lang w:eastAsia="zh-CN"/>
        </w:rPr>
      </w:pPr>
    </w:p>
    <w:p w14:paraId="000806E1" w14:textId="77777777" w:rsidR="00F31CD2" w:rsidRPr="00FB03DC" w:rsidRDefault="00F31CD2">
      <w:pPr>
        <w:spacing w:line="360" w:lineRule="auto"/>
        <w:ind w:firstLine="480"/>
        <w:rPr>
          <w:rFonts w:ascii="仿宋" w:eastAsia="仿宋" w:hAnsi="仿宋"/>
          <w:sz w:val="24"/>
          <w:lang w:eastAsia="zh-CN"/>
        </w:rPr>
      </w:pPr>
    </w:p>
    <w:p w14:paraId="4EFC8A87" w14:textId="77777777" w:rsidR="00F31CD2" w:rsidRPr="00FB03DC" w:rsidRDefault="00A71D56">
      <w:pPr>
        <w:pStyle w:val="2"/>
        <w:spacing w:before="0" w:after="0" w:line="360" w:lineRule="auto"/>
        <w:ind w:firstLine="420"/>
        <w:rPr>
          <w:rFonts w:ascii="仿宋" w:eastAsia="仿宋" w:hAnsi="仿宋"/>
          <w:lang w:eastAsia="zh-CN"/>
        </w:rPr>
      </w:pPr>
      <w:bookmarkStart w:id="361" w:name="_Toc25667"/>
      <w:bookmarkStart w:id="362" w:name="_Toc1220"/>
      <w:bookmarkStart w:id="363" w:name="_Toc159589304"/>
      <w:bookmarkStart w:id="364" w:name="_Toc2750"/>
      <w:bookmarkStart w:id="365" w:name="_Toc24339"/>
      <w:bookmarkStart w:id="366" w:name="_Toc6313423"/>
      <w:bookmarkStart w:id="367" w:name="_Toc51775874"/>
      <w:bookmarkStart w:id="368" w:name="_Toc5313"/>
      <w:bookmarkStart w:id="369" w:name="_Toc21413"/>
      <w:r w:rsidRPr="00FB03DC">
        <w:rPr>
          <w:rFonts w:ascii="仿宋" w:eastAsia="仿宋" w:hAnsi="仿宋"/>
          <w:b/>
          <w:bCs/>
          <w:lang w:eastAsia="zh-CN"/>
        </w:rPr>
        <w:br w:type="page"/>
      </w:r>
      <w:bookmarkStart w:id="370" w:name="_Toc198731993"/>
      <w:r w:rsidRPr="00FB03DC">
        <w:rPr>
          <w:rFonts w:ascii="仿宋" w:eastAsia="仿宋" w:hAnsi="仿宋"/>
          <w:b/>
          <w:bCs/>
          <w:lang w:eastAsia="zh-CN"/>
        </w:rPr>
        <w:lastRenderedPageBreak/>
        <w:t>十八、交易及交收清算安排</w:t>
      </w:r>
      <w:bookmarkEnd w:id="361"/>
      <w:bookmarkEnd w:id="362"/>
      <w:bookmarkEnd w:id="363"/>
      <w:bookmarkEnd w:id="364"/>
      <w:bookmarkEnd w:id="370"/>
    </w:p>
    <w:p w14:paraId="495B3E00"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本集合资产管理计划场内证券交易资金结算方式为：托管人结算模式。</w:t>
      </w:r>
    </w:p>
    <w:p w14:paraId="4C666F20"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（一）选择代理证券买卖的证券经营机构的程序</w:t>
      </w:r>
    </w:p>
    <w:p w14:paraId="10C1F266"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管理人负责选择代理本资产管理计划证券买卖的证券经营机构，并与其签订专用证券交易单元租用协议。管理人应及时将资产管理计划专用交易单元、佣金费率等基本信息以及变更情况以书面形式通知托管人。</w:t>
      </w:r>
    </w:p>
    <w:p w14:paraId="7B7CE960"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（二）投资交易所证券及银行间市场的清算交收受托财产场内清算交收及相关风险控制方面的职责还应按照如下要求执行。</w:t>
      </w:r>
    </w:p>
    <w:p w14:paraId="0211FC2B"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1、管理人应确保托管人在执行管理人发送的指令时，有足够的头寸进行交收。受托财产的资金头寸不足时，托管人有权拒绝管理人发送的划款指令。如由于管理人的原因导致无法按时支付证券清算款，由此造成的实际损失由管理人承担。</w:t>
      </w:r>
    </w:p>
    <w:p w14:paraId="0703AD81"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2、管理人应采取合理措施，确保在T日日终有足够的资金头寸用于T+1日中国证券登记结算有限责任公司上海分公司和深圳分公司的资金结算；如因管理人原因导致资金头寸不足，</w:t>
      </w:r>
      <w:r w:rsidRPr="00FB03DC">
        <w:rPr>
          <w:rFonts w:ascii="仿宋" w:eastAsia="仿宋" w:hAnsi="仿宋" w:hint="eastAsia"/>
          <w:sz w:val="24"/>
          <w:lang w:eastAsia="zh-CN"/>
        </w:rPr>
        <w:t>对于托管人采用固定比例最低备付金计收方式的，管理人应于T+1日11:00前补足金额，对于托管人采用差异化最低备付金比例计收方式的，管理人应最晚于T+1日8：30前补足金额，确保托管人及时完成清算交收。</w:t>
      </w:r>
      <w:r w:rsidRPr="00FB03DC">
        <w:rPr>
          <w:rFonts w:ascii="仿宋" w:eastAsia="仿宋" w:hAnsi="仿宋"/>
          <w:sz w:val="24"/>
          <w:lang w:eastAsia="zh-CN"/>
        </w:rPr>
        <w:t>如果未遵循上述规定备足资金头寸，影响受托财产的清算交收及托管人与中国证券登记结算有限责任公司之间的资金清算，由此给托管人、受托财产及托管人托管的其他资产造成的实际损失由管理人承担，并按照中国证券登记结算有限公司有关规定处理，托管人有权向管理人所在地证券监督管理部门报告。</w:t>
      </w:r>
    </w:p>
    <w:p w14:paraId="3323E3F7"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3、按照中国证券登记结算有限责任公司上海分公司/深圳分公司的清算交收规则，托管人于每月初第二个工作日调整本受托财产的证券结算保证金余额，第六个工作日调整最低备付金限额，管理人应提前一个交易日匡算最低备付金和证券结算保证金调整金额，留出足够资金头寸，以保证最低备付金和证券结算保证金的正常交收。如由于管理人的原因导致无法正常交收的，由此给托管人、受托财产及托管人托管的其他资产造成的实际损失由管理人承担。</w:t>
      </w:r>
    </w:p>
    <w:p w14:paraId="02ED4AC0"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4、受托财产参与T+0交易所非担保交收债券交易的，管理人应确保有足额</w:t>
      </w:r>
      <w:r w:rsidRPr="00FB03DC">
        <w:rPr>
          <w:rFonts w:ascii="仿宋" w:eastAsia="仿宋" w:hAnsi="仿宋"/>
          <w:sz w:val="24"/>
          <w:lang w:eastAsia="zh-CN"/>
        </w:rPr>
        <w:lastRenderedPageBreak/>
        <w:t>头寸用于上述交易，并必须于T+0日14:00之前出具有效划款指令（含不履约申报申请），并确保指令要素（包括但不限于交收金额、成交编号）与实际交收信息一致。如由管理人的原因（包括但不限于未留足头寸导致托管人不能履行交易指令、未按本合同约定按时出具有效划款指令等）导致T+0非担保交收失败，给受托财产及托管人、托管人托管的其他资产造成的实际损失，管理人应承担赔偿责任。</w:t>
      </w:r>
    </w:p>
    <w:p w14:paraId="64594BAD"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5、受托财产参与交易所债券交易和债券质押式正回购的，为有效控制场内交易的结算风险，托管人按照中国证券登记结算有限责任公司及托管人内部风控管理的要求对产品的质押券欠库、交易所债券集中度、负债率指标进行监控，发现异常的及时提示管理人，管理人应在托管人提示后一个工作日内说明情况；对于其中质押券欠库的情况，管理人应于提示次日15:00前完成补券或次日12:00前向中国结算提交现金担保品；交易所债券集中度、负债率指标异常或不符合本合同要求的，管理人应在托管人提示日起5个工作日内调整至符合托管人要求。</w:t>
      </w:r>
    </w:p>
    <w:p w14:paraId="50B91C94"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6、</w:t>
      </w:r>
      <w:r w:rsidRPr="00FB03DC">
        <w:rPr>
          <w:rFonts w:ascii="仿宋" w:eastAsia="仿宋" w:hAnsi="仿宋"/>
          <w:b/>
          <w:bCs/>
          <w:sz w:val="24"/>
          <w:lang w:eastAsia="zh-CN"/>
        </w:rPr>
        <w:t>为有效控制交易结算风险，投资者及管理人知悉并授权托管人向中国证券登记结算有限责任公司报送融资主体相关信息及用于交易资金前端控制的相关数据信息。</w:t>
      </w:r>
      <w:r w:rsidRPr="00FB03DC">
        <w:rPr>
          <w:rFonts w:ascii="仿宋" w:eastAsia="仿宋" w:hAnsi="仿宋"/>
          <w:sz w:val="24"/>
          <w:lang w:eastAsia="zh-CN"/>
        </w:rPr>
        <w:t>托管人依据与管理人核对一致的受托财产估值信息向中国证券登记结算有限责任公司报送上述数据信息。托管人按照规则报送了资金前端控制额度后，管理人因超额度导致的交易失败所造成的损失由管理人承担。</w:t>
      </w:r>
    </w:p>
    <w:p w14:paraId="688A4210" w14:textId="77777777" w:rsidR="00F31CD2" w:rsidRPr="00FB03DC" w:rsidRDefault="00A71D56">
      <w:pPr>
        <w:pStyle w:val="19"/>
        <w:spacing w:line="360" w:lineRule="auto"/>
        <w:ind w:firstLine="480"/>
        <w:rPr>
          <w:rFonts w:ascii="仿宋" w:eastAsia="仿宋" w:hAnsi="仿宋"/>
          <w:sz w:val="24"/>
          <w:lang w:eastAsia="zh-CN"/>
        </w:rPr>
      </w:pPr>
      <w:r w:rsidRPr="00FB03DC">
        <w:rPr>
          <w:rFonts w:ascii="仿宋" w:eastAsia="仿宋" w:hAnsi="仿宋"/>
          <w:sz w:val="24"/>
          <w:lang w:eastAsia="zh-CN"/>
        </w:rPr>
        <w:t>7、受托财产参与交易所债券交易和债券质押式回购的，因管理人超买、质押券欠库扣款或回购到期无法偿还等原因导致的受托财产透支，管理人应向托管人履行最终交收责任，应采取包括但不限于处置本资产管理计划其他资产。如管理人未能及时补款导致无法清算交收或托管人被动垫资的情形，托管人有权不经投资者及管理人的同意向中国证券登记结算有限责任公司申请冻结、划转或自行处置本资产管理计划所持相关证券或其他资产（包括交易所退回的结算担保金等担保资金，下同），以完成清算交收或弥补托管人因垫付资金完成交收而遭受的全部损失（包括但不限于垫资资金本金、利息、违约金及处置过程中的相关费用等）。若实施上述措施后，仍无法弥补托管人损失的，托管人有权向管理人追索，管理人应承担最终交收责任。投资者同意管理人按照托管</w:t>
      </w:r>
      <w:r w:rsidRPr="00FB03DC">
        <w:rPr>
          <w:rFonts w:ascii="仿宋" w:eastAsia="仿宋" w:hAnsi="仿宋"/>
          <w:sz w:val="24"/>
          <w:lang w:eastAsia="zh-CN"/>
        </w:rPr>
        <w:lastRenderedPageBreak/>
        <w:t>人要求配合处置相关证券，管理人不得实施有损托管人和投资者利益的行为。托管人有权通过交易所固收平台、债券担保品处置平台以及其他托管人认为合法合规的方式处置相关证券或本资产管理计划其他资产，投资者及管理人不得以处置价格不公允为由提出抗辩。对于证券或其他资产处置后所得款项，如支付至本资产管理计划托管账户的，托管人有权自行扣划以清偿其垫付的资金本金、利息、违约金及相关费用等款项而无须管理人出具任何划款指令。</w:t>
      </w:r>
    </w:p>
    <w:p w14:paraId="1B155A06" w14:textId="77777777" w:rsidR="00F31CD2" w:rsidRPr="00FB03DC" w:rsidRDefault="00F31CD2">
      <w:pPr>
        <w:spacing w:line="360" w:lineRule="auto"/>
        <w:rPr>
          <w:rFonts w:ascii="仿宋" w:eastAsia="仿宋" w:hAnsi="仿宋"/>
          <w:b/>
          <w:bCs/>
          <w:lang w:eastAsia="zh-CN"/>
        </w:rPr>
      </w:pPr>
    </w:p>
    <w:p w14:paraId="1D2B5579" w14:textId="77777777" w:rsidR="00F31CD2" w:rsidRPr="00FB03DC" w:rsidRDefault="00A71D56">
      <w:pPr>
        <w:pStyle w:val="2"/>
        <w:spacing w:before="0" w:after="0" w:line="360" w:lineRule="auto"/>
        <w:ind w:firstLine="420"/>
        <w:rPr>
          <w:rFonts w:ascii="仿宋" w:eastAsia="仿宋" w:hAnsi="仿宋"/>
          <w:b/>
          <w:bCs/>
          <w:lang w:eastAsia="zh-CN"/>
        </w:rPr>
      </w:pPr>
      <w:bookmarkStart w:id="371" w:name="_Toc2364"/>
      <w:bookmarkStart w:id="372" w:name="_Toc159589305"/>
      <w:bookmarkStart w:id="373" w:name="_Toc23246"/>
      <w:bookmarkStart w:id="374" w:name="_Toc9243"/>
      <w:r w:rsidRPr="00FB03DC">
        <w:rPr>
          <w:rFonts w:ascii="仿宋" w:eastAsia="仿宋" w:hAnsi="仿宋"/>
          <w:b/>
          <w:bCs/>
          <w:lang w:eastAsia="zh-CN"/>
        </w:rPr>
        <w:br w:type="page"/>
      </w:r>
      <w:bookmarkStart w:id="375" w:name="_Toc198731994"/>
      <w:r w:rsidRPr="00FB03DC">
        <w:rPr>
          <w:rFonts w:ascii="仿宋" w:eastAsia="仿宋" w:hAnsi="仿宋"/>
          <w:b/>
          <w:bCs/>
          <w:lang w:eastAsia="zh-CN"/>
        </w:rPr>
        <w:lastRenderedPageBreak/>
        <w:t>十九、越权交易</w:t>
      </w:r>
      <w:bookmarkEnd w:id="365"/>
      <w:bookmarkEnd w:id="366"/>
      <w:bookmarkEnd w:id="367"/>
      <w:bookmarkEnd w:id="368"/>
      <w:bookmarkEnd w:id="369"/>
      <w:bookmarkEnd w:id="371"/>
      <w:bookmarkEnd w:id="372"/>
      <w:bookmarkEnd w:id="373"/>
      <w:bookmarkEnd w:id="374"/>
      <w:bookmarkEnd w:id="375"/>
    </w:p>
    <w:p w14:paraId="227ACCC3" w14:textId="77777777" w:rsidR="00F31CD2" w:rsidRPr="00FB03DC" w:rsidRDefault="00A71D56">
      <w:pPr>
        <w:spacing w:line="360" w:lineRule="auto"/>
        <w:ind w:firstLine="420"/>
        <w:outlineLvl w:val="1"/>
        <w:rPr>
          <w:rFonts w:ascii="仿宋" w:eastAsia="仿宋" w:hAnsi="仿宋"/>
          <w:sz w:val="24"/>
          <w:lang w:eastAsia="zh-CN"/>
        </w:rPr>
      </w:pPr>
      <w:bookmarkStart w:id="376" w:name="_Toc198731995"/>
      <w:bookmarkStart w:id="377" w:name="_Toc1847"/>
      <w:bookmarkStart w:id="378" w:name="_Toc18213"/>
      <w:r w:rsidRPr="00FB03DC">
        <w:rPr>
          <w:rFonts w:ascii="仿宋" w:eastAsia="仿宋" w:hAnsi="仿宋"/>
          <w:sz w:val="24"/>
          <w:lang w:eastAsia="zh-CN"/>
        </w:rPr>
        <w:t>（一）越权交易的界定</w:t>
      </w:r>
      <w:bookmarkEnd w:id="376"/>
      <w:bookmarkEnd w:id="377"/>
      <w:bookmarkEnd w:id="378"/>
    </w:p>
    <w:p w14:paraId="5C0E2B75" w14:textId="77777777" w:rsidR="00F31CD2" w:rsidRPr="00FB03DC" w:rsidRDefault="00A71D56">
      <w:pPr>
        <w:spacing w:line="360" w:lineRule="auto"/>
        <w:ind w:firstLine="434"/>
        <w:rPr>
          <w:rFonts w:ascii="仿宋" w:eastAsia="仿宋" w:hAnsi="仿宋"/>
          <w:sz w:val="24"/>
          <w:lang w:eastAsia="zh-CN"/>
        </w:rPr>
      </w:pPr>
      <w:r w:rsidRPr="00FB03DC">
        <w:rPr>
          <w:rFonts w:ascii="仿宋" w:eastAsia="仿宋" w:hAnsi="仿宋"/>
          <w:sz w:val="24"/>
          <w:lang w:eastAsia="zh-CN"/>
        </w:rPr>
        <w:t>本合同所指越权交易是指管理人在受托投资交易过程中发生的如下行为：</w:t>
      </w:r>
    </w:p>
    <w:p w14:paraId="26A60072" w14:textId="77777777" w:rsidR="00F31CD2" w:rsidRPr="00FB03DC" w:rsidRDefault="00A71D56">
      <w:pPr>
        <w:spacing w:line="360" w:lineRule="auto"/>
        <w:ind w:firstLine="434"/>
        <w:rPr>
          <w:rFonts w:ascii="仿宋" w:eastAsia="仿宋" w:hAnsi="仿宋"/>
          <w:sz w:val="24"/>
          <w:lang w:eastAsia="zh-CN"/>
        </w:rPr>
      </w:pPr>
      <w:r w:rsidRPr="00FB03DC">
        <w:rPr>
          <w:rFonts w:ascii="仿宋" w:eastAsia="仿宋" w:hAnsi="仿宋"/>
          <w:sz w:val="24"/>
          <w:lang w:eastAsia="zh-CN"/>
        </w:rPr>
        <w:t>1、</w:t>
      </w:r>
      <w:bookmarkStart w:id="379" w:name="OLE_LINK4"/>
      <w:r w:rsidRPr="00FB03DC">
        <w:rPr>
          <w:rFonts w:ascii="仿宋" w:eastAsia="仿宋" w:hAnsi="仿宋"/>
          <w:sz w:val="24"/>
          <w:lang w:eastAsia="zh-CN"/>
        </w:rPr>
        <w:t>违反本合同第十一章资产管理计划的投资中的规定的投资交易行为</w:t>
      </w:r>
      <w:bookmarkEnd w:id="379"/>
      <w:r w:rsidRPr="00FB03DC">
        <w:rPr>
          <w:rFonts w:ascii="仿宋" w:eastAsia="仿宋" w:hAnsi="仿宋"/>
          <w:sz w:val="24"/>
          <w:lang w:eastAsia="zh-CN"/>
        </w:rPr>
        <w:t>；</w:t>
      </w:r>
    </w:p>
    <w:p w14:paraId="496BE031" w14:textId="77777777" w:rsidR="00F31CD2" w:rsidRPr="00FB03DC" w:rsidRDefault="00A71D56">
      <w:pPr>
        <w:spacing w:line="360" w:lineRule="auto"/>
        <w:ind w:firstLine="434"/>
        <w:rPr>
          <w:rFonts w:ascii="仿宋" w:eastAsia="仿宋" w:hAnsi="仿宋"/>
          <w:sz w:val="24"/>
          <w:lang w:eastAsia="zh-CN"/>
        </w:rPr>
      </w:pPr>
      <w:r w:rsidRPr="00FB03DC">
        <w:rPr>
          <w:rFonts w:ascii="仿宋" w:eastAsia="仿宋" w:hAnsi="仿宋"/>
          <w:sz w:val="24"/>
          <w:lang w:eastAsia="zh-CN"/>
        </w:rPr>
        <w:t>2、进行法律法规禁止的超买、超卖行为；</w:t>
      </w:r>
    </w:p>
    <w:p w14:paraId="4A849C48" w14:textId="77777777" w:rsidR="00F31CD2" w:rsidRPr="00FB03DC" w:rsidRDefault="00A71D56">
      <w:pPr>
        <w:spacing w:line="360" w:lineRule="auto"/>
        <w:ind w:firstLine="434"/>
        <w:rPr>
          <w:rFonts w:ascii="仿宋" w:eastAsia="仿宋" w:hAnsi="仿宋"/>
          <w:sz w:val="24"/>
          <w:lang w:eastAsia="zh-CN"/>
        </w:rPr>
      </w:pPr>
      <w:r w:rsidRPr="00FB03DC">
        <w:rPr>
          <w:rFonts w:ascii="仿宋" w:eastAsia="仿宋" w:hAnsi="仿宋"/>
          <w:sz w:val="24"/>
          <w:lang w:eastAsia="zh-CN"/>
        </w:rPr>
        <w:t>3、反向交易行为。</w:t>
      </w:r>
    </w:p>
    <w:p w14:paraId="5C6C3FE2" w14:textId="77777777" w:rsidR="00F31CD2" w:rsidRPr="00FB03DC" w:rsidRDefault="00A71D56">
      <w:pPr>
        <w:spacing w:line="360" w:lineRule="auto"/>
        <w:ind w:firstLine="420"/>
        <w:outlineLvl w:val="1"/>
        <w:rPr>
          <w:rFonts w:ascii="仿宋" w:eastAsia="仿宋" w:hAnsi="仿宋"/>
          <w:sz w:val="24"/>
          <w:lang w:eastAsia="zh-CN"/>
        </w:rPr>
      </w:pPr>
      <w:bookmarkStart w:id="380" w:name="_Toc4741"/>
      <w:bookmarkStart w:id="381" w:name="_Toc22940"/>
      <w:bookmarkStart w:id="382" w:name="_Toc198731996"/>
      <w:r w:rsidRPr="00FB03DC">
        <w:rPr>
          <w:rFonts w:ascii="仿宋" w:eastAsia="仿宋" w:hAnsi="仿宋"/>
          <w:sz w:val="24"/>
          <w:lang w:eastAsia="zh-CN"/>
        </w:rPr>
        <w:t>（二）对越权交易的处理</w:t>
      </w:r>
      <w:bookmarkEnd w:id="380"/>
      <w:bookmarkEnd w:id="381"/>
      <w:bookmarkEnd w:id="382"/>
    </w:p>
    <w:p w14:paraId="3FDBB71D" w14:textId="77777777" w:rsidR="00F31CD2" w:rsidRPr="00FB03DC" w:rsidRDefault="00A71D56">
      <w:pPr>
        <w:spacing w:line="360" w:lineRule="auto"/>
        <w:ind w:firstLine="434"/>
        <w:outlineLvl w:val="2"/>
        <w:rPr>
          <w:rFonts w:ascii="仿宋" w:eastAsia="仿宋" w:hAnsi="仿宋"/>
          <w:sz w:val="24"/>
          <w:lang w:eastAsia="zh-CN"/>
        </w:rPr>
      </w:pPr>
      <w:r w:rsidRPr="00FB03DC">
        <w:rPr>
          <w:rFonts w:ascii="仿宋" w:eastAsia="仿宋" w:hAnsi="仿宋"/>
          <w:sz w:val="24"/>
          <w:lang w:eastAsia="zh-CN"/>
        </w:rPr>
        <w:t>1、违反本合同第十一章资产管理计划的投资中的规定的投资交易行为</w:t>
      </w:r>
    </w:p>
    <w:p w14:paraId="6B0CB09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托管人发现管理人的投资运作违反法律、行政法规和其他有关规定，或者违反本合同约定时，应当</w:t>
      </w:r>
      <w:r w:rsidRPr="00FB03DC">
        <w:rPr>
          <w:rFonts w:ascii="仿宋" w:eastAsia="仿宋" w:hAnsi="仿宋" w:hint="eastAsia"/>
          <w:sz w:val="24"/>
          <w:lang w:eastAsia="zh-CN"/>
        </w:rPr>
        <w:t>及时</w:t>
      </w:r>
      <w:r w:rsidRPr="00FB03DC">
        <w:rPr>
          <w:rFonts w:ascii="仿宋" w:eastAsia="仿宋" w:hAnsi="仿宋"/>
          <w:sz w:val="24"/>
          <w:lang w:eastAsia="zh-CN"/>
        </w:rPr>
        <w:t>要求管理人在托管人指定的限期内纠正，管理人收到通知后应及时核对，并以书面形式向托管人进行解释或举证；如未能改正或造成投资者受托财产损失的，托管人有权向管理人住所地中国证监会相关派出机构报告。</w:t>
      </w:r>
    </w:p>
    <w:p w14:paraId="60DFA7FC"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在托管人指定的限期内，托管人有权随时对通知事项进行复查，督促管理人改正。管理人对托管人通知的违规事项未能在限期内纠正的，托管人有权报告管理人住所地中国证监会相关派出机构。</w:t>
      </w:r>
    </w:p>
    <w:p w14:paraId="7F3C569E" w14:textId="77777777" w:rsidR="00F31CD2" w:rsidRPr="00FB03DC" w:rsidRDefault="00A71D56">
      <w:pPr>
        <w:spacing w:line="360" w:lineRule="auto"/>
        <w:ind w:firstLine="480"/>
        <w:outlineLvl w:val="2"/>
        <w:rPr>
          <w:rFonts w:ascii="仿宋" w:eastAsia="仿宋" w:hAnsi="仿宋"/>
          <w:lang w:eastAsia="zh-CN"/>
        </w:rPr>
      </w:pPr>
      <w:r w:rsidRPr="00FB03DC">
        <w:rPr>
          <w:rFonts w:ascii="仿宋" w:eastAsia="仿宋" w:hAnsi="仿宋"/>
          <w:sz w:val="24"/>
          <w:lang w:eastAsia="zh-CN"/>
        </w:rPr>
        <w:t>2、法律法规禁止的超买、超卖行为</w:t>
      </w:r>
    </w:p>
    <w:p w14:paraId="48D3F711"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在行使监督职能时，如果发现受托财产投资证券过程中出现超买或超卖现象，应立即通知管理人，由管理人负责解决，如未能改正的，托管人应当拒绝执行，并及时向管理人住所地中国证监会相关派出机构报告，由此给受托财产造成的损失由管理人承担。如果因管理人责任发生超买，管理人必须于T+1日上午10:00前保证所需资金到位，用以完成清算交收。</w:t>
      </w:r>
    </w:p>
    <w:p w14:paraId="06BA10D6" w14:textId="77777777" w:rsidR="00F31CD2" w:rsidRPr="00FB03DC" w:rsidRDefault="00A71D56">
      <w:pPr>
        <w:spacing w:line="360" w:lineRule="auto"/>
        <w:ind w:firstLine="434"/>
        <w:outlineLvl w:val="2"/>
        <w:rPr>
          <w:rFonts w:ascii="仿宋" w:eastAsia="仿宋" w:hAnsi="仿宋"/>
          <w:sz w:val="24"/>
          <w:lang w:eastAsia="zh-CN"/>
        </w:rPr>
      </w:pPr>
      <w:r w:rsidRPr="00FB03DC">
        <w:rPr>
          <w:rFonts w:ascii="仿宋" w:eastAsia="仿宋" w:hAnsi="仿宋"/>
          <w:sz w:val="24"/>
          <w:lang w:eastAsia="zh-CN"/>
        </w:rPr>
        <w:t>3、反向交易行为</w:t>
      </w:r>
    </w:p>
    <w:p w14:paraId="2B24841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本计划不得在同一交易日内进行反向交易及其他可能导致不公平交易和利益输送的交易行为。确因投资策略或流动性等需要发生同日反向交易的，本计划投资经理应提供决策依据，并留存书面记录备查。</w:t>
      </w:r>
    </w:p>
    <w:p w14:paraId="32EB14A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越权交易所导致的损失及相关交易费用由管理人负担，管理人应按托管人、投资者发生的实际损失进行赔偿。因越权交易所发生的收益归受托财产所有。</w:t>
      </w:r>
    </w:p>
    <w:p w14:paraId="7F8354E1" w14:textId="77777777" w:rsidR="00F31CD2" w:rsidRPr="00FB03DC" w:rsidRDefault="00A71D56">
      <w:pPr>
        <w:spacing w:line="360" w:lineRule="auto"/>
        <w:ind w:firstLine="420"/>
        <w:outlineLvl w:val="1"/>
        <w:rPr>
          <w:rFonts w:ascii="仿宋" w:eastAsia="仿宋" w:hAnsi="仿宋"/>
          <w:sz w:val="24"/>
          <w:lang w:eastAsia="zh-CN"/>
        </w:rPr>
      </w:pPr>
      <w:bookmarkStart w:id="383" w:name="_Toc1426"/>
      <w:bookmarkStart w:id="384" w:name="_Toc198731997"/>
      <w:bookmarkStart w:id="385" w:name="_Toc13789"/>
      <w:r w:rsidRPr="00FB03DC">
        <w:rPr>
          <w:rFonts w:ascii="仿宋" w:eastAsia="仿宋" w:hAnsi="仿宋"/>
          <w:sz w:val="24"/>
          <w:lang w:eastAsia="zh-CN"/>
        </w:rPr>
        <w:lastRenderedPageBreak/>
        <w:t>（三）托管人对管理人投资运作的监督</w:t>
      </w:r>
      <w:bookmarkEnd w:id="383"/>
      <w:bookmarkEnd w:id="384"/>
      <w:bookmarkEnd w:id="385"/>
    </w:p>
    <w:p w14:paraId="6C5C2742" w14:textId="1122248F"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托管人根据法律法规及合同约定，于每一估值</w:t>
      </w:r>
      <w:r w:rsidR="003312AC" w:rsidRPr="00FB03DC">
        <w:rPr>
          <w:rFonts w:ascii="仿宋" w:eastAsia="仿宋" w:hAnsi="仿宋" w:hint="eastAsia"/>
          <w:sz w:val="24"/>
          <w:lang w:eastAsia="zh-CN"/>
        </w:rPr>
        <w:t>核对</w:t>
      </w:r>
      <w:r w:rsidRPr="00FB03DC">
        <w:rPr>
          <w:rFonts w:ascii="仿宋" w:eastAsia="仿宋" w:hAnsi="仿宋"/>
          <w:sz w:val="24"/>
          <w:lang w:eastAsia="zh-CN"/>
        </w:rPr>
        <w:t>日后对投资范围、投资比例、投资限制等内容进行监督。</w:t>
      </w:r>
    </w:p>
    <w:p w14:paraId="265B01F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投资监督的准确性和完整性受限于管理人及其他机构提供的数据信息，合规投资的最终责任在管理人。托管人对管理人及其他机构提供的信息的真实性、准确性、完整性和有效性不做任何担保、暗示或表示，并且对管理人及其他机构提供的信息的真实性、准确性、完整性和有效性所引起的损失不承担任何责任。</w:t>
      </w:r>
    </w:p>
    <w:p w14:paraId="0C684039"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发现管理人的投资运作违反法律、行政法规和其他有关规定，或者违反本合同时，应当拒绝执行，立即通知管理人限期纠正；托管人发现管理人依据交易程序已经生效的投资指令违反法律、行政法规或其他有关规定，或者违反本合同约定的，应当立即通知管理人限期纠正，超过期限未纠正的，托管人有权报告中国证监会相关派出机构。管理人收到通知后应及时核对或纠正，并以书面形式向托管人进行解释或举证，由此造成的损失由管理人承担。</w:t>
      </w:r>
    </w:p>
    <w:p w14:paraId="1674811C"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托管人发现管理人可能存在违反法律、行政法规和其他有关规定，或者违反本合同约定，但难以明确界定时，应立即通知管理人，通知管理人即视为托管人已经完全履行了监督和托管职责。</w:t>
      </w:r>
    </w:p>
    <w:p w14:paraId="0E89BDB5" w14:textId="77777777" w:rsidR="00F31CD2" w:rsidRPr="00FB03DC" w:rsidRDefault="00F31CD2">
      <w:pPr>
        <w:rPr>
          <w:rFonts w:ascii="仿宋" w:eastAsia="仿宋" w:hAnsi="仿宋"/>
          <w:sz w:val="24"/>
          <w:lang w:eastAsia="zh-CN"/>
        </w:rPr>
      </w:pPr>
    </w:p>
    <w:p w14:paraId="553F7483" w14:textId="77777777" w:rsidR="00F31CD2" w:rsidRPr="00FB03DC" w:rsidRDefault="00A71D56">
      <w:pPr>
        <w:pStyle w:val="2"/>
        <w:spacing w:before="0" w:after="0" w:line="360" w:lineRule="auto"/>
        <w:ind w:firstLine="643"/>
        <w:rPr>
          <w:rFonts w:ascii="仿宋" w:eastAsia="仿宋" w:hAnsi="仿宋"/>
          <w:b/>
          <w:bCs/>
          <w:lang w:eastAsia="zh-CN"/>
        </w:rPr>
      </w:pPr>
      <w:bookmarkStart w:id="386" w:name="_Toc334185937"/>
      <w:bookmarkStart w:id="387" w:name="_Toc7386"/>
      <w:bookmarkStart w:id="388" w:name="_Toc23823"/>
      <w:bookmarkStart w:id="389" w:name="_Toc16297"/>
      <w:bookmarkStart w:id="390" w:name="_Toc16333"/>
      <w:bookmarkStart w:id="391" w:name="_Toc51775875"/>
      <w:bookmarkStart w:id="392" w:name="_Toc6313424"/>
      <w:bookmarkStart w:id="393" w:name="_Toc19130"/>
      <w:bookmarkStart w:id="394" w:name="_Toc26236"/>
      <w:bookmarkStart w:id="395" w:name="_Toc159589306"/>
      <w:r w:rsidRPr="00FB03DC">
        <w:rPr>
          <w:rFonts w:ascii="仿宋" w:eastAsia="仿宋" w:hAnsi="仿宋"/>
          <w:b/>
          <w:bCs/>
          <w:lang w:eastAsia="zh-CN"/>
        </w:rPr>
        <w:br w:type="page"/>
      </w:r>
      <w:bookmarkStart w:id="396" w:name="_Toc198731998"/>
      <w:r w:rsidRPr="00FB03DC">
        <w:rPr>
          <w:rFonts w:ascii="仿宋" w:eastAsia="仿宋" w:hAnsi="仿宋"/>
          <w:b/>
          <w:bCs/>
          <w:lang w:eastAsia="zh-CN"/>
        </w:rPr>
        <w:lastRenderedPageBreak/>
        <w:t>二十、</w:t>
      </w:r>
      <w:bookmarkEnd w:id="386"/>
      <w:r w:rsidRPr="00FB03DC">
        <w:rPr>
          <w:rFonts w:ascii="仿宋" w:eastAsia="仿宋" w:hAnsi="仿宋"/>
          <w:b/>
          <w:bCs/>
          <w:lang w:eastAsia="zh-CN"/>
        </w:rPr>
        <w:t>资产管理计划财产的估值和会计核算</w:t>
      </w:r>
      <w:bookmarkEnd w:id="387"/>
      <w:bookmarkEnd w:id="388"/>
      <w:bookmarkEnd w:id="389"/>
      <w:bookmarkEnd w:id="390"/>
      <w:bookmarkEnd w:id="391"/>
      <w:bookmarkEnd w:id="392"/>
      <w:bookmarkEnd w:id="393"/>
      <w:bookmarkEnd w:id="394"/>
      <w:bookmarkEnd w:id="395"/>
      <w:bookmarkEnd w:id="396"/>
    </w:p>
    <w:p w14:paraId="7E65A26C" w14:textId="77777777" w:rsidR="00F31CD2" w:rsidRPr="00FB03DC" w:rsidRDefault="00A71D56">
      <w:pPr>
        <w:spacing w:line="360" w:lineRule="auto"/>
        <w:ind w:firstLine="480"/>
        <w:outlineLvl w:val="1"/>
        <w:rPr>
          <w:rFonts w:ascii="仿宋" w:eastAsia="仿宋" w:hAnsi="仿宋"/>
          <w:iCs/>
          <w:sz w:val="24"/>
          <w:lang w:eastAsia="zh-CN"/>
        </w:rPr>
      </w:pPr>
      <w:bookmarkStart w:id="397" w:name="_Toc25445"/>
      <w:bookmarkStart w:id="398" w:name="_Toc198731999"/>
      <w:r w:rsidRPr="00FB03DC">
        <w:rPr>
          <w:rFonts w:ascii="仿宋" w:eastAsia="仿宋" w:hAnsi="仿宋"/>
          <w:iCs/>
          <w:sz w:val="24"/>
          <w:lang w:eastAsia="zh-CN"/>
        </w:rPr>
        <w:t>（一）集合计划的估值</w:t>
      </w:r>
      <w:bookmarkEnd w:id="397"/>
      <w:bookmarkEnd w:id="398"/>
    </w:p>
    <w:p w14:paraId="1C150B76"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管理人应当制订健全、有效的估值政策和程序，并定期对其执行效果进行评估，保证集合资产管理计划估值的公平、合理。</w:t>
      </w:r>
    </w:p>
    <w:p w14:paraId="6E657C04" w14:textId="77777777" w:rsidR="00F31CD2" w:rsidRPr="00FB03DC" w:rsidRDefault="00A71D56">
      <w:pPr>
        <w:spacing w:line="360" w:lineRule="auto"/>
        <w:ind w:firstLine="480"/>
        <w:outlineLvl w:val="2"/>
        <w:rPr>
          <w:rFonts w:ascii="仿宋" w:eastAsia="仿宋" w:hAnsi="仿宋"/>
          <w:iCs/>
          <w:sz w:val="24"/>
          <w:lang w:eastAsia="zh-CN"/>
        </w:rPr>
      </w:pPr>
      <w:r w:rsidRPr="00FB03DC">
        <w:rPr>
          <w:rFonts w:ascii="仿宋" w:eastAsia="仿宋" w:hAnsi="仿宋"/>
          <w:iCs/>
          <w:sz w:val="24"/>
          <w:lang w:eastAsia="zh-CN"/>
        </w:rPr>
        <w:t>1、资产总值</w:t>
      </w:r>
    </w:p>
    <w:p w14:paraId="4653909A"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集合计划资产总值是指集合计划投资所形成的各类有价证券、银行存款本息及其他资产的价值总和。</w:t>
      </w:r>
    </w:p>
    <w:p w14:paraId="0EDF3432"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2、资产净值</w:t>
      </w:r>
    </w:p>
    <w:p w14:paraId="23E22A3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集合计划资产净值是指本集合计划资产总值减去负债后的净资产值。</w:t>
      </w:r>
    </w:p>
    <w:p w14:paraId="367B82B0"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3、份额净值</w:t>
      </w:r>
    </w:p>
    <w:p w14:paraId="3B515E93"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集合计划份额净值是指本集合计划资产净值除以计划份额。</w:t>
      </w:r>
    </w:p>
    <w:p w14:paraId="3BA5EF91"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4、估值目的</w:t>
      </w:r>
    </w:p>
    <w:p w14:paraId="67E4500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本集合计划资产估值的目的是公允、客观、准确地反映集合计划资产的价值。经集合计划资产估值后确定的集合计划份额净值，是进行信息披露、计算参与和退出集合计划的基础。</w:t>
      </w:r>
    </w:p>
    <w:p w14:paraId="3CE04D1B"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5、估值对象</w:t>
      </w:r>
    </w:p>
    <w:p w14:paraId="03FACFBE"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本集合计划依法拥有的银行存款、有价证券、应收款项、其他投资等资产及负债。</w:t>
      </w:r>
    </w:p>
    <w:p w14:paraId="480051B6"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6、估值时间</w:t>
      </w:r>
    </w:p>
    <w:p w14:paraId="4F4B9AF8" w14:textId="77777777" w:rsidR="00F31CD2" w:rsidRPr="00FB03DC" w:rsidRDefault="00A71D56">
      <w:pPr>
        <w:pBdr>
          <w:top w:val="none" w:sz="0" w:space="0" w:color="000000"/>
          <w:left w:val="none" w:sz="0" w:space="0" w:color="000000"/>
          <w:bottom w:val="none" w:sz="0" w:space="0" w:color="000000"/>
          <w:right w:val="none" w:sz="0" w:space="0" w:color="000000"/>
        </w:pBdr>
        <w:spacing w:line="420" w:lineRule="atLeast"/>
        <w:ind w:firstLine="480"/>
        <w:jc w:val="both"/>
        <w:rPr>
          <w:rFonts w:ascii="仿宋" w:eastAsia="仿宋" w:hAnsi="仿宋"/>
          <w:iCs/>
          <w:sz w:val="24"/>
          <w:lang w:eastAsia="zh-CN"/>
        </w:rPr>
      </w:pPr>
      <w:r w:rsidRPr="00FB03DC">
        <w:rPr>
          <w:rFonts w:ascii="仿宋" w:eastAsia="仿宋" w:hAnsi="仿宋"/>
          <w:iCs/>
          <w:sz w:val="24"/>
          <w:lang w:eastAsia="zh-CN"/>
        </w:rPr>
        <w:t>集合计划成立后（含成立日）的每个工作日均为本计划的估值日，管理人与托管人在每个估值日的下一个工作日对估值日的集合计划资产进行估值处理。</w:t>
      </w:r>
    </w:p>
    <w:p w14:paraId="2284EC7E"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7、估值方法</w:t>
      </w:r>
    </w:p>
    <w:p w14:paraId="607173CA"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 xml:space="preserve">估值应符合《企业会计准则》、《资产管理产品相关会计处理规定》、《指导意见》、《管理办法》、《运作规定》及其他法律、法规的规定，其中固定收益品种的估值参照基金业协会《关于固定收益品种的估值处理标准》执行，如法律法规未做明确规定的，参照行业通行做法处理。管理人、托管人的估值数据应依据合法的数据来源独立取得。 </w:t>
      </w:r>
    </w:p>
    <w:p w14:paraId="7B73FA4D"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（1）固定收益品种的估值</w:t>
      </w:r>
    </w:p>
    <w:p w14:paraId="2B5647B9"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lastRenderedPageBreak/>
        <w:t>1）已上市或已挂牌转让的不含权固定收益品种，选取第三方估值基准服务机构提供的相应品种当日的估值全价。</w:t>
      </w:r>
    </w:p>
    <w:p w14:paraId="280A3F7A"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2）已上市或已挂牌转让的含权固定收益品种，选取第三方估值基准服务机构提供的相应品种当日的唯一估值全价或推荐估值全价。</w:t>
      </w:r>
    </w:p>
    <w:p w14:paraId="2C31F8CC"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4227CE8"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3）在交易所市场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0A1E9F1C"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4）未上市或未挂牌转让且不存在活跃市场的固定收益品种，应采用在当前情况下适用并且有足够可利用数据和其他信息支持的估值技术确定其公允价值。</w:t>
      </w:r>
    </w:p>
    <w:p w14:paraId="53CAABF2"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5）</w:t>
      </w:r>
      <w:r w:rsidRPr="00FB03DC">
        <w:rPr>
          <w:rFonts w:ascii="仿宋" w:eastAsia="仿宋" w:hAnsi="仿宋"/>
          <w:iCs/>
          <w:sz w:val="24"/>
          <w:lang w:eastAsia="zh-CN"/>
        </w:rPr>
        <w:t>对于发行人已破产、发行人未能按时足额偿付本金或利息，或者有其它可靠信息表明本金或利息无法按时足额偿付的固定收益品种，管理人在与托管人协商一致后，采用第三方估值基准服务机构提供的推荐价格作为该固定收益品种投资品种的公允价值。</w:t>
      </w:r>
    </w:p>
    <w:p w14:paraId="2133344A"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6）同一证券同时在两个或两个以上市场交易的，按证券所处的市场分别估值。</w:t>
      </w:r>
    </w:p>
    <w:p w14:paraId="4469B866" w14:textId="77777777" w:rsidR="00F31CD2" w:rsidRPr="00FB03DC" w:rsidRDefault="00A71D56">
      <w:pPr>
        <w:pStyle w:val="ad"/>
        <w:ind w:firstLine="425"/>
        <w:rPr>
          <w:rFonts w:ascii="仿宋" w:eastAsia="仿宋" w:hAnsi="仿宋"/>
          <w:iCs/>
          <w:sz w:val="24"/>
          <w:szCs w:val="22"/>
          <w:lang w:eastAsia="zh-CN"/>
        </w:rPr>
      </w:pPr>
      <w:r w:rsidRPr="00FB03DC">
        <w:rPr>
          <w:rFonts w:ascii="仿宋" w:eastAsia="仿宋" w:hAnsi="仿宋"/>
          <w:iCs/>
          <w:sz w:val="24"/>
          <w:szCs w:val="22"/>
          <w:lang w:eastAsia="zh-CN"/>
        </w:rPr>
        <w:t>（2）证券投资基金的估值</w:t>
      </w:r>
    </w:p>
    <w:p w14:paraId="26D3FFC4"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1）上市流通的证券投资基金（包括上市开放式基金（LOF））按估值日其所在证券交易所的收盘价估值；估值日无交易的，以最近一个工作日的收盘价估值。如果估值日无交易，且最近工作日后经济环境发生了重大变化的，将参考监管机构或行业协会有关规定，或者类似投资品种的现行市价及重大变化因素，调整最近交易日收盘价，确定公允价值进行估值。</w:t>
      </w:r>
    </w:p>
    <w:p w14:paraId="2E07CC75"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2）持有的场外开放式基金（包括托管在场外的上市开放式基金（LOF））按估值日的基金份额净值估值；估值日基金份额净值无公布的，按此前最近交易日的基金份额净值估值。</w:t>
      </w:r>
    </w:p>
    <w:p w14:paraId="7C3B7E90"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lastRenderedPageBreak/>
        <w:t>3）持有的货币市场基金，按所投资基金前一估值日后至估值日期间（含节假日）的万份收益计提估值日基金收益。</w:t>
      </w:r>
    </w:p>
    <w:p w14:paraId="11736741"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（3</w:t>
      </w:r>
      <w:r w:rsidRPr="00FB03DC">
        <w:rPr>
          <w:rFonts w:ascii="仿宋" w:eastAsia="仿宋" w:hAnsi="仿宋" w:hint="eastAsia"/>
          <w:iCs/>
          <w:sz w:val="24"/>
          <w:szCs w:val="22"/>
          <w:lang w:eastAsia="zh-CN"/>
        </w:rPr>
        <w:t>）结构性存款的估值</w:t>
      </w:r>
    </w:p>
    <w:p w14:paraId="134CF5B8"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hint="eastAsia"/>
          <w:iCs/>
          <w:sz w:val="24"/>
          <w:szCs w:val="22"/>
          <w:lang w:eastAsia="zh-CN"/>
        </w:rPr>
        <w:t>若该资产发行人持续披露净值且管理人可以及时获取的，按照披露的估值日资产净值估值；若该资产发行人不持续披露净值或管理人无法及时持续获取披露净值的，采用披露的最近一工作日资产净值估值或采用估值技术确定公允价值。</w:t>
      </w:r>
    </w:p>
    <w:p w14:paraId="0A7B43CD"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（4）银行存款的估值</w:t>
      </w:r>
    </w:p>
    <w:p w14:paraId="35E4CC8A"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银行存款按商定的存款利率以当日银行营业终了的存款余额为基数在实际持有期间内逐日计提应收利息。</w:t>
      </w:r>
    </w:p>
    <w:p w14:paraId="2587A566"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（5）债券逆回购的估值</w:t>
      </w:r>
    </w:p>
    <w:p w14:paraId="5FE0F6AC"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逆回购交易按实际利率在实际持有期间内逐日计提利息收入。对于买断式回购融入的债券不确认为计划资产。</w:t>
      </w:r>
    </w:p>
    <w:p w14:paraId="5463FC4D"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（6）债券正回购的估值</w:t>
      </w:r>
    </w:p>
    <w:p w14:paraId="1AD2EB52"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正回购交易按实际利率在实际持有期间内逐日计提利息支出，对于买断式回购融出的债券继续确认为计划资产。</w:t>
      </w:r>
    </w:p>
    <w:p w14:paraId="289A57F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hint="eastAsia"/>
          <w:iCs/>
          <w:sz w:val="24"/>
          <w:szCs w:val="22"/>
          <w:lang w:eastAsia="zh-CN"/>
        </w:rPr>
        <w:t>（7）金融衍生品估值方法</w:t>
      </w:r>
    </w:p>
    <w:p w14:paraId="442E95B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hint="eastAsia"/>
          <w:iCs/>
          <w:sz w:val="24"/>
          <w:szCs w:val="22"/>
          <w:lang w:eastAsia="zh-CN"/>
        </w:rPr>
        <w:t>信用联结票据选取上清所提供的相应品种当日的估值全价进行估值。</w:t>
      </w:r>
    </w:p>
    <w:p w14:paraId="4A339E7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（8）如管理人或托管人发现对资产管理计划财产的估值违反本合同项下订明的估值方法、程序及相关法律法规的规定或者未能充分维护资产投资者利益时，应立即通知对方，共同查明原因，双方协商解决。</w:t>
      </w:r>
    </w:p>
    <w:p w14:paraId="39544D5F"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8、估值程序</w:t>
      </w:r>
    </w:p>
    <w:p w14:paraId="72290A2E"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（1）管理人应每工作日对集合计划资产估值。集合计划资产净值和份额净值由管理人负责计算，托管人复核。具体流程为管理人在估值日下一个工作日完成</w:t>
      </w:r>
      <w:r w:rsidRPr="00FB03DC">
        <w:rPr>
          <w:rFonts w:ascii="仿宋" w:eastAsia="仿宋" w:hAnsi="仿宋" w:hint="eastAsia"/>
          <w:iCs/>
          <w:sz w:val="24"/>
          <w:szCs w:val="22"/>
          <w:lang w:eastAsia="zh-CN"/>
        </w:rPr>
        <w:t>估值日</w:t>
      </w:r>
      <w:r w:rsidRPr="00FB03DC">
        <w:rPr>
          <w:rFonts w:ascii="仿宋" w:eastAsia="仿宋" w:hAnsi="仿宋"/>
          <w:iCs/>
          <w:sz w:val="24"/>
          <w:szCs w:val="22"/>
          <w:lang w:eastAsia="zh-CN"/>
        </w:rPr>
        <w:t>的估值处理后，将估值结果以电话、电子邮件、深证通或其他双方认可的方式发送给托管人，托管人对收到上述估值结果进行复核，并以电话、电子邮件、深证通或其他双方认可的方式将复核结果传送给管理人；如果托管人的估值结果与管理人的估值结果存在差异，且双方经协商未能达成一致，管</w:t>
      </w:r>
      <w:r w:rsidRPr="00FB03DC">
        <w:rPr>
          <w:rFonts w:ascii="仿宋" w:eastAsia="仿宋" w:hAnsi="仿宋"/>
          <w:iCs/>
          <w:sz w:val="24"/>
          <w:szCs w:val="22"/>
          <w:lang w:eastAsia="zh-CN"/>
        </w:rPr>
        <w:lastRenderedPageBreak/>
        <w:t>理人有权按照其对集合计划净值的计算结果对外予以公布，由管理人对估值结果最终确认并对估值结果负责。</w:t>
      </w:r>
    </w:p>
    <w:p w14:paraId="2B786A4B"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管理人委托华泰证券股份有限公司为本计划提供估值与核算服务。</w:t>
      </w:r>
    </w:p>
    <w:p w14:paraId="45928228"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（2）集合计划账册的对账</w:t>
      </w:r>
    </w:p>
    <w:p w14:paraId="20981A3D"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1）管理人和托管人在本集合计划成立后，应按照双方约定的同一记账方法和会计处理原则，分别独立地设置、登录和保管本集合计划的全套账册，对双方各自的账册定期进行核对，互相监督；</w:t>
      </w:r>
    </w:p>
    <w:p w14:paraId="06336A9C"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2）管理人按日编制集合计划估值表，与托管人核对账目。</w:t>
      </w:r>
    </w:p>
    <w:p w14:paraId="7D8D8AFB"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9、估值错误与遗漏的处理方式</w:t>
      </w:r>
    </w:p>
    <w:p w14:paraId="3A19B4BF"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（1）本计划份额净值的计算精确到0.0001元，小数点后第五位四舍五入。当资产估值导致本计划份额净值小数点后四位以内（含第四位）发生差错时，视为本计划份额净值错误。</w:t>
      </w:r>
    </w:p>
    <w:p w14:paraId="0737DD14"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（2）管理人和托管人应采取必要、适当、合理的措施确保本计划资产估值的准确性和及时性。当估值出现错误时，管理人应当立即予以纠正，并采取合理的措施防止损失进一步扩大。</w:t>
      </w:r>
    </w:p>
    <w:p w14:paraId="05290C01"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（3）因发生估值差错导致本计划资产或持有人损失的，由管理人负责赔偿，管理人在赔偿本计划资产或持有人后，对不应由其承担的责任，有权根据过错责任原则，向存在过错的一方追偿。</w:t>
      </w:r>
    </w:p>
    <w:p w14:paraId="12BE3DA2"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10、估值调整的情形与处理</w:t>
      </w:r>
    </w:p>
    <w:p w14:paraId="274F3D54"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（1）经管理人评估，当有充足证据表明按本合同约定的估值方法对集合计划资产及负债进行估值已不能真实公允客观反映其价值时，管理人根据具体情况，经与托管人商定后，按最能反映公允价值的方法估值。</w:t>
      </w:r>
    </w:p>
    <w:p w14:paraId="25F09250"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（2）相关法律法规、监管规则、监管机构对估值方法有强制性规定的，从其规定。如有新增事项，按法律法规、监管规则或监管机构的最新规定估值。</w:t>
      </w:r>
    </w:p>
    <w:p w14:paraId="1929D5E4"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11、暂停估值的情形</w:t>
      </w:r>
    </w:p>
    <w:p w14:paraId="74FF4299"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t>因集合计划投资所涉及的证券交易所遇法定节假日或其它原因暂停营业，或因其它任何不可抗力致使管理人无法准确评估集合计划资产价值时，可暂停估值。但估值条件恢复时，管理人必须按规定完成估值工作。</w:t>
      </w:r>
    </w:p>
    <w:p w14:paraId="7FAADF50"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12、集合计划净值的确认</w:t>
      </w:r>
    </w:p>
    <w:p w14:paraId="59460A74" w14:textId="77777777" w:rsidR="00F31CD2" w:rsidRPr="00FB03DC" w:rsidRDefault="00A71D56">
      <w:pPr>
        <w:pStyle w:val="ad"/>
        <w:rPr>
          <w:rFonts w:ascii="仿宋" w:eastAsia="仿宋" w:hAnsi="仿宋"/>
          <w:iCs/>
          <w:sz w:val="24"/>
          <w:szCs w:val="22"/>
          <w:lang w:eastAsia="zh-CN"/>
        </w:rPr>
      </w:pPr>
      <w:r w:rsidRPr="00FB03DC">
        <w:rPr>
          <w:rFonts w:ascii="仿宋" w:eastAsia="仿宋" w:hAnsi="仿宋"/>
          <w:iCs/>
          <w:sz w:val="24"/>
          <w:szCs w:val="22"/>
          <w:lang w:eastAsia="zh-CN"/>
        </w:rPr>
        <w:lastRenderedPageBreak/>
        <w:t>集合计划资产净值和份额净值由管理人负责计算，托管人复核。每个工作日日，管理人将计算的上一个工作日的估值结果以双方认可的方式发送给托管人，托管人计算复核，托管人对管理人发送的估值结果复核确认后，反馈给管理人。</w:t>
      </w:r>
    </w:p>
    <w:p w14:paraId="6F0BF0DC" w14:textId="77777777" w:rsidR="00F31CD2" w:rsidRPr="00FB03DC" w:rsidRDefault="00A71D56">
      <w:pPr>
        <w:pStyle w:val="ad"/>
        <w:outlineLvl w:val="2"/>
        <w:rPr>
          <w:rFonts w:ascii="仿宋" w:eastAsia="仿宋" w:hAnsi="仿宋"/>
          <w:iCs/>
          <w:sz w:val="24"/>
          <w:szCs w:val="22"/>
          <w:lang w:eastAsia="zh-CN"/>
        </w:rPr>
      </w:pPr>
      <w:r w:rsidRPr="00FB03DC">
        <w:rPr>
          <w:rFonts w:ascii="仿宋" w:eastAsia="仿宋" w:hAnsi="仿宋"/>
          <w:iCs/>
          <w:sz w:val="24"/>
          <w:szCs w:val="22"/>
          <w:lang w:eastAsia="zh-CN"/>
        </w:rPr>
        <w:t>13、特殊情况的处理</w:t>
      </w:r>
    </w:p>
    <w:p w14:paraId="38241744"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由于不可抗力原因，或由于证券交易所、登记结算公司等机构发送的数据错误等原因，管理人和托管人虽然已经采取必要、适当、合理的措施进行检查，但仍未能发现错误的，由此给计划资产造成损失的，本管理人和托管人可以免除赔偿责任。但管理人和托管人应当积极采取必要的措施消除由此造成的影响。</w:t>
      </w:r>
    </w:p>
    <w:p w14:paraId="5B9D628B" w14:textId="77777777" w:rsidR="00F31CD2" w:rsidRPr="00FB03DC" w:rsidRDefault="00A71D56">
      <w:pPr>
        <w:pStyle w:val="ad"/>
        <w:outlineLvl w:val="1"/>
        <w:rPr>
          <w:rFonts w:ascii="仿宋" w:eastAsia="仿宋" w:hAnsi="仿宋"/>
          <w:sz w:val="24"/>
          <w:szCs w:val="24"/>
          <w:lang w:eastAsia="zh-CN"/>
        </w:rPr>
      </w:pPr>
      <w:bookmarkStart w:id="399" w:name="_Toc22475"/>
      <w:bookmarkStart w:id="400" w:name="_Toc198732000"/>
      <w:r w:rsidRPr="00FB03DC">
        <w:rPr>
          <w:rFonts w:ascii="仿宋" w:eastAsia="仿宋" w:hAnsi="仿宋"/>
          <w:sz w:val="24"/>
          <w:szCs w:val="24"/>
          <w:lang w:eastAsia="zh-CN"/>
        </w:rPr>
        <w:t>（二）会计政策</w:t>
      </w:r>
      <w:bookmarkEnd w:id="399"/>
      <w:bookmarkEnd w:id="400"/>
    </w:p>
    <w:p w14:paraId="3FDA5C57"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1、管理人为本计划会计核算的责任主体，本计划的会计核算按国家有关会计制度执行；</w:t>
      </w:r>
    </w:p>
    <w:p w14:paraId="37155A63"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2、本计划会计年度</w:t>
      </w:r>
      <w:r w:rsidRPr="00FB03DC">
        <w:rPr>
          <w:rFonts w:ascii="仿宋" w:eastAsia="仿宋" w:hAnsi="仿宋"/>
          <w:sz w:val="24"/>
          <w:szCs w:val="22"/>
          <w:lang w:eastAsia="zh-CN"/>
        </w:rPr>
        <w:t>指公历每年1月1日至12月31日</w:t>
      </w:r>
      <w:r w:rsidRPr="00FB03DC">
        <w:rPr>
          <w:rFonts w:ascii="仿宋" w:eastAsia="仿宋" w:hAnsi="仿宋"/>
          <w:sz w:val="24"/>
          <w:szCs w:val="24"/>
          <w:lang w:eastAsia="zh-CN"/>
        </w:rPr>
        <w:t>，</w:t>
      </w:r>
      <w:r w:rsidRPr="00FB03DC">
        <w:rPr>
          <w:rFonts w:ascii="仿宋" w:eastAsia="仿宋" w:hAnsi="仿宋"/>
          <w:bCs/>
          <w:sz w:val="24"/>
          <w:lang w:eastAsia="zh-CN"/>
        </w:rPr>
        <w:t>计划成立当年的会计年度按如下原则：如果本计划成立不足3个月，可以并入下一个会计年度；</w:t>
      </w:r>
    </w:p>
    <w:p w14:paraId="49394734"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3、本计划核算以人民币为记账本位币，以人民币元为记账单位；</w:t>
      </w:r>
    </w:p>
    <w:p w14:paraId="356D7B6B"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4、本计划单独建账、单独核算；</w:t>
      </w:r>
    </w:p>
    <w:p w14:paraId="4424966E"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5、管理人及托管人各自保留完整的会计账目、凭证并进行日常的会计核算，按照有关规定编制会计报表；</w:t>
      </w:r>
    </w:p>
    <w:p w14:paraId="4AABDCA4"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6、管理人应每月定期与托管人就资产管理计划的会计核算、报表编制等进行核对并以书面或电子方式确认。</w:t>
      </w:r>
    </w:p>
    <w:p w14:paraId="3E3C61E2" w14:textId="77777777" w:rsidR="00F31CD2" w:rsidRPr="00FB03DC" w:rsidRDefault="00A71D56">
      <w:pPr>
        <w:pStyle w:val="ad"/>
        <w:outlineLvl w:val="0"/>
        <w:rPr>
          <w:rFonts w:ascii="仿宋" w:eastAsia="仿宋" w:hAnsi="仿宋"/>
          <w:b/>
          <w:bCs/>
          <w:lang w:eastAsia="zh-CN"/>
        </w:rPr>
      </w:pPr>
      <w:r w:rsidRPr="00FB03DC">
        <w:rPr>
          <w:rFonts w:ascii="仿宋" w:eastAsia="仿宋" w:hAnsi="仿宋"/>
          <w:sz w:val="24"/>
          <w:szCs w:val="24"/>
          <w:lang w:eastAsia="zh-CN"/>
        </w:rPr>
        <w:br w:type="page"/>
      </w:r>
      <w:bookmarkStart w:id="401" w:name="_Toc334185938"/>
      <w:bookmarkStart w:id="402" w:name="_Toc86390970"/>
      <w:bookmarkStart w:id="403" w:name="_Toc24233"/>
      <w:bookmarkStart w:id="404" w:name="_Toc159589307"/>
      <w:bookmarkStart w:id="405" w:name="_Toc198732001"/>
      <w:bookmarkStart w:id="406" w:name="_Toc8399"/>
      <w:bookmarkStart w:id="407" w:name="_Toc29603"/>
      <w:bookmarkStart w:id="408" w:name="_Toc51775876"/>
      <w:bookmarkStart w:id="409" w:name="_Toc6313425"/>
      <w:bookmarkStart w:id="410" w:name="_Toc28615"/>
      <w:r w:rsidRPr="00FB03DC">
        <w:rPr>
          <w:rFonts w:ascii="仿宋" w:eastAsia="仿宋" w:hAnsi="仿宋"/>
          <w:b/>
          <w:bCs/>
          <w:sz w:val="32"/>
          <w:szCs w:val="32"/>
          <w:lang w:eastAsia="zh-CN"/>
        </w:rPr>
        <w:lastRenderedPageBreak/>
        <w:t>二十一、</w:t>
      </w:r>
      <w:bookmarkEnd w:id="401"/>
      <w:bookmarkEnd w:id="402"/>
      <w:r w:rsidRPr="00FB03DC">
        <w:rPr>
          <w:rFonts w:ascii="仿宋" w:eastAsia="仿宋" w:hAnsi="仿宋"/>
          <w:b/>
          <w:bCs/>
          <w:sz w:val="32"/>
          <w:szCs w:val="32"/>
          <w:lang w:eastAsia="zh-CN"/>
        </w:rPr>
        <w:t>资产管理计划的费用与税收</w:t>
      </w:r>
      <w:bookmarkEnd w:id="403"/>
      <w:bookmarkEnd w:id="404"/>
      <w:bookmarkEnd w:id="405"/>
      <w:bookmarkEnd w:id="406"/>
      <w:bookmarkEnd w:id="407"/>
      <w:bookmarkEnd w:id="408"/>
      <w:bookmarkEnd w:id="409"/>
      <w:bookmarkEnd w:id="410"/>
    </w:p>
    <w:p w14:paraId="2D8400EE" w14:textId="77777777" w:rsidR="00F31CD2" w:rsidRPr="00FB03DC" w:rsidRDefault="00A71D56">
      <w:pPr>
        <w:tabs>
          <w:tab w:val="left" w:pos="1506"/>
        </w:tabs>
        <w:spacing w:line="360" w:lineRule="auto"/>
        <w:ind w:firstLine="480"/>
        <w:outlineLvl w:val="1"/>
        <w:rPr>
          <w:rFonts w:ascii="仿宋" w:eastAsia="仿宋" w:hAnsi="仿宋"/>
          <w:sz w:val="24"/>
          <w:lang w:eastAsia="zh-CN"/>
        </w:rPr>
      </w:pPr>
      <w:bookmarkStart w:id="411" w:name="_Toc198732002"/>
      <w:bookmarkStart w:id="412" w:name="_Toc13119"/>
      <w:r w:rsidRPr="00FB03DC">
        <w:rPr>
          <w:rFonts w:ascii="仿宋" w:eastAsia="仿宋" w:hAnsi="仿宋"/>
          <w:sz w:val="24"/>
          <w:lang w:eastAsia="zh-CN"/>
        </w:rPr>
        <w:t>（一）集合计划费用的种类</w:t>
      </w:r>
      <w:bookmarkEnd w:id="411"/>
      <w:bookmarkEnd w:id="412"/>
    </w:p>
    <w:p w14:paraId="3C247E88"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1、管理人的管理费</w:t>
      </w:r>
    </w:p>
    <w:p w14:paraId="5F16F99A"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2、管理人的业绩报酬（如有）；</w:t>
      </w:r>
    </w:p>
    <w:p w14:paraId="0F726CC1"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3、托管人的托管费；</w:t>
      </w:r>
    </w:p>
    <w:p w14:paraId="33C2D97E"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4、计划成立后与计划相关的会计师费；</w:t>
      </w:r>
    </w:p>
    <w:p w14:paraId="551E8526"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5、计划成立后与计划相关的信息披露费用、律师费、诉讼费、财产保全费、公证费、执行费、拍卖费和仲裁费等费用；</w:t>
      </w:r>
    </w:p>
    <w:p w14:paraId="0EE6DC7F"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6、计划的证券、期货、基金等交易相关费用；</w:t>
      </w:r>
    </w:p>
    <w:p w14:paraId="49A5B7DF"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7、计划的开户费用、账户维护费用、银行汇划费用；</w:t>
      </w:r>
    </w:p>
    <w:p w14:paraId="758BC7A4"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8、按照国家有关规定和《集合计划合同》约定，可以在计划财产中列支的其他费用。</w:t>
      </w:r>
    </w:p>
    <w:p w14:paraId="0E76D26C" w14:textId="77777777" w:rsidR="00F31CD2" w:rsidRPr="00FB03DC" w:rsidRDefault="00A71D56">
      <w:pPr>
        <w:tabs>
          <w:tab w:val="left" w:pos="1506"/>
        </w:tabs>
        <w:spacing w:line="360" w:lineRule="auto"/>
        <w:ind w:firstLine="480"/>
        <w:outlineLvl w:val="1"/>
        <w:rPr>
          <w:rFonts w:ascii="仿宋" w:eastAsia="仿宋" w:hAnsi="仿宋"/>
          <w:sz w:val="24"/>
          <w:lang w:eastAsia="zh-CN"/>
        </w:rPr>
      </w:pPr>
      <w:bookmarkStart w:id="413" w:name="_Toc198732003"/>
      <w:bookmarkStart w:id="414" w:name="_Toc16523"/>
      <w:r w:rsidRPr="00FB03DC">
        <w:rPr>
          <w:rFonts w:ascii="仿宋" w:eastAsia="仿宋" w:hAnsi="仿宋"/>
          <w:sz w:val="24"/>
          <w:lang w:eastAsia="zh-CN"/>
        </w:rPr>
        <w:t>（二）费用计提方法、计提标准和支付方式</w:t>
      </w:r>
      <w:bookmarkEnd w:id="413"/>
      <w:bookmarkEnd w:id="414"/>
    </w:p>
    <w:p w14:paraId="7F7325D0"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1、集合计划管理人的管理费</w:t>
      </w:r>
    </w:p>
    <w:p w14:paraId="7F7E9FAF"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本集合计划的管理费按前一日集合计划资产净值的【</w:t>
      </w:r>
      <w:r w:rsidRPr="00FB03DC">
        <w:rPr>
          <w:rFonts w:ascii="仿宋" w:eastAsia="仿宋" w:hAnsi="仿宋" w:hint="eastAsia"/>
          <w:sz w:val="24"/>
          <w:szCs w:val="24"/>
          <w:lang w:eastAsia="zh-CN"/>
        </w:rPr>
        <w:t>0.05</w:t>
      </w:r>
      <w:r w:rsidRPr="00FB03DC">
        <w:rPr>
          <w:rFonts w:ascii="仿宋" w:eastAsia="仿宋" w:hAnsi="仿宋"/>
          <w:sz w:val="24"/>
          <w:szCs w:val="24"/>
          <w:lang w:eastAsia="zh-CN"/>
        </w:rPr>
        <w:t>】%年费率计提，计算方法如下：</w:t>
      </w:r>
    </w:p>
    <w:p w14:paraId="37C0F7FB"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T ＝ E ×</w:t>
      </w:r>
      <w:r w:rsidRPr="00FB03DC">
        <w:rPr>
          <w:rFonts w:ascii="仿宋" w:eastAsia="仿宋" w:hAnsi="仿宋"/>
          <w:sz w:val="24"/>
          <w:u w:val="single"/>
          <w:lang w:eastAsia="zh-CN"/>
        </w:rPr>
        <w:t>【</w:t>
      </w:r>
      <w:r w:rsidRPr="00FB03DC">
        <w:rPr>
          <w:rFonts w:ascii="仿宋" w:eastAsia="仿宋" w:hAnsi="仿宋" w:hint="eastAsia"/>
          <w:sz w:val="24"/>
          <w:u w:val="single"/>
          <w:lang w:eastAsia="zh-CN"/>
        </w:rPr>
        <w:t>0.05</w:t>
      </w:r>
      <w:r w:rsidRPr="00FB03DC">
        <w:rPr>
          <w:rFonts w:ascii="仿宋" w:eastAsia="仿宋" w:hAnsi="仿宋"/>
          <w:sz w:val="24"/>
          <w:u w:val="single"/>
          <w:lang w:eastAsia="zh-CN"/>
        </w:rPr>
        <w:t>】</w:t>
      </w:r>
      <w:r w:rsidRPr="00FB03DC">
        <w:rPr>
          <w:rFonts w:ascii="仿宋" w:eastAsia="仿宋" w:hAnsi="仿宋"/>
          <w:sz w:val="24"/>
          <w:szCs w:val="24"/>
          <w:lang w:eastAsia="zh-CN"/>
        </w:rPr>
        <w:t>%÷当年天数</w:t>
      </w:r>
    </w:p>
    <w:p w14:paraId="00F63852"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T 为每日应计提的管理费</w:t>
      </w:r>
    </w:p>
    <w:p w14:paraId="00DB56FE"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E 为前一日集合计划资产净值</w:t>
      </w:r>
    </w:p>
    <w:p w14:paraId="79A50066"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集合计划管理费每日计提，按自然季度支付。经管理人与托管人双方核对无误后，管理人向托管人出具划款指令，在每季度前5个工作日内将上一季度计提的管理费从集合计划资产中一次性支付给管理人。若因不可抗力或持有的受托财产无法及时变现致使无法按时支付的，则在不可抗力或无法变现的情形消除后的首个工作日支付，支付的金额仍以原计提金额为准。</w:t>
      </w:r>
    </w:p>
    <w:p w14:paraId="4A0D424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管理人有权根据情况下调管理费率，并于费率下调日前至少1个工作日公告。自下调日起，管理费按照新费率执行。</w:t>
      </w:r>
    </w:p>
    <w:p w14:paraId="79B35FD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2、集合计划管理人的业绩报酬</w:t>
      </w:r>
    </w:p>
    <w:p w14:paraId="7170F66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本集合计划不涉及业绩报酬</w:t>
      </w:r>
    </w:p>
    <w:p w14:paraId="15AA915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管理费及业绩报酬收费账户信息如下：</w:t>
      </w:r>
    </w:p>
    <w:p w14:paraId="4B964CB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户名：华泰证券（上海）资产管理有限公司</w:t>
      </w:r>
    </w:p>
    <w:p w14:paraId="6009ABF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账号：448167713974</w:t>
      </w:r>
    </w:p>
    <w:p w14:paraId="6E18333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开户行：中国银行上海市中银大厦支行营业部</w:t>
      </w:r>
    </w:p>
    <w:p w14:paraId="3171E687"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3、集合计划托管人的托管费</w:t>
      </w:r>
    </w:p>
    <w:p w14:paraId="79A5943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本集合计划托管费按前一日集合计划资产净值的【0.01】%年费率计提，计算方法如下：</w:t>
      </w:r>
    </w:p>
    <w:p w14:paraId="6033231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T ＝ E ×</w:t>
      </w:r>
      <w:r w:rsidRPr="00FB03DC">
        <w:rPr>
          <w:rFonts w:ascii="仿宋" w:eastAsia="仿宋" w:hAnsi="仿宋"/>
          <w:sz w:val="24"/>
          <w:u w:val="single"/>
          <w:lang w:eastAsia="zh-CN"/>
        </w:rPr>
        <w:t>【0.01】</w:t>
      </w:r>
      <w:r w:rsidRPr="00FB03DC">
        <w:rPr>
          <w:rFonts w:ascii="仿宋" w:eastAsia="仿宋" w:hAnsi="仿宋"/>
          <w:sz w:val="24"/>
          <w:lang w:eastAsia="zh-CN"/>
        </w:rPr>
        <w:t>%÷当年天数</w:t>
      </w:r>
    </w:p>
    <w:p w14:paraId="24D737E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T 为每日应计提的集合计划托管费</w:t>
      </w:r>
    </w:p>
    <w:p w14:paraId="6F88520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E 为前一日集合计划资产净值</w:t>
      </w:r>
    </w:p>
    <w:p w14:paraId="5BBF26AA"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集合计划托管费每日计提，按自然季度支付。</w:t>
      </w:r>
      <w:r w:rsidRPr="00FB03DC">
        <w:rPr>
          <w:rFonts w:ascii="仿宋" w:eastAsia="仿宋" w:hAnsi="仿宋"/>
          <w:sz w:val="24"/>
          <w:szCs w:val="24"/>
          <w:lang w:eastAsia="zh-CN"/>
        </w:rPr>
        <w:t>经管理人与托管人双方核对无误后，管理人向托管人出具划款指令，在每季度前5个工作日内将上一季度计提的托管费从计划资产中一次性支付给托管人。若因不可抗力或持有的受托财产无法及时变现致使无法按时支付的，则在不可抗力或无法变现的情形消除后的首个工作日支付，支付的金额仍以原计提金额为准。</w:t>
      </w:r>
    </w:p>
    <w:p w14:paraId="4F3B1F0C"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托管费收费账户信息如下：</w:t>
      </w:r>
    </w:p>
    <w:p w14:paraId="2A2300A7" w14:textId="1DFDB224" w:rsidR="00F31CD2" w:rsidRPr="00FB03DC" w:rsidRDefault="00A71D56">
      <w:pPr>
        <w:snapToGrid w:val="0"/>
        <w:spacing w:line="312" w:lineRule="auto"/>
        <w:ind w:firstLine="480"/>
        <w:rPr>
          <w:rFonts w:ascii="仿宋" w:eastAsia="仿宋" w:hAnsi="仿宋"/>
          <w:sz w:val="24"/>
          <w:szCs w:val="24"/>
          <w:lang w:eastAsia="zh-CN"/>
        </w:rPr>
      </w:pPr>
      <w:r w:rsidRPr="00FB03DC">
        <w:rPr>
          <w:rFonts w:ascii="仿宋" w:eastAsia="仿宋" w:hAnsi="仿宋"/>
          <w:sz w:val="24"/>
          <w:szCs w:val="24"/>
          <w:lang w:eastAsia="zh-CN"/>
        </w:rPr>
        <w:t>账户名称：</w:t>
      </w:r>
      <w:r w:rsidRPr="00FB03DC">
        <w:rPr>
          <w:rFonts w:ascii="仿宋" w:eastAsia="仿宋" w:hAnsi="仿宋" w:hint="eastAsia"/>
          <w:sz w:val="24"/>
          <w:szCs w:val="24"/>
          <w:lang w:eastAsia="zh-CN"/>
        </w:rPr>
        <w:t>券商资管计划托管费收入</w:t>
      </w:r>
      <w:r w:rsidRPr="00FB03DC">
        <w:rPr>
          <w:rFonts w:ascii="仿宋" w:eastAsia="仿宋" w:hAnsi="仿宋"/>
          <w:sz w:val="24"/>
          <w:szCs w:val="24"/>
          <w:lang w:eastAsia="zh-CN"/>
        </w:rPr>
        <w:t xml:space="preserve"> </w:t>
      </w:r>
    </w:p>
    <w:p w14:paraId="1BDCD2B9" w14:textId="28A7BF1C" w:rsidR="00F31CD2" w:rsidRPr="00FB03DC" w:rsidRDefault="00A71D56">
      <w:pPr>
        <w:snapToGrid w:val="0"/>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开户行：</w:t>
      </w:r>
      <w:r w:rsidRPr="00FB03DC">
        <w:rPr>
          <w:rFonts w:ascii="仿宋" w:eastAsia="仿宋" w:hAnsi="仿宋" w:hint="eastAsia"/>
          <w:sz w:val="24"/>
          <w:szCs w:val="24"/>
          <w:lang w:eastAsia="zh-CN"/>
        </w:rPr>
        <w:t>中国银行北京市分行托管业务部</w:t>
      </w:r>
      <w:r w:rsidRPr="00FB03DC">
        <w:rPr>
          <w:rFonts w:ascii="仿宋" w:eastAsia="仿宋" w:hAnsi="仿宋"/>
          <w:sz w:val="24"/>
          <w:szCs w:val="24"/>
          <w:lang w:eastAsia="zh-CN"/>
        </w:rPr>
        <w:t xml:space="preserve"> </w:t>
      </w:r>
    </w:p>
    <w:p w14:paraId="018CC4B3" w14:textId="465B5935" w:rsidR="00F31CD2" w:rsidRPr="00FB03DC" w:rsidRDefault="00A71D56">
      <w:pPr>
        <w:snapToGrid w:val="0"/>
        <w:spacing w:line="312" w:lineRule="auto"/>
        <w:ind w:firstLine="480"/>
        <w:rPr>
          <w:rFonts w:ascii="仿宋" w:eastAsia="仿宋" w:hAnsi="仿宋"/>
          <w:sz w:val="24"/>
          <w:szCs w:val="24"/>
          <w:lang w:eastAsia="zh-CN"/>
        </w:rPr>
      </w:pPr>
      <w:r w:rsidRPr="00FB03DC">
        <w:rPr>
          <w:rFonts w:ascii="仿宋" w:eastAsia="仿宋" w:hAnsi="仿宋"/>
          <w:sz w:val="24"/>
          <w:szCs w:val="24"/>
          <w:lang w:eastAsia="zh-CN"/>
        </w:rPr>
        <w:t>账号：9201765681001</w:t>
      </w:r>
    </w:p>
    <w:p w14:paraId="352F88D5"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4、计划成立后与计划相关的会计师费</w:t>
      </w:r>
    </w:p>
    <w:p w14:paraId="7BA1266F" w14:textId="77777777" w:rsidR="00F31CD2" w:rsidRPr="00FB03DC" w:rsidRDefault="00A71D56">
      <w:pPr>
        <w:pStyle w:val="ad"/>
        <w:rPr>
          <w:rFonts w:ascii="仿宋" w:eastAsia="仿宋" w:hAnsi="仿宋"/>
          <w:sz w:val="24"/>
          <w:lang w:eastAsia="zh-CN"/>
        </w:rPr>
      </w:pPr>
      <w:r w:rsidRPr="00FB03DC">
        <w:rPr>
          <w:rFonts w:ascii="仿宋" w:eastAsia="仿宋" w:hAnsi="仿宋"/>
          <w:sz w:val="24"/>
          <w:lang w:eastAsia="zh-CN"/>
        </w:rPr>
        <w:t>本集合计划的年度财务会计报告审计费，按与会计师事务签定协议所规定的金额，在被审计会计期间，按直线法在每个自然日内平均摊销。</w:t>
      </w:r>
    </w:p>
    <w:p w14:paraId="704C6AB8"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lang w:eastAsia="zh-CN"/>
        </w:rPr>
        <w:t>5</w:t>
      </w:r>
      <w:r w:rsidRPr="00FB03DC">
        <w:rPr>
          <w:rFonts w:ascii="仿宋" w:eastAsia="仿宋" w:hAnsi="仿宋"/>
          <w:sz w:val="24"/>
          <w:szCs w:val="24"/>
          <w:lang w:eastAsia="zh-CN"/>
        </w:rPr>
        <w:t>、上述“一、集合计划费用的种类”中的第5-8项费用，根据有关法规及相应协议规定，按费用实际支出金额通过一次计入或摊销方式列入当期费用。</w:t>
      </w:r>
    </w:p>
    <w:p w14:paraId="3EA6F6C7" w14:textId="77777777" w:rsidR="00F31CD2" w:rsidRPr="00FB03DC" w:rsidRDefault="00A71D56">
      <w:pPr>
        <w:pStyle w:val="ad"/>
        <w:outlineLvl w:val="1"/>
        <w:rPr>
          <w:rFonts w:ascii="仿宋" w:eastAsia="仿宋" w:hAnsi="仿宋"/>
          <w:sz w:val="24"/>
          <w:szCs w:val="24"/>
          <w:lang w:eastAsia="zh-CN"/>
        </w:rPr>
      </w:pPr>
      <w:bookmarkStart w:id="415" w:name="_Toc32235"/>
      <w:bookmarkStart w:id="416" w:name="_Toc198732004"/>
      <w:r w:rsidRPr="00FB03DC">
        <w:rPr>
          <w:rFonts w:ascii="仿宋" w:eastAsia="仿宋" w:hAnsi="仿宋"/>
          <w:sz w:val="24"/>
          <w:szCs w:val="24"/>
          <w:lang w:eastAsia="zh-CN"/>
        </w:rPr>
        <w:t>（三）不列入集合计划费用的项目</w:t>
      </w:r>
      <w:bookmarkEnd w:id="415"/>
      <w:bookmarkEnd w:id="416"/>
    </w:p>
    <w:p w14:paraId="2655F35B"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计划成立前以及初始募集期发生的信息披露费、会计师费、律师费等相关费用以及存续期间发生的与销售有关的费用，不得列入计划费用。</w:t>
      </w:r>
    </w:p>
    <w:p w14:paraId="4A65B357"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szCs w:val="24"/>
          <w:lang w:eastAsia="zh-CN"/>
        </w:rPr>
        <w:t>集合计划管理人和集合计划托管人因未履行或未完全履行义务导致的费用支出或集合计划资产的损失，以及处理与集合计划运作无关的事项或者不合理事项所发生的费用等不列入集合计划费用。</w:t>
      </w:r>
    </w:p>
    <w:p w14:paraId="3A9DDCCF" w14:textId="77777777" w:rsidR="00F31CD2" w:rsidRPr="00FB03DC" w:rsidRDefault="00A71D56">
      <w:pPr>
        <w:pStyle w:val="ad"/>
        <w:outlineLvl w:val="1"/>
        <w:rPr>
          <w:rFonts w:ascii="仿宋" w:eastAsia="仿宋" w:hAnsi="仿宋"/>
          <w:sz w:val="24"/>
          <w:lang w:eastAsia="zh-CN"/>
        </w:rPr>
      </w:pPr>
      <w:bookmarkStart w:id="417" w:name="_Toc17072"/>
      <w:bookmarkStart w:id="418" w:name="_Toc198732005"/>
      <w:r w:rsidRPr="00FB03DC">
        <w:rPr>
          <w:rFonts w:ascii="仿宋" w:eastAsia="仿宋" w:hAnsi="仿宋"/>
          <w:sz w:val="24"/>
          <w:lang w:eastAsia="zh-CN"/>
        </w:rPr>
        <w:t>（四）集合计划的税收</w:t>
      </w:r>
      <w:bookmarkEnd w:id="417"/>
      <w:bookmarkEnd w:id="418"/>
    </w:p>
    <w:p w14:paraId="552CC09F" w14:textId="77777777" w:rsidR="00F31CD2" w:rsidRPr="00FB03DC" w:rsidRDefault="00A71D56">
      <w:pPr>
        <w:pStyle w:val="ad"/>
        <w:rPr>
          <w:rFonts w:ascii="仿宋" w:eastAsia="仿宋" w:hAnsi="仿宋"/>
          <w:sz w:val="24"/>
          <w:szCs w:val="24"/>
          <w:lang w:eastAsia="zh-CN"/>
        </w:rPr>
      </w:pPr>
      <w:r w:rsidRPr="00FB03DC">
        <w:rPr>
          <w:rFonts w:ascii="仿宋" w:eastAsia="仿宋" w:hAnsi="仿宋"/>
          <w:sz w:val="24"/>
          <w:lang w:eastAsia="zh-CN"/>
        </w:rPr>
        <w:lastRenderedPageBreak/>
        <w:t>本集合计划运作过程中涉及的各纳税主体，其纳税义务按国家税收法律法规执行。本集合计划运作过程中应当依法</w:t>
      </w:r>
      <w:r w:rsidRPr="00FB03DC">
        <w:rPr>
          <w:rFonts w:ascii="仿宋" w:eastAsia="仿宋" w:hAnsi="仿宋"/>
          <w:sz w:val="24"/>
          <w:szCs w:val="24"/>
          <w:lang w:eastAsia="zh-CN"/>
        </w:rPr>
        <w:t>承担</w:t>
      </w:r>
      <w:r w:rsidRPr="00FB03DC">
        <w:rPr>
          <w:rFonts w:ascii="仿宋" w:eastAsia="仿宋" w:hAnsi="仿宋"/>
          <w:sz w:val="24"/>
          <w:lang w:eastAsia="zh-CN"/>
        </w:rPr>
        <w:t>包括增值税在内的法定纳税义务。各方一致同意，根据国家法律法规、部门规章和其他规范性文件，如果本集合计划的运营过程中产生增值税等应税行为，</w:t>
      </w:r>
      <w:r w:rsidRPr="00FB03DC">
        <w:rPr>
          <w:rFonts w:ascii="仿宋" w:eastAsia="仿宋" w:hAnsi="仿宋" w:hint="eastAsia"/>
          <w:sz w:val="24"/>
          <w:lang w:eastAsia="zh-CN"/>
        </w:rPr>
        <w:t>依照有关法律法规本计划应当</w:t>
      </w:r>
      <w:r w:rsidRPr="00FB03DC">
        <w:rPr>
          <w:rFonts w:ascii="仿宋" w:eastAsia="仿宋" w:hAnsi="仿宋"/>
          <w:sz w:val="24"/>
          <w:lang w:eastAsia="zh-CN"/>
        </w:rPr>
        <w:t>缴纳增值税等税费的，管理人有权从集合计划资产中提取与应承担税费等额的费用。具体提取时间及提取金额参考相关税费征缴情况由管理人确定，托管人根据管理人划款指令从集合计划资产中支付给管理人。管理人有义务与所在地方税务机关保持联系和沟通，确认相关纳税品种和相关计算方式。产品成立后管理人须及时向托管人提供增值税相关税率方案和参数方案。</w:t>
      </w:r>
    </w:p>
    <w:p w14:paraId="30E68248" w14:textId="77777777" w:rsidR="00F31CD2" w:rsidRPr="00FB03DC" w:rsidRDefault="00F31CD2">
      <w:pPr>
        <w:pStyle w:val="ad"/>
        <w:ind w:firstLine="425"/>
        <w:rPr>
          <w:rFonts w:ascii="仿宋" w:eastAsia="仿宋" w:hAnsi="仿宋"/>
          <w:sz w:val="24"/>
          <w:szCs w:val="24"/>
          <w:lang w:eastAsia="zh-CN"/>
        </w:rPr>
      </w:pPr>
    </w:p>
    <w:p w14:paraId="1620DAED" w14:textId="77777777" w:rsidR="00F31CD2" w:rsidRPr="00FB03DC" w:rsidRDefault="00F31CD2">
      <w:pPr>
        <w:rPr>
          <w:rFonts w:ascii="仿宋" w:eastAsia="仿宋" w:hAnsi="仿宋"/>
          <w:sz w:val="24"/>
          <w:szCs w:val="24"/>
          <w:lang w:eastAsia="zh-CN"/>
        </w:rPr>
      </w:pPr>
    </w:p>
    <w:p w14:paraId="057B769D" w14:textId="77777777" w:rsidR="00F31CD2" w:rsidRPr="00FB03DC" w:rsidRDefault="00A71D56">
      <w:pPr>
        <w:pStyle w:val="2"/>
        <w:spacing w:before="0" w:after="0" w:line="360" w:lineRule="auto"/>
        <w:ind w:firstLine="420"/>
        <w:rPr>
          <w:rFonts w:ascii="仿宋" w:eastAsia="仿宋" w:hAnsi="仿宋"/>
          <w:b/>
          <w:bCs/>
          <w:lang w:eastAsia="zh-CN"/>
        </w:rPr>
      </w:pPr>
      <w:bookmarkStart w:id="419" w:name="_Toc86390971"/>
      <w:bookmarkStart w:id="420" w:name="_Toc334185939"/>
      <w:bookmarkStart w:id="421" w:name="_Toc159589308"/>
      <w:bookmarkStart w:id="422" w:name="_Toc24121"/>
      <w:bookmarkStart w:id="423" w:name="_Toc14558"/>
      <w:bookmarkStart w:id="424" w:name="_Toc4409"/>
      <w:bookmarkStart w:id="425" w:name="_Toc8613"/>
      <w:bookmarkStart w:id="426" w:name="_Toc51775877"/>
      <w:bookmarkStart w:id="427" w:name="_Toc6313426"/>
      <w:bookmarkStart w:id="428" w:name="_Toc19208"/>
      <w:bookmarkStart w:id="429" w:name="_Toc14239"/>
      <w:r w:rsidRPr="00FB03DC">
        <w:rPr>
          <w:rFonts w:ascii="仿宋" w:eastAsia="仿宋" w:hAnsi="仿宋"/>
          <w:b/>
          <w:bCs/>
          <w:lang w:eastAsia="zh-CN"/>
        </w:rPr>
        <w:br w:type="page"/>
      </w:r>
      <w:bookmarkStart w:id="430" w:name="_Toc198732006"/>
      <w:r w:rsidRPr="00FB03DC">
        <w:rPr>
          <w:rFonts w:ascii="仿宋" w:eastAsia="仿宋" w:hAnsi="仿宋"/>
          <w:b/>
          <w:bCs/>
          <w:lang w:eastAsia="zh-CN"/>
        </w:rPr>
        <w:lastRenderedPageBreak/>
        <w:t>二十二、</w:t>
      </w:r>
      <w:bookmarkEnd w:id="419"/>
      <w:bookmarkEnd w:id="420"/>
      <w:r w:rsidRPr="00FB03DC">
        <w:rPr>
          <w:rFonts w:ascii="仿宋" w:eastAsia="仿宋" w:hAnsi="仿宋"/>
          <w:b/>
          <w:bCs/>
          <w:lang w:eastAsia="zh-CN"/>
        </w:rPr>
        <w:t>资产管理计划的收益分配</w:t>
      </w:r>
      <w:bookmarkEnd w:id="421"/>
      <w:bookmarkEnd w:id="422"/>
      <w:bookmarkEnd w:id="423"/>
      <w:bookmarkEnd w:id="424"/>
      <w:bookmarkEnd w:id="425"/>
      <w:bookmarkEnd w:id="426"/>
      <w:bookmarkEnd w:id="427"/>
      <w:bookmarkEnd w:id="428"/>
      <w:bookmarkEnd w:id="429"/>
      <w:bookmarkEnd w:id="430"/>
    </w:p>
    <w:p w14:paraId="6C822792" w14:textId="77777777" w:rsidR="00F31CD2" w:rsidRPr="00FB03DC" w:rsidRDefault="00A71D56">
      <w:pPr>
        <w:spacing w:line="360" w:lineRule="auto"/>
        <w:ind w:firstLine="420"/>
        <w:outlineLvl w:val="1"/>
        <w:rPr>
          <w:rFonts w:ascii="仿宋" w:eastAsia="仿宋" w:hAnsi="仿宋"/>
          <w:sz w:val="24"/>
          <w:lang w:eastAsia="zh-CN"/>
        </w:rPr>
      </w:pPr>
      <w:bookmarkStart w:id="431" w:name="_Toc198732007"/>
      <w:bookmarkStart w:id="432" w:name="_Toc8518"/>
      <w:bookmarkStart w:id="433" w:name="_Toc17737"/>
      <w:r w:rsidRPr="00FB03DC">
        <w:rPr>
          <w:rFonts w:ascii="仿宋" w:eastAsia="仿宋" w:hAnsi="仿宋"/>
          <w:sz w:val="24"/>
          <w:lang w:eastAsia="zh-CN"/>
        </w:rPr>
        <w:t>（一）计划利润的构成</w:t>
      </w:r>
      <w:bookmarkEnd w:id="431"/>
      <w:bookmarkEnd w:id="432"/>
      <w:bookmarkEnd w:id="433"/>
    </w:p>
    <w:p w14:paraId="5834F144" w14:textId="77777777" w:rsidR="00F31CD2" w:rsidRPr="00FB03DC" w:rsidRDefault="00A71D56">
      <w:pPr>
        <w:spacing w:line="360" w:lineRule="auto"/>
        <w:ind w:firstLine="420"/>
        <w:rPr>
          <w:rFonts w:ascii="仿宋" w:eastAsia="仿宋" w:hAnsi="仿宋"/>
          <w:iCs/>
          <w:sz w:val="24"/>
          <w:lang w:eastAsia="zh-CN"/>
        </w:rPr>
      </w:pPr>
      <w:r w:rsidRPr="00FB03DC">
        <w:rPr>
          <w:rFonts w:ascii="仿宋" w:eastAsia="仿宋" w:hAnsi="仿宋"/>
          <w:sz w:val="24"/>
          <w:lang w:eastAsia="zh-CN"/>
        </w:rPr>
        <w:t xml:space="preserve">计划利润指计划利息收入、投资收益、公允价值变动收益和其他收入扣除相关费用后的余额，计划已实现收益指计划利润减去公允价值变动收益后的余额。                                        </w:t>
      </w:r>
    </w:p>
    <w:p w14:paraId="0218A6D5" w14:textId="77777777" w:rsidR="00F31CD2" w:rsidRPr="00FB03DC" w:rsidRDefault="00A71D56">
      <w:pPr>
        <w:spacing w:line="360" w:lineRule="auto"/>
        <w:ind w:firstLine="420"/>
        <w:outlineLvl w:val="1"/>
        <w:rPr>
          <w:rFonts w:ascii="仿宋" w:eastAsia="仿宋" w:hAnsi="仿宋"/>
          <w:sz w:val="24"/>
          <w:lang w:eastAsia="zh-CN"/>
        </w:rPr>
      </w:pPr>
      <w:bookmarkStart w:id="434" w:name="_Toc5223"/>
      <w:bookmarkStart w:id="435" w:name="_Toc198732008"/>
      <w:bookmarkStart w:id="436" w:name="_Toc3086"/>
      <w:r w:rsidRPr="00FB03DC">
        <w:rPr>
          <w:rFonts w:ascii="仿宋" w:eastAsia="仿宋" w:hAnsi="仿宋"/>
          <w:sz w:val="24"/>
          <w:lang w:eastAsia="zh-CN"/>
        </w:rPr>
        <w:t>（二）可供分配利润</w:t>
      </w:r>
      <w:bookmarkEnd w:id="434"/>
      <w:r w:rsidRPr="00FB03DC">
        <w:rPr>
          <w:rFonts w:ascii="仿宋" w:eastAsia="仿宋" w:hAnsi="仿宋"/>
          <w:sz w:val="24"/>
          <w:lang w:eastAsia="zh-CN"/>
        </w:rPr>
        <w:t>的构成</w:t>
      </w:r>
      <w:bookmarkEnd w:id="435"/>
      <w:bookmarkEnd w:id="436"/>
    </w:p>
    <w:p w14:paraId="06C4E6CA" w14:textId="77777777" w:rsidR="00F31CD2" w:rsidRPr="00FB03DC" w:rsidRDefault="00A71D56">
      <w:pPr>
        <w:spacing w:line="360" w:lineRule="auto"/>
        <w:ind w:firstLine="425"/>
        <w:rPr>
          <w:rFonts w:ascii="仿宋" w:eastAsia="仿宋" w:hAnsi="仿宋"/>
          <w:color w:val="000000"/>
          <w:sz w:val="24"/>
          <w:lang w:eastAsia="zh-CN"/>
        </w:rPr>
      </w:pPr>
      <w:r w:rsidRPr="00FB03DC">
        <w:rPr>
          <w:rFonts w:ascii="仿宋" w:eastAsia="仿宋" w:hAnsi="仿宋"/>
          <w:sz w:val="24"/>
          <w:lang w:eastAsia="zh-CN"/>
        </w:rPr>
        <w:t>计划可供分配利润指截至收益分配基准日计划未分配利润与未分配利润中已实现收益的孰低数。</w:t>
      </w:r>
    </w:p>
    <w:p w14:paraId="4AD689B5" w14:textId="77777777" w:rsidR="00F31CD2" w:rsidRPr="00FB03DC" w:rsidRDefault="00A71D56">
      <w:pPr>
        <w:spacing w:line="360" w:lineRule="auto"/>
        <w:ind w:firstLine="420"/>
        <w:outlineLvl w:val="1"/>
        <w:rPr>
          <w:rFonts w:ascii="仿宋" w:eastAsia="仿宋" w:hAnsi="仿宋"/>
          <w:sz w:val="24"/>
          <w:lang w:eastAsia="zh-CN"/>
        </w:rPr>
      </w:pPr>
      <w:bookmarkStart w:id="437" w:name="_Toc198732009"/>
      <w:bookmarkStart w:id="438" w:name="_Toc15121"/>
      <w:bookmarkStart w:id="439" w:name="_Toc20085"/>
      <w:r w:rsidRPr="00FB03DC">
        <w:rPr>
          <w:rFonts w:ascii="仿宋" w:eastAsia="仿宋" w:hAnsi="仿宋"/>
          <w:sz w:val="24"/>
          <w:lang w:eastAsia="zh-CN"/>
        </w:rPr>
        <w:t>（三）收益分配原则</w:t>
      </w:r>
      <w:bookmarkEnd w:id="437"/>
      <w:bookmarkEnd w:id="438"/>
      <w:bookmarkEnd w:id="439"/>
    </w:p>
    <w:p w14:paraId="236DC9AD"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1、在符合收益分配原则的前提下，计划管理人每1年进行最多 1次收益的分配；</w:t>
      </w:r>
    </w:p>
    <w:p w14:paraId="45DEAFBD"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2、计划收益分配基准日的份额净值减去每单位份额收益分配金额后不能低于面值；</w:t>
      </w:r>
    </w:p>
    <w:p w14:paraId="0B08C0DA"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3、每一计划份额享有同等分配权；</w:t>
      </w:r>
    </w:p>
    <w:p w14:paraId="69DB20D7" w14:textId="77777777" w:rsidR="00F31CD2" w:rsidRPr="00FB03DC" w:rsidRDefault="00A71D56">
      <w:pPr>
        <w:spacing w:line="360" w:lineRule="auto"/>
        <w:ind w:firstLine="426"/>
        <w:rPr>
          <w:rStyle w:val="aff9"/>
          <w:rFonts w:ascii="仿宋" w:eastAsia="仿宋" w:hAnsi="仿宋"/>
          <w:lang w:eastAsia="zh-CN"/>
        </w:rPr>
      </w:pPr>
      <w:r w:rsidRPr="00FB03DC">
        <w:rPr>
          <w:rFonts w:ascii="仿宋" w:eastAsia="仿宋" w:hAnsi="仿宋"/>
          <w:iCs/>
          <w:sz w:val="24"/>
          <w:lang w:eastAsia="zh-CN"/>
        </w:rPr>
        <w:t>4、每次收益分配不得低于基准日可供分配收益的10</w:t>
      </w:r>
      <w:r w:rsidRPr="00FB03DC">
        <w:rPr>
          <w:rFonts w:ascii="仿宋" w:eastAsia="仿宋" w:hAnsi="仿宋"/>
          <w:sz w:val="24"/>
          <w:szCs w:val="24"/>
          <w:lang w:eastAsia="zh-CN"/>
        </w:rPr>
        <w:t>%；</w:t>
      </w:r>
    </w:p>
    <w:p w14:paraId="1687DA69"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5、本计划收益分配方式分两种：现金分红与红利再投资；</w:t>
      </w:r>
    </w:p>
    <w:p w14:paraId="74D29CBF"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6、法律法规另有规定的从其规定。</w:t>
      </w:r>
    </w:p>
    <w:p w14:paraId="4ED44AD7" w14:textId="77777777" w:rsidR="00F31CD2" w:rsidRPr="00FB03DC" w:rsidRDefault="00A71D56">
      <w:pPr>
        <w:spacing w:line="360" w:lineRule="auto"/>
        <w:ind w:firstLine="426"/>
        <w:rPr>
          <w:rFonts w:ascii="仿宋" w:eastAsia="仿宋" w:hAnsi="仿宋"/>
          <w:iCs/>
          <w:sz w:val="24"/>
          <w:lang w:eastAsia="zh-CN"/>
        </w:rPr>
      </w:pPr>
      <w:r w:rsidRPr="00FB03DC">
        <w:rPr>
          <w:rFonts w:ascii="仿宋" w:eastAsia="仿宋" w:hAnsi="仿宋"/>
          <w:iCs/>
          <w:sz w:val="24"/>
          <w:lang w:eastAsia="zh-CN"/>
        </w:rPr>
        <w:t>在符合法律法规和集合计划合同约定，并对计划份额持有人利益无实质不利影响的前提下，管理人在与托管人协商一致后可对收益分配原则进行调整，并在管理人网站上公告</w:t>
      </w:r>
      <w:r w:rsidRPr="00FB03DC">
        <w:rPr>
          <w:rFonts w:ascii="仿宋" w:eastAsia="仿宋" w:hAnsi="仿宋" w:hint="eastAsia"/>
          <w:iCs/>
          <w:sz w:val="24"/>
          <w:lang w:eastAsia="zh-CN"/>
        </w:rPr>
        <w:t>及以邮件形式通知客户</w:t>
      </w:r>
      <w:r w:rsidRPr="00FB03DC">
        <w:rPr>
          <w:rFonts w:ascii="仿宋" w:eastAsia="仿宋" w:hAnsi="仿宋"/>
          <w:iCs/>
          <w:sz w:val="24"/>
          <w:lang w:eastAsia="zh-CN"/>
        </w:rPr>
        <w:t>。</w:t>
      </w:r>
    </w:p>
    <w:p w14:paraId="4147F2E5" w14:textId="77777777" w:rsidR="00F31CD2" w:rsidRPr="00FB03DC" w:rsidRDefault="00A71D56">
      <w:pPr>
        <w:spacing w:line="360" w:lineRule="auto"/>
        <w:ind w:firstLine="420"/>
        <w:outlineLvl w:val="1"/>
        <w:rPr>
          <w:rFonts w:ascii="仿宋" w:eastAsia="仿宋" w:hAnsi="仿宋"/>
          <w:sz w:val="24"/>
          <w:lang w:eastAsia="zh-CN"/>
        </w:rPr>
      </w:pPr>
      <w:bookmarkStart w:id="440" w:name="_Toc15081"/>
      <w:bookmarkStart w:id="441" w:name="_Toc32381"/>
      <w:bookmarkStart w:id="442" w:name="_Toc198732010"/>
      <w:r w:rsidRPr="00FB03DC">
        <w:rPr>
          <w:rFonts w:ascii="仿宋" w:eastAsia="仿宋" w:hAnsi="仿宋"/>
          <w:sz w:val="24"/>
          <w:lang w:eastAsia="zh-CN"/>
        </w:rPr>
        <w:t>（四）收益分配方案的确定、通知</w:t>
      </w:r>
      <w:bookmarkEnd w:id="440"/>
      <w:r w:rsidRPr="00FB03DC">
        <w:rPr>
          <w:rFonts w:ascii="仿宋" w:eastAsia="仿宋" w:hAnsi="仿宋"/>
          <w:sz w:val="24"/>
          <w:lang w:eastAsia="zh-CN"/>
        </w:rPr>
        <w:t>和实施</w:t>
      </w:r>
      <w:bookmarkEnd w:id="441"/>
      <w:bookmarkEnd w:id="442"/>
    </w:p>
    <w:p w14:paraId="003E1E6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收益分配方案应载明截止收益分配基准日的可供分配利润、分配对象、分配时间、分配数额及比例、分配方式等内容。</w:t>
      </w:r>
    </w:p>
    <w:p w14:paraId="6A20F569"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收益分配方案由管理人拟定，并通知托管人，在R-2日（R为权益登记日）前公告。</w:t>
      </w:r>
    </w:p>
    <w:p w14:paraId="0D73AC7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计划红利发放日距离收益分配基准日（即可供分配利润计算截止日）的时间原则上不得超过15个工作日。</w:t>
      </w:r>
    </w:p>
    <w:p w14:paraId="29AD1C7D" w14:textId="77777777" w:rsidR="00F31CD2" w:rsidRPr="00FB03DC" w:rsidRDefault="00A71D56">
      <w:pPr>
        <w:spacing w:line="360" w:lineRule="auto"/>
        <w:ind w:firstLine="480"/>
        <w:rPr>
          <w:rFonts w:ascii="仿宋" w:eastAsia="仿宋" w:hAnsi="仿宋"/>
          <w:iCs/>
          <w:sz w:val="24"/>
          <w:lang w:eastAsia="zh-CN"/>
        </w:rPr>
      </w:pPr>
      <w:r w:rsidRPr="00FB03DC">
        <w:rPr>
          <w:rFonts w:ascii="仿宋" w:eastAsia="仿宋" w:hAnsi="仿宋"/>
          <w:iCs/>
          <w:sz w:val="24"/>
          <w:lang w:eastAsia="zh-CN"/>
        </w:rPr>
        <w:t>本计划收益分配方式分两种：现金分红与红利再投资。投资者可选择现金红利或将现金红利自动转为计划份额进行再投资；若投资者不选择，本计划默</w:t>
      </w:r>
      <w:r w:rsidRPr="00FB03DC">
        <w:rPr>
          <w:rFonts w:ascii="仿宋" w:eastAsia="仿宋" w:hAnsi="仿宋"/>
          <w:iCs/>
          <w:sz w:val="24"/>
          <w:lang w:eastAsia="zh-CN"/>
        </w:rPr>
        <w:lastRenderedPageBreak/>
        <w:t>认的收益分配方式是现金分红。选择红利再投资分红方式的，按分红除权日当日的份额净值自动转为本集合计划的份额。红利再投资形成的集合计划份额计算保留到小数点后两位，小数点后两位以后的部分四舍五入，由此产生的差额部分计入集合计划资产的损益。选择现金分红方式的，管理人将现金红利款项划至销售机构账户，再由销售机构划入投资者账户。</w:t>
      </w:r>
    </w:p>
    <w:p w14:paraId="712AC285" w14:textId="77777777" w:rsidR="00F31CD2" w:rsidRPr="00FB03DC" w:rsidRDefault="00A71D56">
      <w:pPr>
        <w:spacing w:line="360" w:lineRule="auto"/>
        <w:ind w:firstLine="360"/>
        <w:rPr>
          <w:rFonts w:ascii="仿宋" w:eastAsia="仿宋" w:hAnsi="仿宋"/>
          <w:iCs/>
          <w:sz w:val="24"/>
          <w:lang w:eastAsia="zh-CN"/>
        </w:rPr>
      </w:pPr>
      <w:r w:rsidRPr="00FB03DC">
        <w:rPr>
          <w:rFonts w:ascii="仿宋" w:eastAsia="仿宋" w:hAnsi="仿宋"/>
          <w:iCs/>
          <w:sz w:val="24"/>
          <w:lang w:eastAsia="zh-CN"/>
        </w:rPr>
        <w:t xml:space="preserve">计划收益分配时所发生的银行转账或其他手续费用由投资者自行承担。当投资者的现金红利小于一定金额，不足以支付银行转账或其他手续费用时，份额登记机构可将计划份额持有人的现金红利自动转为计划份额。  </w:t>
      </w:r>
    </w:p>
    <w:p w14:paraId="107563BA" w14:textId="77777777" w:rsidR="00F31CD2" w:rsidRPr="00FB03DC" w:rsidRDefault="00F31CD2">
      <w:pPr>
        <w:spacing w:line="360" w:lineRule="auto"/>
        <w:ind w:firstLine="360"/>
        <w:rPr>
          <w:rFonts w:ascii="仿宋" w:eastAsia="仿宋" w:hAnsi="仿宋"/>
          <w:iCs/>
          <w:sz w:val="24"/>
          <w:lang w:eastAsia="zh-CN"/>
        </w:rPr>
      </w:pPr>
    </w:p>
    <w:p w14:paraId="027F9058" w14:textId="77777777" w:rsidR="00F31CD2" w:rsidRPr="00FB03DC" w:rsidRDefault="00F31CD2">
      <w:pPr>
        <w:rPr>
          <w:rFonts w:ascii="仿宋" w:eastAsia="仿宋" w:hAnsi="仿宋"/>
          <w:iCs/>
          <w:sz w:val="24"/>
          <w:lang w:eastAsia="zh-CN"/>
        </w:rPr>
      </w:pPr>
    </w:p>
    <w:p w14:paraId="72D1352A" w14:textId="77777777" w:rsidR="00F31CD2" w:rsidRPr="00FB03DC" w:rsidRDefault="00A71D56">
      <w:pPr>
        <w:pStyle w:val="2"/>
        <w:spacing w:before="0" w:after="0" w:line="360" w:lineRule="auto"/>
        <w:ind w:firstLine="420"/>
        <w:rPr>
          <w:rFonts w:ascii="仿宋" w:eastAsia="仿宋" w:hAnsi="仿宋"/>
          <w:b/>
          <w:bCs/>
          <w:lang w:eastAsia="zh-CN"/>
        </w:rPr>
      </w:pPr>
      <w:bookmarkStart w:id="443" w:name="_Toc334185941"/>
      <w:bookmarkStart w:id="444" w:name="_Toc86390972"/>
      <w:bookmarkStart w:id="445" w:name="_Toc19811"/>
      <w:bookmarkStart w:id="446" w:name="_Toc6313427"/>
      <w:bookmarkStart w:id="447" w:name="_Toc51775878"/>
      <w:bookmarkStart w:id="448" w:name="_Toc2925"/>
      <w:bookmarkStart w:id="449" w:name="_Toc29580"/>
      <w:bookmarkStart w:id="450" w:name="_Toc23059"/>
      <w:bookmarkStart w:id="451" w:name="_Toc11223"/>
      <w:bookmarkStart w:id="452" w:name="_Toc14006"/>
      <w:bookmarkStart w:id="453" w:name="_Toc159589309"/>
      <w:r w:rsidRPr="00FB03DC">
        <w:rPr>
          <w:rFonts w:ascii="仿宋" w:eastAsia="仿宋" w:hAnsi="仿宋"/>
          <w:b/>
          <w:bCs/>
          <w:lang w:eastAsia="zh-CN"/>
        </w:rPr>
        <w:br w:type="page"/>
      </w:r>
      <w:bookmarkStart w:id="454" w:name="_Toc198732011"/>
      <w:r w:rsidRPr="00FB03DC">
        <w:rPr>
          <w:rFonts w:ascii="仿宋" w:eastAsia="仿宋" w:hAnsi="仿宋"/>
          <w:b/>
          <w:bCs/>
          <w:lang w:eastAsia="zh-CN"/>
        </w:rPr>
        <w:lastRenderedPageBreak/>
        <w:t>二十三、信息披露</w:t>
      </w:r>
      <w:bookmarkEnd w:id="443"/>
      <w:bookmarkEnd w:id="444"/>
      <w:r w:rsidRPr="00FB03DC">
        <w:rPr>
          <w:rFonts w:ascii="仿宋" w:eastAsia="仿宋" w:hAnsi="仿宋"/>
          <w:b/>
          <w:bCs/>
          <w:lang w:eastAsia="zh-CN"/>
        </w:rPr>
        <w:t>与报告</w:t>
      </w:r>
      <w:bookmarkEnd w:id="445"/>
      <w:bookmarkEnd w:id="446"/>
      <w:bookmarkEnd w:id="447"/>
      <w:bookmarkEnd w:id="448"/>
      <w:bookmarkEnd w:id="449"/>
      <w:bookmarkEnd w:id="450"/>
      <w:bookmarkEnd w:id="451"/>
      <w:bookmarkEnd w:id="452"/>
      <w:bookmarkEnd w:id="453"/>
      <w:bookmarkEnd w:id="454"/>
    </w:p>
    <w:p w14:paraId="5EF18B1D" w14:textId="77777777" w:rsidR="00F31CD2" w:rsidRPr="00FB03DC" w:rsidRDefault="00A71D56">
      <w:pPr>
        <w:spacing w:line="360" w:lineRule="auto"/>
        <w:ind w:firstLine="420"/>
        <w:rPr>
          <w:rFonts w:ascii="仿宋" w:eastAsia="仿宋" w:hAnsi="仿宋"/>
          <w:sz w:val="24"/>
          <w:lang w:eastAsia="zh-CN"/>
        </w:rPr>
      </w:pPr>
      <w:r w:rsidRPr="00FB03DC">
        <w:rPr>
          <w:rFonts w:ascii="仿宋" w:eastAsia="仿宋" w:hAnsi="仿宋"/>
          <w:sz w:val="24"/>
          <w:lang w:eastAsia="zh-CN"/>
        </w:rPr>
        <w:t>（一）本计划的信息披露应符合《指导意见》、《管理办法》、《运作规定》、集合计划合同及其他有关规定。相关法律法规关于信息披露的规定发生变化时，本计划从其最新规定。</w:t>
      </w:r>
    </w:p>
    <w:p w14:paraId="7372B5D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color w:val="000000"/>
          <w:sz w:val="24"/>
          <w:lang w:eastAsia="zh-CN"/>
        </w:rPr>
        <w:t>管理人将向投资者提供资产管理合同、计划说明书、风险揭示书、资产管理计划净值、资产管理计划参与及退出价格、定期报告、重大事项的临时报告、清算报告等信息披露文件。</w:t>
      </w:r>
    </w:p>
    <w:p w14:paraId="12B7F9CA" w14:textId="77777777" w:rsidR="00F31CD2" w:rsidRPr="00FB03DC" w:rsidRDefault="00A71D56">
      <w:pPr>
        <w:spacing w:line="360" w:lineRule="auto"/>
        <w:ind w:firstLine="420"/>
        <w:rPr>
          <w:rFonts w:ascii="仿宋" w:eastAsia="仿宋" w:hAnsi="仿宋"/>
          <w:sz w:val="24"/>
          <w:lang w:eastAsia="zh-CN"/>
        </w:rPr>
      </w:pPr>
      <w:r w:rsidRPr="00FB03DC">
        <w:rPr>
          <w:rFonts w:ascii="仿宋" w:eastAsia="仿宋" w:hAnsi="仿宋"/>
          <w:sz w:val="24"/>
          <w:lang w:eastAsia="zh-CN"/>
        </w:rPr>
        <w:t>（二）管理人披露信息</w:t>
      </w:r>
    </w:p>
    <w:p w14:paraId="36F682D7" w14:textId="77777777" w:rsidR="00F31CD2" w:rsidRPr="00FB03DC" w:rsidRDefault="00A71D56">
      <w:pPr>
        <w:spacing w:line="360" w:lineRule="auto"/>
        <w:ind w:firstLine="425"/>
        <w:outlineLvl w:val="2"/>
        <w:rPr>
          <w:rFonts w:ascii="仿宋" w:eastAsia="仿宋" w:hAnsi="仿宋"/>
          <w:sz w:val="24"/>
          <w:lang w:eastAsia="zh-CN"/>
        </w:rPr>
      </w:pPr>
      <w:bookmarkStart w:id="455" w:name="_Toc28449"/>
      <w:r w:rsidRPr="00FB03DC">
        <w:rPr>
          <w:rFonts w:ascii="仿宋" w:eastAsia="仿宋" w:hAnsi="仿宋"/>
          <w:sz w:val="24"/>
          <w:lang w:eastAsia="zh-CN"/>
        </w:rPr>
        <w:t>1、计划份额净值</w:t>
      </w:r>
      <w:bookmarkEnd w:id="455"/>
    </w:p>
    <w:p w14:paraId="2A063E62"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本集合计划成立后，管理人T+2内披露T日的集合计划各类份额净值和累计份额净值，因</w:t>
      </w:r>
      <w:r w:rsidRPr="00FB03DC">
        <w:rPr>
          <w:rFonts w:ascii="仿宋" w:eastAsia="仿宋" w:hAnsi="仿宋" w:hint="eastAsia"/>
          <w:iCs/>
          <w:sz w:val="24"/>
          <w:lang w:eastAsia="zh-CN"/>
        </w:rPr>
        <w:t>数据或技术系统的限制、故障、差错导致估值及估值核对延误的情形及根据本合同约定暂停估值的</w:t>
      </w:r>
      <w:r w:rsidRPr="00FB03DC">
        <w:rPr>
          <w:rFonts w:ascii="仿宋" w:eastAsia="仿宋" w:hAnsi="仿宋"/>
          <w:iCs/>
          <w:sz w:val="24"/>
          <w:lang w:eastAsia="zh-CN"/>
        </w:rPr>
        <w:t>除外。管理人披露资产管理计划净值应当经托管人复核。</w:t>
      </w:r>
    </w:p>
    <w:p w14:paraId="4C940BFE"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计划份额净值信息将在管理人指定网站上披露，</w:t>
      </w:r>
      <w:r w:rsidRPr="00FB03DC">
        <w:rPr>
          <w:rFonts w:ascii="仿宋" w:eastAsia="仿宋" w:hAnsi="仿宋"/>
          <w:sz w:val="24"/>
          <w:lang w:eastAsia="zh-CN"/>
        </w:rPr>
        <w:t>投资者可随时查阅。若管理人指定网站变更，管理人将提前在原网站进行公告。</w:t>
      </w:r>
    </w:p>
    <w:p w14:paraId="669CF9AB" w14:textId="77777777" w:rsidR="00F31CD2" w:rsidRPr="00FB03DC" w:rsidRDefault="00A71D56">
      <w:pPr>
        <w:spacing w:line="360" w:lineRule="auto"/>
        <w:ind w:firstLine="425"/>
        <w:outlineLvl w:val="2"/>
        <w:rPr>
          <w:rFonts w:ascii="仿宋" w:eastAsia="仿宋" w:hAnsi="仿宋"/>
          <w:sz w:val="24"/>
          <w:lang w:eastAsia="zh-CN"/>
        </w:rPr>
      </w:pPr>
      <w:bookmarkStart w:id="456" w:name="_Toc12270"/>
      <w:r w:rsidRPr="00FB03DC">
        <w:rPr>
          <w:rFonts w:ascii="仿宋" w:eastAsia="仿宋" w:hAnsi="仿宋"/>
          <w:sz w:val="24"/>
          <w:lang w:eastAsia="zh-CN"/>
        </w:rPr>
        <w:t>2、计划定期报告</w:t>
      </w:r>
      <w:bookmarkEnd w:id="456"/>
    </w:p>
    <w:p w14:paraId="2F2312A1"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管理人应当在每年结束之日起4个月内，编制完成经托管人复核的计划年度报告，并将年度报告在管理人指定网站上披露，管理人应当聘请符合《证券法》规定的会计师事务所对本计划的年度报告进行审计。</w:t>
      </w:r>
    </w:p>
    <w:p w14:paraId="6F8E677A"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管理人应当在每个季度结束之日起一个月内，编制完成经托管人复核的计划季度报告，并将季度报告在管理人指定网站上披露。</w:t>
      </w:r>
    </w:p>
    <w:p w14:paraId="4524ADFA"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计划成立不足3个月或者存续期间不足3个月的，管理人可以不编制当期的季度报告和年度报告。</w:t>
      </w:r>
    </w:p>
    <w:p w14:paraId="2B333700"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年度报告包括但不限于下列信息：</w:t>
      </w:r>
    </w:p>
    <w:p w14:paraId="66D1B30B"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（1）管理人履职报告；</w:t>
      </w:r>
    </w:p>
    <w:p w14:paraId="15CEA81B"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（2）托管人履职报告；</w:t>
      </w:r>
    </w:p>
    <w:p w14:paraId="3413D7FF"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（3）资产管理计划投资表现；</w:t>
      </w:r>
    </w:p>
    <w:p w14:paraId="78521059"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（4）资产管理计划投资组合报告；</w:t>
      </w:r>
    </w:p>
    <w:p w14:paraId="7F4A27C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（5）资产管理计划运用杠杆情况（如有）；</w:t>
      </w:r>
    </w:p>
    <w:p w14:paraId="5AE6053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lastRenderedPageBreak/>
        <w:t>（6）资产管理计划财务会计报告；</w:t>
      </w:r>
    </w:p>
    <w:p w14:paraId="4563FBA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（7）资产管理计划支付的管理费、托管费、业绩报酬（如有）等费用的计提基准、计提方式和支付方式；</w:t>
      </w:r>
    </w:p>
    <w:p w14:paraId="27BA379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（8）资产管理计划投资收益分配情况；</w:t>
      </w:r>
    </w:p>
    <w:p w14:paraId="2DF39AB6"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（9）投资经理变更、重大关联交易等涉及投资者权益的重大事项；</w:t>
      </w:r>
    </w:p>
    <w:p w14:paraId="7582FF7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（10）中国证监会规定的其他事项。</w:t>
      </w:r>
    </w:p>
    <w:p w14:paraId="3D8EB59F"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资产管理计划季度报告应当披露前款除第（6）项之外的其他信息。</w:t>
      </w:r>
    </w:p>
    <w:p w14:paraId="26DA5C52" w14:textId="77777777" w:rsidR="00F31CD2" w:rsidRPr="00FB03DC" w:rsidRDefault="00A71D56">
      <w:pPr>
        <w:spacing w:line="360" w:lineRule="auto"/>
        <w:outlineLvl w:val="2"/>
        <w:rPr>
          <w:rFonts w:ascii="仿宋" w:eastAsia="仿宋" w:hAnsi="仿宋"/>
          <w:sz w:val="24"/>
          <w:lang w:eastAsia="zh-CN"/>
        </w:rPr>
      </w:pPr>
      <w:r w:rsidRPr="00FB03DC">
        <w:rPr>
          <w:rFonts w:ascii="仿宋" w:eastAsia="仿宋" w:hAnsi="仿宋"/>
          <w:sz w:val="24"/>
          <w:lang w:eastAsia="zh-CN"/>
        </w:rPr>
        <w:t xml:space="preserve">    </w:t>
      </w:r>
      <w:bookmarkStart w:id="457" w:name="_Toc18937"/>
      <w:r w:rsidRPr="00FB03DC">
        <w:rPr>
          <w:rFonts w:ascii="仿宋" w:eastAsia="仿宋" w:hAnsi="仿宋"/>
          <w:sz w:val="24"/>
          <w:lang w:eastAsia="zh-CN"/>
        </w:rPr>
        <w:t>3、临时报告</w:t>
      </w:r>
      <w:bookmarkEnd w:id="457"/>
    </w:p>
    <w:p w14:paraId="22147B2D"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集合计划存续期间，发生对集合计划持续运营、投资者利益、资产净值产生重大影响的事件，</w:t>
      </w:r>
      <w:bookmarkStart w:id="458" w:name="OLE_LINK7"/>
      <w:r w:rsidRPr="00FB03DC">
        <w:rPr>
          <w:rFonts w:ascii="仿宋" w:eastAsia="仿宋" w:hAnsi="仿宋"/>
          <w:sz w:val="24"/>
          <w:lang w:eastAsia="zh-CN"/>
        </w:rPr>
        <w:t>管理人应当于事项发生之日起5日内以管理人网站公告</w:t>
      </w:r>
      <w:r w:rsidRPr="00FB03DC">
        <w:rPr>
          <w:rFonts w:ascii="仿宋" w:eastAsia="仿宋" w:hAnsi="仿宋" w:hint="eastAsia"/>
          <w:sz w:val="24"/>
          <w:lang w:eastAsia="zh-CN"/>
        </w:rPr>
        <w:t>及邮件</w:t>
      </w:r>
      <w:r w:rsidRPr="00FB03DC">
        <w:rPr>
          <w:rFonts w:ascii="仿宋" w:eastAsia="仿宋" w:hAnsi="仿宋"/>
          <w:sz w:val="24"/>
          <w:lang w:eastAsia="zh-CN"/>
        </w:rPr>
        <w:t>的方式及时向投资者披露，并应及时报送中国证监会相关派出机构</w:t>
      </w:r>
      <w:bookmarkEnd w:id="458"/>
      <w:r w:rsidRPr="00FB03DC">
        <w:rPr>
          <w:rFonts w:ascii="仿宋" w:eastAsia="仿宋" w:hAnsi="仿宋"/>
          <w:sz w:val="24"/>
          <w:lang w:eastAsia="zh-CN"/>
        </w:rPr>
        <w:t>。临时报告的情形包括但不限于：</w:t>
      </w:r>
    </w:p>
    <w:p w14:paraId="06C6287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1）集合计划运作过程中，负责集合资产管理业务的高级管理人员或投资经理人员发生变更，或出现其他可能对集合计划的持续运作产生重大影响的事项；</w:t>
      </w:r>
    </w:p>
    <w:p w14:paraId="7B0B4321"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2）暂停受理或者重新开始受理参与或者退出申请；</w:t>
      </w:r>
    </w:p>
    <w:p w14:paraId="7A1B4A63"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3）发生巨额退出并延期办理；</w:t>
      </w:r>
    </w:p>
    <w:p w14:paraId="0401AC7B"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4）集合计划终止和清算；</w:t>
      </w:r>
    </w:p>
    <w:p w14:paraId="4F42AF8B"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5）集合计划存续期满并展期；</w:t>
      </w:r>
    </w:p>
    <w:p w14:paraId="4C553E90"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6）管理人以自有资金参与和退出；</w:t>
      </w:r>
    </w:p>
    <w:p w14:paraId="7D4DF6B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7）合同的重大补充、修改与变更；</w:t>
      </w:r>
    </w:p>
    <w:p w14:paraId="32FE097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8）与集合计划有关的重大诉讼、仲裁事项；</w:t>
      </w:r>
    </w:p>
    <w:p w14:paraId="56BD1AC7"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iCs/>
          <w:sz w:val="24"/>
          <w:lang w:eastAsia="zh-CN"/>
        </w:rPr>
        <w:t>9）</w:t>
      </w:r>
      <w:bookmarkStart w:id="459" w:name="OLE_LINK6"/>
      <w:r w:rsidRPr="00FB03DC">
        <w:rPr>
          <w:rFonts w:ascii="仿宋" w:eastAsia="仿宋" w:hAnsi="仿宋"/>
          <w:iCs/>
          <w:sz w:val="24"/>
          <w:lang w:eastAsia="zh-CN"/>
        </w:rPr>
        <w:t>集合计划</w:t>
      </w:r>
      <w:r w:rsidRPr="00FB03DC">
        <w:rPr>
          <w:rFonts w:ascii="仿宋" w:eastAsia="仿宋" w:hAnsi="仿宋" w:hint="eastAsia"/>
          <w:iCs/>
          <w:sz w:val="24"/>
          <w:lang w:eastAsia="zh-CN"/>
        </w:rPr>
        <w:t>开展关联交易</w:t>
      </w:r>
      <w:bookmarkEnd w:id="459"/>
      <w:r w:rsidRPr="00FB03DC">
        <w:rPr>
          <w:rFonts w:ascii="仿宋" w:eastAsia="仿宋" w:hAnsi="仿宋"/>
          <w:iCs/>
          <w:sz w:val="24"/>
          <w:lang w:eastAsia="zh-CN"/>
        </w:rPr>
        <w:t>；</w:t>
      </w:r>
    </w:p>
    <w:p w14:paraId="2FB91F42"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 xml:space="preserve">10）管理人、托管人因重大违法违规，被中国证监会取消相关业务资格； </w:t>
      </w:r>
    </w:p>
    <w:p w14:paraId="6BF0EE15"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11）管理人、托管人因解散、破产、撤销等原因不能履行相应职责；</w:t>
      </w:r>
    </w:p>
    <w:p w14:paraId="14EA83EF" w14:textId="77777777" w:rsidR="00F31CD2" w:rsidRPr="00FB03DC" w:rsidRDefault="00A71D56">
      <w:pPr>
        <w:spacing w:line="360" w:lineRule="auto"/>
        <w:ind w:firstLine="425"/>
        <w:rPr>
          <w:rFonts w:ascii="仿宋" w:eastAsia="仿宋" w:hAnsi="仿宋"/>
          <w:iCs/>
          <w:sz w:val="24"/>
          <w:u w:val="single"/>
          <w:lang w:eastAsia="zh-CN"/>
        </w:rPr>
      </w:pPr>
      <w:r w:rsidRPr="00FB03DC">
        <w:rPr>
          <w:rFonts w:ascii="仿宋" w:eastAsia="仿宋" w:hAnsi="仿宋"/>
          <w:sz w:val="24"/>
          <w:lang w:eastAsia="zh-CN"/>
        </w:rPr>
        <w:t>12）其他可能影响投资者权益的重大事项；</w:t>
      </w:r>
    </w:p>
    <w:p w14:paraId="03D4154F"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13）其他依据法律法规需要披露的情形。</w:t>
      </w:r>
    </w:p>
    <w:p w14:paraId="7A4234FD"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lastRenderedPageBreak/>
        <w:t>4、管理人的董事、监事、从业人员及其配偶、控股股东、实际控制人或者其他关联方参与资产管理计划的，管理人将按照法律法规的要求及合同约定向投资者披露。</w:t>
      </w:r>
    </w:p>
    <w:p w14:paraId="58F7BE14" w14:textId="77777777" w:rsidR="00F31CD2" w:rsidRPr="00FB03DC" w:rsidRDefault="00A71D56">
      <w:pPr>
        <w:spacing w:line="360" w:lineRule="auto"/>
        <w:ind w:firstLine="420"/>
        <w:rPr>
          <w:rFonts w:ascii="仿宋" w:eastAsia="仿宋" w:hAnsi="仿宋"/>
          <w:sz w:val="24"/>
          <w:lang w:eastAsia="zh-CN"/>
        </w:rPr>
      </w:pPr>
      <w:r w:rsidRPr="00FB03DC">
        <w:rPr>
          <w:rFonts w:ascii="仿宋" w:eastAsia="仿宋" w:hAnsi="仿宋"/>
          <w:sz w:val="24"/>
          <w:lang w:eastAsia="zh-CN"/>
        </w:rPr>
        <w:t>（三）管理人提供的其他服务</w:t>
      </w:r>
    </w:p>
    <w:p w14:paraId="3343DBF5"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1、对账单</w:t>
      </w:r>
    </w:p>
    <w:p w14:paraId="4D5A25E9"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管理人每个季度通过网站或交易客户端等方式向投资者提供对账单，对账单内容应包括投资者持有计划份额的数量及净值，参与、退出明细，以及收益分配等情况。</w:t>
      </w:r>
    </w:p>
    <w:p w14:paraId="166D48AB" w14:textId="77777777" w:rsidR="00F31CD2" w:rsidRPr="00FB03DC" w:rsidRDefault="00A71D56">
      <w:pPr>
        <w:spacing w:line="360" w:lineRule="auto"/>
        <w:ind w:firstLine="420"/>
        <w:rPr>
          <w:rFonts w:ascii="仿宋" w:eastAsia="仿宋" w:hAnsi="仿宋"/>
          <w:sz w:val="24"/>
          <w:lang w:eastAsia="zh-CN"/>
        </w:rPr>
      </w:pPr>
      <w:r w:rsidRPr="00FB03DC">
        <w:rPr>
          <w:rFonts w:ascii="仿宋" w:eastAsia="仿宋" w:hAnsi="仿宋"/>
          <w:sz w:val="24"/>
          <w:lang w:eastAsia="zh-CN"/>
        </w:rPr>
        <w:t>（四）投资者查询的方式和途径</w:t>
      </w:r>
    </w:p>
    <w:p w14:paraId="7989869C"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1、管理人网站信息披露</w:t>
      </w:r>
    </w:p>
    <w:p w14:paraId="2BFDFB3F"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本计划说明书、资产管理合同、其他备查文件、相关报告、相关公告等有关集合计划的信息，将在集合计划管理人网站上披露，投资者可随时查阅。</w:t>
      </w:r>
    </w:p>
    <w:p w14:paraId="499C5B01" w14:textId="77777777" w:rsidR="00F31CD2" w:rsidRPr="00FB03DC" w:rsidRDefault="00A71D56">
      <w:pPr>
        <w:spacing w:line="360" w:lineRule="auto"/>
        <w:ind w:firstLine="425"/>
        <w:rPr>
          <w:rFonts w:ascii="仿宋" w:eastAsia="仿宋" w:hAnsi="仿宋"/>
          <w:sz w:val="24"/>
        </w:rPr>
      </w:pPr>
      <w:r w:rsidRPr="00FB03DC">
        <w:rPr>
          <w:rFonts w:ascii="仿宋" w:eastAsia="仿宋" w:hAnsi="仿宋"/>
          <w:sz w:val="24"/>
        </w:rPr>
        <w:t>管理人网址：https://www.htscamc.com</w:t>
      </w:r>
    </w:p>
    <w:p w14:paraId="0E5C1B45"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2、管理人、其他销售机构指定营业网点查询</w:t>
      </w:r>
    </w:p>
    <w:p w14:paraId="7E8EDABD"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本计划说明书、资产管理合同、其他备查文件、相关报告等文本存放在集合计划管理人和集合计划其他销售机构的住所，投资者可在营业时间内免费查阅，也可按工本费购买复印件。对投资者按上述方式所获得的文件及其复印件，集合计划管理人和集合计划托管人保证其内容与所披露的内容完全一致。</w:t>
      </w:r>
    </w:p>
    <w:p w14:paraId="496A7919"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3、华泰证券资产管理客服电话</w:t>
      </w:r>
    </w:p>
    <w:p w14:paraId="14B4986A"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本集合计划披露的有关集合计划的信息，投资者可以通过华泰证券资产管理客服电话（4008895597）查询。</w:t>
      </w:r>
    </w:p>
    <w:p w14:paraId="6F47D64C" w14:textId="77777777" w:rsidR="00F31CD2" w:rsidRPr="00FB03DC" w:rsidRDefault="00F31CD2">
      <w:pPr>
        <w:rPr>
          <w:rFonts w:ascii="仿宋" w:eastAsia="仿宋" w:hAnsi="仿宋"/>
          <w:sz w:val="24"/>
          <w:szCs w:val="24"/>
          <w:lang w:eastAsia="zh-CN"/>
        </w:rPr>
      </w:pPr>
    </w:p>
    <w:p w14:paraId="31F51FDD" w14:textId="77777777" w:rsidR="00F31CD2" w:rsidRPr="00FB03DC" w:rsidRDefault="00F31CD2">
      <w:pPr>
        <w:rPr>
          <w:rFonts w:ascii="仿宋" w:eastAsia="仿宋" w:hAnsi="仿宋"/>
          <w:sz w:val="24"/>
          <w:szCs w:val="24"/>
          <w:lang w:eastAsia="zh-CN"/>
        </w:rPr>
      </w:pPr>
    </w:p>
    <w:p w14:paraId="23D43DAC" w14:textId="77777777" w:rsidR="00F31CD2" w:rsidRPr="00FB03DC" w:rsidRDefault="00A71D56">
      <w:pPr>
        <w:pStyle w:val="2"/>
        <w:spacing w:before="0" w:after="0" w:line="360" w:lineRule="auto"/>
        <w:ind w:firstLine="420"/>
        <w:rPr>
          <w:rFonts w:ascii="仿宋" w:eastAsia="仿宋" w:hAnsi="仿宋"/>
          <w:b/>
          <w:bCs/>
          <w:lang w:eastAsia="zh-CN"/>
        </w:rPr>
      </w:pPr>
      <w:bookmarkStart w:id="460" w:name="_Toc51775879"/>
      <w:bookmarkStart w:id="461" w:name="_Toc1111"/>
      <w:bookmarkStart w:id="462" w:name="_Toc24500"/>
      <w:bookmarkStart w:id="463" w:name="_Toc31263"/>
      <w:bookmarkStart w:id="464" w:name="_Toc6313428"/>
      <w:bookmarkStart w:id="465" w:name="_Toc204065822"/>
      <w:bookmarkStart w:id="466" w:name="_Toc9324"/>
      <w:bookmarkStart w:id="467" w:name="_Toc159589310"/>
      <w:bookmarkStart w:id="468" w:name="_Toc334185947"/>
      <w:bookmarkStart w:id="469" w:name="_Toc17909"/>
      <w:bookmarkStart w:id="470" w:name="_Toc14259"/>
      <w:r w:rsidRPr="00FB03DC">
        <w:rPr>
          <w:rFonts w:ascii="仿宋" w:eastAsia="仿宋" w:hAnsi="仿宋"/>
          <w:b/>
          <w:bCs/>
          <w:lang w:eastAsia="zh-CN"/>
        </w:rPr>
        <w:br w:type="page"/>
      </w:r>
      <w:bookmarkStart w:id="471" w:name="_Toc198732012"/>
      <w:r w:rsidRPr="00FB03DC">
        <w:rPr>
          <w:rFonts w:ascii="仿宋" w:eastAsia="仿宋" w:hAnsi="仿宋"/>
          <w:b/>
          <w:bCs/>
          <w:lang w:eastAsia="zh-CN"/>
        </w:rPr>
        <w:lastRenderedPageBreak/>
        <w:t>二十四、风险揭示</w:t>
      </w:r>
      <w:bookmarkEnd w:id="460"/>
      <w:bookmarkEnd w:id="461"/>
      <w:bookmarkEnd w:id="462"/>
      <w:bookmarkEnd w:id="463"/>
      <w:bookmarkEnd w:id="464"/>
      <w:bookmarkEnd w:id="465"/>
      <w:bookmarkEnd w:id="466"/>
      <w:bookmarkEnd w:id="467"/>
      <w:bookmarkEnd w:id="468"/>
      <w:bookmarkEnd w:id="469"/>
      <w:bookmarkEnd w:id="470"/>
      <w:bookmarkEnd w:id="471"/>
    </w:p>
    <w:p w14:paraId="204EC7E7" w14:textId="77777777" w:rsidR="00F31CD2" w:rsidRPr="00FB03DC" w:rsidRDefault="00A71D56">
      <w:pPr>
        <w:tabs>
          <w:tab w:val="left" w:pos="720"/>
        </w:tabs>
        <w:spacing w:line="360" w:lineRule="auto"/>
        <w:ind w:right="18" w:firstLine="425"/>
        <w:rPr>
          <w:rFonts w:ascii="仿宋" w:eastAsia="仿宋" w:hAnsi="仿宋"/>
          <w:sz w:val="24"/>
          <w:lang w:eastAsia="zh-CN"/>
        </w:rPr>
      </w:pPr>
      <w:r w:rsidRPr="00FB03DC">
        <w:rPr>
          <w:rFonts w:ascii="仿宋" w:eastAsia="仿宋" w:hAnsi="仿宋"/>
          <w:sz w:val="24"/>
          <w:lang w:eastAsia="zh-CN"/>
        </w:rPr>
        <w:t>本集合计划面临包括但不限于以下风险：</w:t>
      </w:r>
    </w:p>
    <w:p w14:paraId="0957A949" w14:textId="77777777" w:rsidR="00F31CD2" w:rsidRPr="00FB03DC" w:rsidRDefault="00A71D56">
      <w:pPr>
        <w:spacing w:line="360" w:lineRule="auto"/>
        <w:ind w:firstLine="420"/>
        <w:outlineLvl w:val="1"/>
        <w:rPr>
          <w:rFonts w:ascii="仿宋" w:eastAsia="仿宋" w:hAnsi="仿宋"/>
          <w:sz w:val="24"/>
          <w:lang w:eastAsia="zh-CN"/>
        </w:rPr>
      </w:pPr>
      <w:bookmarkStart w:id="472" w:name="_Toc198732013"/>
      <w:bookmarkStart w:id="473" w:name="_Toc14400"/>
      <w:bookmarkStart w:id="474" w:name="_Toc14352"/>
      <w:bookmarkStart w:id="475" w:name="OLE_LINK5"/>
      <w:bookmarkStart w:id="476" w:name="OLE_LINK2"/>
      <w:bookmarkStart w:id="477" w:name="OLE_LINK11"/>
      <w:r w:rsidRPr="00FB03DC">
        <w:rPr>
          <w:rFonts w:ascii="仿宋" w:eastAsia="仿宋" w:hAnsi="仿宋"/>
          <w:sz w:val="24"/>
          <w:lang w:eastAsia="zh-CN"/>
        </w:rPr>
        <w:t>（一）特殊风险揭示</w:t>
      </w:r>
      <w:bookmarkEnd w:id="472"/>
      <w:bookmarkEnd w:id="473"/>
      <w:bookmarkEnd w:id="474"/>
    </w:p>
    <w:p w14:paraId="03060A20"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本计划的特殊风险主要包括以下风险：</w:t>
      </w:r>
    </w:p>
    <w:p w14:paraId="19BF0E5F"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1、资产管理合同与协会合同指引不一致所涉风险</w:t>
      </w:r>
    </w:p>
    <w:p w14:paraId="51971473"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本资产管理计划因投资或其他特殊需要，协会发布的《集合指引》部分具体要求对本资产管理计划投资者不适用，可能存在资产管理合同部分条款与《集合指引》不一致的情况。</w:t>
      </w:r>
    </w:p>
    <w:p w14:paraId="2BF86AA0"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2、资产管理计划委托募集所涉风险</w:t>
      </w:r>
      <w:r w:rsidRPr="00FB03DC">
        <w:rPr>
          <w:rFonts w:ascii="仿宋" w:eastAsia="仿宋" w:hAnsi="仿宋" w:hint="eastAsia"/>
          <w:b/>
          <w:sz w:val="24"/>
          <w:lang w:eastAsia="zh-CN"/>
        </w:rPr>
        <w:t>（如有）</w:t>
      </w:r>
    </w:p>
    <w:p w14:paraId="741F56B6"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本资产管理计划</w:t>
      </w:r>
      <w:r w:rsidRPr="00FB03DC">
        <w:rPr>
          <w:rFonts w:ascii="仿宋" w:eastAsia="仿宋" w:hAnsi="仿宋" w:hint="eastAsia"/>
          <w:b/>
          <w:sz w:val="24"/>
          <w:lang w:eastAsia="zh-CN"/>
        </w:rPr>
        <w:t>可能</w:t>
      </w:r>
      <w:r w:rsidRPr="00FB03DC">
        <w:rPr>
          <w:rFonts w:ascii="仿宋" w:eastAsia="仿宋" w:hAnsi="仿宋"/>
          <w:b/>
          <w:sz w:val="24"/>
          <w:lang w:eastAsia="zh-CN"/>
        </w:rPr>
        <w:t>委托具备相关资质的销售机构进行募集，</w:t>
      </w:r>
      <w:r w:rsidRPr="00FB03DC">
        <w:rPr>
          <w:rFonts w:ascii="仿宋" w:eastAsia="仿宋" w:hAnsi="仿宋" w:hint="eastAsia"/>
          <w:b/>
          <w:sz w:val="24"/>
          <w:lang w:eastAsia="zh-CN"/>
        </w:rPr>
        <w:t>可能</w:t>
      </w:r>
      <w:r w:rsidRPr="00FB03DC">
        <w:rPr>
          <w:rFonts w:ascii="仿宋" w:eastAsia="仿宋" w:hAnsi="仿宋"/>
          <w:b/>
          <w:sz w:val="24"/>
          <w:lang w:eastAsia="zh-CN"/>
        </w:rPr>
        <w:t>存在因销售机构系统运作故障、资金划付不及时或其他不可抗力原因造成的投资者认购/申购失败风险。</w:t>
      </w:r>
    </w:p>
    <w:p w14:paraId="714E751B"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3、募集失败风险</w:t>
      </w:r>
    </w:p>
    <w:p w14:paraId="69EF89B6"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本计划的成立需符合相关法律法规的规定，本计划可能存在不能满足成立条件从而无法成立的风险。</w:t>
      </w:r>
    </w:p>
    <w:p w14:paraId="25830387"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管理人的责任承担方式：</w:t>
      </w:r>
    </w:p>
    <w:p w14:paraId="2E2B27EA"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（1）以其固有财产承担因募集行为而产生的债务和费用；</w:t>
      </w:r>
    </w:p>
    <w:p w14:paraId="48A6F5A1"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（2）在资产管理计划募集期限届满（确认资产管理计划无法成立）后三十日内返还投资者已交纳的款项，并加计银行同期活期存款利息。</w:t>
      </w:r>
    </w:p>
    <w:p w14:paraId="4829EF1D"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4、资产管理计划未在协会完成备案手续或不予备案情形所涉风险；</w:t>
      </w:r>
    </w:p>
    <w:p w14:paraId="0BC70C45"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本资产管理计划成立后需在协会进行备案。</w:t>
      </w:r>
    </w:p>
    <w:p w14:paraId="6E2E79A5"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因此，即使本资管计划成立，并不意味着本计划必然能获得协会的备案。而该等备案过程可能会受到相应监管政策的影响，包括备案时间所需时间、能否通过备案都存在一定的不确定性。如果本计划在成立后无法获得协会的备案，则将直接影响本计划设立目的的实现。当出现无法通过协会备案的情形，管理人将有权决定提前终止本计划，由此直接影响投资者参与本计划的投资目的。</w:t>
      </w:r>
    </w:p>
    <w:p w14:paraId="07FDB332"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5、资产管理计划份额转让所涉风险；</w:t>
      </w:r>
    </w:p>
    <w:p w14:paraId="2AD02935"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lastRenderedPageBreak/>
        <w:t>本资产管理计划份额</w:t>
      </w:r>
      <w:r w:rsidRPr="00FB03DC">
        <w:rPr>
          <w:rFonts w:ascii="仿宋" w:eastAsia="仿宋" w:hAnsi="仿宋" w:hint="eastAsia"/>
          <w:b/>
          <w:sz w:val="24"/>
          <w:lang w:eastAsia="zh-CN"/>
        </w:rPr>
        <w:t>经管理人申请并开通份额转让事宜后</w:t>
      </w:r>
      <w:r w:rsidRPr="00FB03DC">
        <w:rPr>
          <w:rFonts w:ascii="仿宋" w:eastAsia="仿宋" w:hAnsi="仿宋"/>
          <w:b/>
          <w:sz w:val="24"/>
          <w:lang w:eastAsia="zh-CN"/>
        </w:rPr>
        <w:t>允许通过证券交易所以及中国证监会认可的交易平台依法转让，存在因转让场所规则限制、投资者持有份额被司法冻结、投资者未满足资产管理合同最低参与金额要求或其他不可抗力的因素等造成的转让失败风险。</w:t>
      </w:r>
    </w:p>
    <w:p w14:paraId="0EC997E5"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6、资产管理计划外包事项所涉风险；</w:t>
      </w:r>
    </w:p>
    <w:p w14:paraId="66D4E429"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资产管理计划估值核算事项交由外包服务机构华泰证券股份有限公司提供，可能存在因外包服务机构失去金融监管部门规定的资质要求、或不具备提供相关服务的条件和技能、或因管理不善、操作失误等，可能给资产投资者带来一定的风险。华泰证券股份有限公司是管理人关联方。</w:t>
      </w:r>
    </w:p>
    <w:p w14:paraId="1041ED09"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7、采用电子签名合同管理方式所带来的风险（如适用）</w:t>
      </w:r>
    </w:p>
    <w:p w14:paraId="4C2F3A93"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本集合计划可采用电子签名方式进行集合计划资产管理合同的签署、核对、收集、整理和保管，在运用电子签名方式进行集合计划合同管理过程中，由于系统故障、人员操作失误、相关机构之间衔接不畅等原因，可能导致投资者参与申请无法及时确认、投资者资料信息错误、投资者无法查询交易信息等情形，从而导致风险。</w:t>
      </w:r>
    </w:p>
    <w:p w14:paraId="4AE6FE1B"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8、自有资金参与退出风险</w:t>
      </w:r>
    </w:p>
    <w:p w14:paraId="1AAF3072"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鉴于本集合计划管理人在存续期自有资金的参与可能造成投资者收益稀释或者由于自有资金退出致使管理人被动变现集合计划资产导致集合计划净值受损，从而产生自有资金参与退出风险。同时，对于自有资金在存续期主动参与退出且需征询投资者意见的情形，管理人会为不同意的投资者统一做强制退出处理。为此，管理人提请投资者注意上述风险。</w:t>
      </w:r>
    </w:p>
    <w:p w14:paraId="4DE248B3" w14:textId="77777777" w:rsidR="00F31CD2" w:rsidRPr="00FB03DC" w:rsidRDefault="00A71D56">
      <w:pPr>
        <w:spacing w:line="360" w:lineRule="auto"/>
        <w:ind w:firstLine="482"/>
        <w:outlineLvl w:val="2"/>
        <w:rPr>
          <w:rFonts w:ascii="仿宋" w:eastAsia="仿宋" w:hAnsi="仿宋"/>
          <w:b/>
          <w:sz w:val="24"/>
          <w:lang w:eastAsia="zh-CN"/>
        </w:rPr>
      </w:pPr>
      <w:r w:rsidRPr="00FB03DC">
        <w:rPr>
          <w:rFonts w:ascii="仿宋" w:eastAsia="仿宋" w:hAnsi="仿宋"/>
          <w:b/>
          <w:sz w:val="24"/>
          <w:lang w:eastAsia="zh-CN"/>
        </w:rPr>
        <w:t>9、关联交易风险</w:t>
      </w:r>
    </w:p>
    <w:p w14:paraId="7D0BD935"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管理人遵循投资者利益优先和审慎原则，根据产品合同的约定，在实际投资操作中可能会投资于管理人、托管人及前述机构的控股股东、实际控制人或者其他关联方发行的证券或承销期内承销的证券、前述机构管理的公募证券投资基金、私募资管产品以及从事其他类型的关联交易，尽管管理人遵循投资者利益优先的原则、遵守相关法律法规的规定进行操作、防范利益冲突，但该等交易仍构成关联交易，存在利益冲突风险，可能影响投资者的利益。此外，管理人运用计划财产从事关联交易时可能依照相关法律法规、监管机构、自律组</w:t>
      </w:r>
      <w:r w:rsidRPr="00FB03DC">
        <w:rPr>
          <w:rFonts w:ascii="仿宋" w:eastAsia="仿宋" w:hAnsi="仿宋"/>
          <w:b/>
          <w:sz w:val="24"/>
          <w:lang w:eastAsia="zh-CN"/>
        </w:rPr>
        <w:lastRenderedPageBreak/>
        <w:t>织的规定被限制相关权利的行使，进而可能影响受托财产的投资收益。投资者应密切关注关联交易的信息披露，知悉了解相关的投资信息。</w:t>
      </w:r>
    </w:p>
    <w:p w14:paraId="4A98D2D2"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一般关联交易预授权风险及重大关联交易风险：</w:t>
      </w:r>
    </w:p>
    <w:p w14:paraId="63DC92D6" w14:textId="77777777" w:rsidR="00F31CD2" w:rsidRPr="00FB03DC" w:rsidRDefault="00A71D56">
      <w:pPr>
        <w:spacing w:line="360" w:lineRule="auto"/>
        <w:ind w:firstLine="482"/>
        <w:rPr>
          <w:rFonts w:ascii="仿宋" w:eastAsia="仿宋" w:hAnsi="仿宋"/>
          <w:b/>
          <w:lang w:eastAsia="zh-CN"/>
        </w:rPr>
      </w:pPr>
      <w:r w:rsidRPr="00FB03DC">
        <w:rPr>
          <w:rFonts w:ascii="仿宋" w:eastAsia="仿宋" w:hAnsi="仿宋"/>
          <w:b/>
          <w:sz w:val="24"/>
          <w:lang w:eastAsia="zh-CN"/>
        </w:rPr>
        <w:t>根据本合同的约定，</w:t>
      </w:r>
      <w:r w:rsidRPr="00FB03DC">
        <w:rPr>
          <w:rFonts w:ascii="仿宋" w:eastAsia="仿宋" w:hAnsi="仿宋"/>
          <w:b/>
          <w:iCs/>
          <w:sz w:val="24"/>
          <w:lang w:eastAsia="zh-CN"/>
        </w:rPr>
        <w:t>管理人以本计划资产从事一般关联交易的，无需就具体关联交易再行分别、逐笔取得投资者的同意，投资者签署本合同即视为已经充分理解并同意管理人从事该等关联交易，管理人仅需要事后及时告知投资者和托管人，并向中国证监会相关派出机构报告，故</w:t>
      </w:r>
      <w:r w:rsidRPr="00FB03DC">
        <w:rPr>
          <w:rFonts w:ascii="仿宋" w:eastAsia="仿宋" w:hAnsi="仿宋"/>
          <w:b/>
          <w:sz w:val="24"/>
          <w:lang w:eastAsia="zh-CN"/>
        </w:rPr>
        <w:t>存在</w:t>
      </w:r>
      <w:r w:rsidRPr="00FB03DC">
        <w:rPr>
          <w:rFonts w:ascii="仿宋" w:eastAsia="仿宋" w:hAnsi="仿宋"/>
          <w:b/>
          <w:iCs/>
          <w:sz w:val="24"/>
          <w:lang w:eastAsia="zh-CN"/>
        </w:rPr>
        <w:t>投资者</w:t>
      </w:r>
      <w:r w:rsidRPr="00FB03DC">
        <w:rPr>
          <w:rFonts w:ascii="仿宋" w:eastAsia="仿宋" w:hAnsi="仿宋"/>
          <w:b/>
          <w:sz w:val="24"/>
          <w:lang w:eastAsia="zh-CN"/>
        </w:rPr>
        <w:t>在一般关联交易完成前未充分知晓具体交易情况的风险。</w:t>
      </w:r>
    </w:p>
    <w:p w14:paraId="1FF9FFB3"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lang w:eastAsia="zh-CN"/>
        </w:rPr>
        <w:t>管理人从事重大关联交易的，将事先通知投资者并征询投资者的意见，事后及时告知投资者以及托管人，但管理人</w:t>
      </w:r>
      <w:r w:rsidRPr="00FB03DC">
        <w:rPr>
          <w:rFonts w:ascii="仿宋" w:eastAsia="仿宋" w:hAnsi="仿宋" w:hint="eastAsia"/>
          <w:b/>
          <w:sz w:val="24"/>
          <w:lang w:eastAsia="zh-CN"/>
        </w:rPr>
        <w:t>以公告方式</w:t>
      </w:r>
      <w:r w:rsidRPr="00FB03DC">
        <w:rPr>
          <w:rFonts w:ascii="仿宋" w:eastAsia="仿宋" w:hAnsi="仿宋"/>
          <w:b/>
          <w:sz w:val="24"/>
          <w:lang w:eastAsia="zh-CN"/>
        </w:rPr>
        <w:t>征询</w:t>
      </w:r>
      <w:r w:rsidRPr="00FB03DC">
        <w:rPr>
          <w:rFonts w:ascii="仿宋" w:eastAsia="仿宋" w:hAnsi="仿宋" w:hint="eastAsia"/>
          <w:b/>
          <w:sz w:val="24"/>
          <w:lang w:eastAsia="zh-CN"/>
        </w:rPr>
        <w:t>意见，</w:t>
      </w:r>
      <w:r w:rsidRPr="00FB03DC">
        <w:rPr>
          <w:rFonts w:ascii="仿宋" w:eastAsia="仿宋" w:hAnsi="仿宋"/>
          <w:b/>
          <w:sz w:val="24"/>
          <w:lang w:eastAsia="zh-CN"/>
        </w:rPr>
        <w:t>投资者反馈的方式和时限均由管理人决定，可能发生投资者未及时查阅相关信息导致最终未及时反馈意见的风险。同时，若管理人经投资者同意后从事重大关联交易的，</w:t>
      </w:r>
      <w:r w:rsidRPr="00FB03DC">
        <w:rPr>
          <w:rFonts w:ascii="仿宋" w:eastAsia="仿宋" w:hAnsi="仿宋"/>
          <w:b/>
          <w:sz w:val="24"/>
          <w:szCs w:val="20"/>
          <w:lang w:eastAsia="zh-CN"/>
        </w:rPr>
        <w:t>因交易金额超过本计划净资产的10%</w:t>
      </w:r>
      <w:r w:rsidRPr="00FB03DC">
        <w:rPr>
          <w:rFonts w:ascii="仿宋" w:eastAsia="仿宋" w:hAnsi="仿宋"/>
          <w:b/>
          <w:sz w:val="24"/>
          <w:lang w:eastAsia="zh-CN"/>
        </w:rPr>
        <w:t>，可能存在利益冲突风险，影响投资者的利益。</w:t>
      </w:r>
    </w:p>
    <w:p w14:paraId="54D33557" w14:textId="77777777" w:rsidR="00F31CD2" w:rsidRPr="00FB03DC" w:rsidRDefault="00A71D56">
      <w:pPr>
        <w:spacing w:line="360" w:lineRule="auto"/>
        <w:ind w:firstLine="482"/>
        <w:outlineLvl w:val="2"/>
        <w:rPr>
          <w:rFonts w:ascii="仿宋" w:eastAsia="仿宋" w:hAnsi="仿宋"/>
          <w:b/>
          <w:sz w:val="24"/>
          <w:szCs w:val="20"/>
          <w:lang w:eastAsia="zh-CN"/>
        </w:rPr>
      </w:pPr>
      <w:r w:rsidRPr="00FB03DC">
        <w:rPr>
          <w:rFonts w:ascii="仿宋" w:eastAsia="仿宋" w:hAnsi="仿宋"/>
          <w:b/>
          <w:sz w:val="24"/>
          <w:szCs w:val="20"/>
          <w:lang w:eastAsia="zh-CN"/>
        </w:rPr>
        <w:t>10、</w:t>
      </w:r>
      <w:r w:rsidRPr="00FB03DC">
        <w:rPr>
          <w:rFonts w:ascii="仿宋" w:eastAsia="仿宋" w:hAnsi="仿宋"/>
          <w:b/>
          <w:sz w:val="24"/>
          <w:lang w:eastAsia="zh-CN"/>
        </w:rPr>
        <w:t>其他特殊风险</w:t>
      </w:r>
    </w:p>
    <w:p w14:paraId="45B2371A"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（1）所投资金融产品的特别风险</w:t>
      </w:r>
    </w:p>
    <w:p w14:paraId="60F8BAE2"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本计划部分资产将配置于金融监管部门批准或备案发行的金融产品（包括公募证券投资基金及法律法规允许的其他金融产品等），投资上述金融产品可能因下列特定风险因素给本计划造成不利影响，请投资者知悉。</w:t>
      </w:r>
    </w:p>
    <w:p w14:paraId="41265328"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1）金融产品管理人风险</w:t>
      </w:r>
    </w:p>
    <w:p w14:paraId="76510450"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金融产品管理人风险包括管理人经营风险和操作风险。经营风险是指因管理能力、财务状况、行业竞争、人员素质、内控等因素导致公司经营不善，极端情况下甚至破产倒闭，可能对其管理人的产品业绩造成不利影响。另外，对于约定了止损条款的金融产品，可能因管理人未及时操作导致产品损失扩大的风险。</w:t>
      </w:r>
    </w:p>
    <w:p w14:paraId="1D1F68A7"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2）金融产品投资风险</w:t>
      </w:r>
    </w:p>
    <w:p w14:paraId="58FE7E3F"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本计划所投资的金融产品可能由于其管理人对市场判断失误、买入标的市场表现不佳、风险控制失效等原因造成产品净值的下降，从而造成本计划净值下降，最终导致本计划投资者资产损失；</w:t>
      </w:r>
    </w:p>
    <w:p w14:paraId="363E1DD7"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lastRenderedPageBreak/>
        <w:t>3）策略模型风险</w:t>
      </w:r>
    </w:p>
    <w:p w14:paraId="080B8A9D"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在实际运作中，因金融产品的投资经理变更导致模型无法有效运作，开发的策略或模型不再有效或者在运作过程中与产品期初投资策略和投资风格发生偏离，进而影响产品投资业绩。</w:t>
      </w:r>
    </w:p>
    <w:p w14:paraId="3DD163C8"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4）赎回金融产品面临的流动性风险</w:t>
      </w:r>
    </w:p>
    <w:p w14:paraId="24EDB2B8"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因本计划投资者赎回或资产配置调整需要，管理人赎回金融产品时，可能触发所投资的金融产品大额赎回或巨额赎回条款，或所投资的金融产品处在封闭期，导致赎回资金延迟到账的风险。</w:t>
      </w:r>
    </w:p>
    <w:p w14:paraId="4DEE0620"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5）投资金融产品可能面临双层收费的风险</w:t>
      </w:r>
    </w:p>
    <w:p w14:paraId="3F6DC5D4"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本计划投资者需要承担双层费用，即本计划费用及本计划所投资的金融产品自身需要承担费用。本计划所投资的金融产品自身需要承担费用包括金融产品的管理费、托管费、业绩报酬（如有）、认购费（如有）、赎回费（如有）等，以上费用在计提时将会扣减金融产品的资产净值，从而造成本计划净值下降。</w:t>
      </w:r>
    </w:p>
    <w:p w14:paraId="714B2570"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6）投资金融产品的估值风险</w:t>
      </w:r>
    </w:p>
    <w:p w14:paraId="6AE82834"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本计划的投资多个底层金融产品，每个金融产品的估值时间可能不一致，且披露时间可能不一致，本计划按照金融产品估值日最近的份额净值进行估值。在存续期间，本计划份额净值可能无法反映真实投资管理情况。</w:t>
      </w:r>
    </w:p>
    <w:p w14:paraId="675B5018"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此外，为消除底层金融产品计提业绩报酬对本计划资产净值的影响，本计划在估值方法上已采取适当的措施与安排，但仍不排除在本计划的封闭期内，由于无法在每个估值日及时准确获取金融产品预估业绩报酬或扣除预估业绩报酬后的净值，导致封闭期披露的本计划份额净值未充分体现底层金融产品计提业绩报酬的影响，当底层金融产品发生业绩报酬提取或在本计划开放日发生管理人根据金融产品约定的业绩报酬计提方法预估业绩报酬并调整本计划份额净值的情形时，可能造成本计划份额净值波动的风险。</w:t>
      </w:r>
    </w:p>
    <w:p w14:paraId="351C96A4"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7）底层金融产品提取业绩报酬对产品净值造成下跌的风险</w:t>
      </w:r>
    </w:p>
    <w:p w14:paraId="24CBD6F7"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由于本计划投资多个金融产品，每个金融产品在业绩报酬计提方式、业绩报酬计提时间以及产品估值时间与本计划层面可能不一致，当底层金融产品提</w:t>
      </w:r>
      <w:r w:rsidRPr="00FB03DC">
        <w:rPr>
          <w:rFonts w:ascii="仿宋" w:eastAsia="仿宋" w:hAnsi="仿宋"/>
          <w:b/>
          <w:sz w:val="24"/>
          <w:szCs w:val="20"/>
          <w:lang w:eastAsia="zh-CN"/>
        </w:rPr>
        <w:lastRenderedPageBreak/>
        <w:t>取业绩报酬后造成本计划净值下降、投资者持有本计划份额期间收益下降的风险。</w:t>
      </w:r>
    </w:p>
    <w:p w14:paraId="3B027CD9" w14:textId="77777777" w:rsidR="00F31CD2" w:rsidRPr="00FB03DC" w:rsidRDefault="00A71D56">
      <w:pPr>
        <w:spacing w:line="360" w:lineRule="auto"/>
        <w:ind w:firstLine="482"/>
        <w:rPr>
          <w:rFonts w:ascii="仿宋" w:eastAsia="仿宋" w:hAnsi="仿宋"/>
          <w:b/>
          <w:sz w:val="24"/>
          <w:szCs w:val="20"/>
          <w:lang w:eastAsia="zh-CN"/>
        </w:rPr>
      </w:pPr>
      <w:r w:rsidRPr="00FB03DC">
        <w:rPr>
          <w:rFonts w:ascii="仿宋" w:eastAsia="仿宋" w:hAnsi="仿宋"/>
          <w:b/>
          <w:sz w:val="24"/>
          <w:szCs w:val="20"/>
          <w:lang w:eastAsia="zh-CN"/>
        </w:rPr>
        <w:t>（2）投资结构性存款的风险</w:t>
      </w:r>
    </w:p>
    <w:p w14:paraId="697C76BB" w14:textId="77777777" w:rsidR="00F31CD2" w:rsidRPr="00FB03DC" w:rsidRDefault="00A71D56">
      <w:pPr>
        <w:spacing w:line="360" w:lineRule="auto"/>
        <w:ind w:firstLine="482"/>
        <w:rPr>
          <w:rFonts w:ascii="仿宋" w:eastAsia="仿宋" w:hAnsi="仿宋"/>
          <w:b/>
          <w:sz w:val="24"/>
          <w:lang w:eastAsia="zh-CN"/>
        </w:rPr>
      </w:pPr>
      <w:r w:rsidRPr="00FB03DC">
        <w:rPr>
          <w:rFonts w:ascii="仿宋" w:eastAsia="仿宋" w:hAnsi="仿宋"/>
          <w:b/>
          <w:sz w:val="24"/>
          <w:lang w:eastAsia="zh-CN"/>
        </w:rPr>
        <w:t xml:space="preserve">结构性存款是一种不同于存款的金融产品，具有一定投资风险，不保证收益。且属短期投资，所涉风险与一般长期投资不同。可能面临的风险主要包括（但不限于）： </w:t>
      </w:r>
    </w:p>
    <w:p w14:paraId="66E3E555" w14:textId="77777777" w:rsidR="00F31CD2" w:rsidRPr="00FB03DC" w:rsidRDefault="00A71D56">
      <w:pPr>
        <w:pStyle w:val="affb"/>
        <w:numPr>
          <w:ilvl w:val="0"/>
          <w:numId w:val="3"/>
        </w:numPr>
        <w:tabs>
          <w:tab w:val="left" w:pos="1134"/>
        </w:tabs>
        <w:spacing w:line="360" w:lineRule="auto"/>
        <w:ind w:firstLine="482"/>
        <w:rPr>
          <w:rFonts w:ascii="仿宋" w:eastAsia="仿宋" w:hAnsi="仿宋"/>
          <w:b/>
          <w:sz w:val="24"/>
        </w:rPr>
      </w:pPr>
      <w:r w:rsidRPr="00FB03DC">
        <w:rPr>
          <w:rFonts w:ascii="仿宋" w:eastAsia="仿宋" w:hAnsi="仿宋"/>
          <w:b/>
          <w:sz w:val="24"/>
        </w:rPr>
        <w:t>流动性风险</w:t>
      </w:r>
    </w:p>
    <w:p w14:paraId="4FE1E251" w14:textId="77777777" w:rsidR="00F31CD2" w:rsidRPr="00FB03DC" w:rsidRDefault="00A71D56">
      <w:pPr>
        <w:pStyle w:val="affb"/>
        <w:tabs>
          <w:tab w:val="left" w:pos="993"/>
        </w:tabs>
        <w:spacing w:line="360" w:lineRule="auto"/>
        <w:ind w:firstLine="482"/>
        <w:rPr>
          <w:rFonts w:ascii="仿宋" w:eastAsia="仿宋" w:hAnsi="仿宋"/>
          <w:b/>
          <w:sz w:val="24"/>
          <w:lang w:eastAsia="zh-CN"/>
        </w:rPr>
      </w:pPr>
      <w:r w:rsidRPr="00FB03DC">
        <w:rPr>
          <w:rFonts w:ascii="仿宋" w:eastAsia="仿宋" w:hAnsi="仿宋"/>
          <w:b/>
          <w:sz w:val="24"/>
          <w:lang w:eastAsia="zh-CN"/>
        </w:rPr>
        <w:t xml:space="preserve">存款期限内，结构性存款可能不能提前终止或赎回在存续期内如果投资者有流动性需求，投资者可能不能使用结构性存款的资金。  </w:t>
      </w:r>
    </w:p>
    <w:p w14:paraId="27B4219B" w14:textId="77777777" w:rsidR="00F31CD2" w:rsidRPr="00FB03DC" w:rsidRDefault="00A71D56">
      <w:pPr>
        <w:pStyle w:val="affb"/>
        <w:numPr>
          <w:ilvl w:val="0"/>
          <w:numId w:val="3"/>
        </w:numPr>
        <w:tabs>
          <w:tab w:val="left" w:pos="993"/>
          <w:tab w:val="left" w:pos="1134"/>
        </w:tabs>
        <w:spacing w:line="360" w:lineRule="auto"/>
        <w:ind w:firstLine="482"/>
        <w:rPr>
          <w:rFonts w:ascii="仿宋" w:eastAsia="仿宋" w:hAnsi="仿宋"/>
          <w:b/>
          <w:sz w:val="24"/>
        </w:rPr>
      </w:pPr>
      <w:r w:rsidRPr="00FB03DC">
        <w:rPr>
          <w:rFonts w:ascii="仿宋" w:eastAsia="仿宋" w:hAnsi="仿宋"/>
          <w:b/>
          <w:sz w:val="24"/>
        </w:rPr>
        <w:t>管理人风险</w:t>
      </w:r>
    </w:p>
    <w:p w14:paraId="447A0B87"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结构性存款管理人或存款投资资产相关服务机构受经验、技能因素的限制，或者上述主题处理事务不当等，可能导致投资者收益遭遇损失。</w:t>
      </w:r>
    </w:p>
    <w:p w14:paraId="19191A2E" w14:textId="77777777" w:rsidR="00F31CD2" w:rsidRPr="00FB03DC" w:rsidRDefault="00A71D56">
      <w:pPr>
        <w:pStyle w:val="affb"/>
        <w:numPr>
          <w:ilvl w:val="0"/>
          <w:numId w:val="3"/>
        </w:numPr>
        <w:tabs>
          <w:tab w:val="left" w:pos="993"/>
        </w:tabs>
        <w:spacing w:line="360" w:lineRule="auto"/>
        <w:ind w:firstLine="482"/>
        <w:rPr>
          <w:rFonts w:ascii="仿宋" w:eastAsia="仿宋" w:hAnsi="仿宋"/>
          <w:b/>
          <w:sz w:val="24"/>
        </w:rPr>
      </w:pPr>
      <w:r w:rsidRPr="00FB03DC">
        <w:rPr>
          <w:rFonts w:ascii="仿宋" w:eastAsia="仿宋" w:hAnsi="仿宋"/>
          <w:b/>
          <w:sz w:val="24"/>
        </w:rPr>
        <w:t>本金及收益波动的风险</w:t>
      </w:r>
    </w:p>
    <w:p w14:paraId="730E0BE8"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结构性存款的收益部分取决于某些可能发生波动的参数值的变化，并受市场多种要素的影响。且持有至到期日的保本结构性存款的收益不会为负值，但可能为零收益或显著低于普通储蓄或定期存款可能获得的收益。非保本结构性存款的收益可能为负值，且本金可能全部丧失。在预定到期日前收回结构性存款的情形下，存款银行所作的调整可能使收益为负。</w:t>
      </w:r>
    </w:p>
    <w:p w14:paraId="7CEBC222" w14:textId="77777777" w:rsidR="00F31CD2" w:rsidRPr="00FB03DC" w:rsidRDefault="00A71D56">
      <w:pPr>
        <w:pStyle w:val="affb"/>
        <w:numPr>
          <w:ilvl w:val="0"/>
          <w:numId w:val="3"/>
        </w:numPr>
        <w:tabs>
          <w:tab w:val="left" w:pos="993"/>
        </w:tabs>
        <w:spacing w:line="360" w:lineRule="auto"/>
        <w:ind w:firstLine="482"/>
        <w:rPr>
          <w:rFonts w:ascii="仿宋" w:eastAsia="仿宋" w:hAnsi="仿宋"/>
          <w:b/>
          <w:sz w:val="24"/>
        </w:rPr>
      </w:pPr>
      <w:r w:rsidRPr="00FB03DC">
        <w:rPr>
          <w:rFonts w:ascii="仿宋" w:eastAsia="仿宋" w:hAnsi="仿宋"/>
          <w:b/>
          <w:sz w:val="24"/>
          <w:lang w:eastAsia="zh-CN"/>
        </w:rPr>
        <w:t xml:space="preserve"> </w:t>
      </w:r>
      <w:r w:rsidRPr="00FB03DC">
        <w:rPr>
          <w:rFonts w:ascii="仿宋" w:eastAsia="仿宋" w:hAnsi="仿宋"/>
          <w:b/>
          <w:sz w:val="24"/>
        </w:rPr>
        <w:t>存款不成立风险</w:t>
      </w:r>
    </w:p>
    <w:p w14:paraId="7B83801E"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在结构性存款起息日之前，国家宏观政策以及市场相关法规政策发生变化，或市场发生剧烈波动，都可能造成结构性存款不成立。</w:t>
      </w:r>
    </w:p>
    <w:p w14:paraId="7ED70325" w14:textId="77777777" w:rsidR="00F31CD2" w:rsidRPr="00FB03DC" w:rsidRDefault="00A71D56">
      <w:pPr>
        <w:pStyle w:val="affb"/>
        <w:numPr>
          <w:ilvl w:val="0"/>
          <w:numId w:val="3"/>
        </w:numPr>
        <w:tabs>
          <w:tab w:val="left" w:pos="993"/>
        </w:tabs>
        <w:spacing w:line="360" w:lineRule="auto"/>
        <w:ind w:firstLine="482"/>
        <w:rPr>
          <w:rFonts w:ascii="仿宋" w:eastAsia="仿宋" w:hAnsi="仿宋"/>
          <w:b/>
          <w:sz w:val="24"/>
        </w:rPr>
      </w:pPr>
      <w:r w:rsidRPr="00FB03DC">
        <w:rPr>
          <w:rFonts w:ascii="仿宋" w:eastAsia="仿宋" w:hAnsi="仿宋"/>
          <w:b/>
          <w:sz w:val="24"/>
        </w:rPr>
        <w:t>汇率风险</w:t>
      </w:r>
    </w:p>
    <w:p w14:paraId="19A09336" w14:textId="77777777" w:rsidR="00F31CD2" w:rsidRPr="00FB03DC" w:rsidRDefault="00A71D56">
      <w:pPr>
        <w:pStyle w:val="affb"/>
        <w:tabs>
          <w:tab w:val="left" w:pos="993"/>
        </w:tabs>
        <w:spacing w:line="360" w:lineRule="auto"/>
        <w:ind w:firstLine="482"/>
        <w:rPr>
          <w:rFonts w:ascii="仿宋" w:eastAsia="仿宋" w:hAnsi="仿宋"/>
          <w:b/>
          <w:sz w:val="24"/>
          <w:lang w:eastAsia="zh-CN"/>
        </w:rPr>
      </w:pPr>
      <w:r w:rsidRPr="00FB03DC">
        <w:rPr>
          <w:rFonts w:ascii="仿宋" w:eastAsia="仿宋" w:hAnsi="仿宋"/>
          <w:b/>
          <w:sz w:val="24"/>
          <w:lang w:eastAsia="zh-CN"/>
        </w:rPr>
        <w:t>汇率对市场作用的反应可能受到央行和其他政府部门的干预。政府可能在未事先预警的情况下施加汇率管制或货币措施，由此可能显著影响某货币的可兑换性或可流转性，对结构性存款产生预期之外的后果。</w:t>
      </w:r>
    </w:p>
    <w:p w14:paraId="403C4054" w14:textId="77777777" w:rsidR="00F31CD2" w:rsidRPr="00FB03DC" w:rsidRDefault="00A71D56">
      <w:pPr>
        <w:pStyle w:val="affb"/>
        <w:numPr>
          <w:ilvl w:val="0"/>
          <w:numId w:val="3"/>
        </w:numPr>
        <w:tabs>
          <w:tab w:val="clear" w:pos="-840"/>
        </w:tabs>
        <w:spacing w:line="360" w:lineRule="auto"/>
        <w:ind w:firstLine="482"/>
        <w:rPr>
          <w:rFonts w:ascii="仿宋" w:eastAsia="仿宋" w:hAnsi="仿宋"/>
          <w:b/>
          <w:sz w:val="24"/>
        </w:rPr>
      </w:pPr>
      <w:r w:rsidRPr="00FB03DC">
        <w:rPr>
          <w:rFonts w:ascii="仿宋" w:eastAsia="仿宋" w:hAnsi="仿宋"/>
          <w:b/>
          <w:sz w:val="24"/>
        </w:rPr>
        <w:t>利益冲突的风险</w:t>
      </w:r>
    </w:p>
    <w:p w14:paraId="627CBBD1"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结构性存款银行的现有的或将来的利益或关系可能导致与结存银行同投资人订立的结构性存款存在利益冲突。</w:t>
      </w:r>
    </w:p>
    <w:p w14:paraId="663E30F1"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bCs/>
          <w:sz w:val="24"/>
          <w:lang w:eastAsia="zh-CN"/>
        </w:rPr>
        <w:t>（3）投资信用联结票据的风险</w:t>
      </w:r>
    </w:p>
    <w:p w14:paraId="7AE87C97"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lastRenderedPageBreak/>
        <w:t>本集合计划的投资范围包括信用联结票据。信用联结票据的投资可能面临流动性风险、偿付风险以及价格波动风险。流动性风险是信用联结票据在交易转让过程中因为无法找到交易对手或交易对手较少导致难以将其变现的风险。偿付风险是在信用联结票据的存续期内，由于不可控制的市场及环境变化，创设机构可能出现经营状况不佳或创设机构的现金流与预期发生一定的偏差，从而影响信用联结票据结算的风险。价格波动风险是由于创设机构或所受保护债券主体经营情况出现变化，导致信用评级机构调整对创设机构或所保护债券的信用级别，引起信用联结票据交易价格波动，从而影响投资者的利益的风险。</w:t>
      </w:r>
    </w:p>
    <w:p w14:paraId="4400B467"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（4）通过第三方基金销售机构投资开放式基金的风险</w:t>
      </w:r>
    </w:p>
    <w:p w14:paraId="6A159D85"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本资产管理计划可通过第三方基金销售机构投资开放式基金，管理人负责选择销售机构，并应确保在销售机构预留的备案回款账户为银行托管账户。托管人对于通过第三方基金销售机构投资开放式基金不承担任何风险。</w:t>
      </w:r>
    </w:p>
    <w:p w14:paraId="5A48E9CE" w14:textId="77777777" w:rsidR="00F31CD2" w:rsidRPr="00FB03DC" w:rsidRDefault="00A71D56">
      <w:pPr>
        <w:pStyle w:val="affb"/>
        <w:spacing w:line="360" w:lineRule="auto"/>
        <w:ind w:firstLine="482"/>
        <w:rPr>
          <w:rFonts w:ascii="仿宋" w:eastAsia="仿宋" w:hAnsi="仿宋"/>
          <w:b/>
          <w:sz w:val="24"/>
          <w:lang w:eastAsia="zh-CN"/>
        </w:rPr>
      </w:pPr>
      <w:r w:rsidRPr="00FB03DC">
        <w:rPr>
          <w:rFonts w:ascii="仿宋" w:eastAsia="仿宋" w:hAnsi="仿宋"/>
          <w:b/>
          <w:sz w:val="24"/>
          <w:lang w:eastAsia="zh-CN"/>
        </w:rPr>
        <w:t>由于通过第三方销售平台购买，可能会存在认（申）购、赎回（现金分红）基金时资金被挪用的风险；第三方销售平台对基金账户管理不当造成投资人持有基金份额不准确的风险；认（申）购款未能用于购买指定基金的风险；以及第三方基金销售平台无基金销售资质的风险。</w:t>
      </w:r>
    </w:p>
    <w:p w14:paraId="3A3E72A8" w14:textId="77777777" w:rsidR="00F31CD2" w:rsidRPr="00FB03DC" w:rsidRDefault="00A71D56">
      <w:pPr>
        <w:spacing w:line="360" w:lineRule="auto"/>
        <w:ind w:firstLine="480"/>
        <w:outlineLvl w:val="1"/>
        <w:rPr>
          <w:rFonts w:ascii="仿宋" w:eastAsia="仿宋" w:hAnsi="仿宋"/>
          <w:sz w:val="24"/>
          <w:lang w:eastAsia="zh-CN"/>
        </w:rPr>
      </w:pPr>
      <w:bookmarkStart w:id="478" w:name="_Toc1818"/>
      <w:bookmarkStart w:id="479" w:name="_Toc5465"/>
      <w:bookmarkStart w:id="480" w:name="_Toc198732014"/>
      <w:r w:rsidRPr="00FB03DC">
        <w:rPr>
          <w:rFonts w:ascii="仿宋" w:eastAsia="仿宋" w:hAnsi="仿宋"/>
          <w:sz w:val="24"/>
          <w:lang w:eastAsia="zh-CN"/>
        </w:rPr>
        <w:t>（二）一般风险揭示</w:t>
      </w:r>
      <w:bookmarkEnd w:id="478"/>
      <w:bookmarkEnd w:id="479"/>
      <w:bookmarkEnd w:id="480"/>
    </w:p>
    <w:p w14:paraId="08C16350" w14:textId="77777777" w:rsidR="00F31CD2" w:rsidRPr="00FB03DC" w:rsidRDefault="00A71D56">
      <w:pPr>
        <w:spacing w:line="360" w:lineRule="auto"/>
        <w:ind w:firstLine="480"/>
        <w:outlineLvl w:val="2"/>
        <w:rPr>
          <w:rFonts w:ascii="仿宋" w:eastAsia="仿宋" w:hAnsi="仿宋"/>
          <w:sz w:val="24"/>
          <w:lang w:eastAsia="zh-CN"/>
        </w:rPr>
      </w:pPr>
      <w:bookmarkStart w:id="481" w:name="_Toc179513240"/>
      <w:r w:rsidRPr="00FB03DC">
        <w:rPr>
          <w:rFonts w:ascii="仿宋" w:eastAsia="仿宋" w:hAnsi="仿宋"/>
          <w:sz w:val="24"/>
          <w:lang w:eastAsia="zh-CN"/>
        </w:rPr>
        <w:t>1、本金损失风险</w:t>
      </w:r>
    </w:p>
    <w:p w14:paraId="7E0BA417"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管理人依照恪尽职守、诚实信用、谨慎勤勉的原则管理和运用资产管理计划财产，但不保证资产管理计划财产中的认（申）购资金本金不受损失，也不保证一定盈利以及最低收益。</w:t>
      </w:r>
    </w:p>
    <w:p w14:paraId="1FA2F0C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2、市场风险</w:t>
      </w:r>
    </w:p>
    <w:p w14:paraId="48FAF341"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资产管理计划的投资品种价格因受经济因素、政治因素、投资心理和交易制度等各种因素影响而引起的波动，导致收益水平变化产生的风险。主要包括：政策风险、经济周期风险、利率风险、购买力风险、再投资风险等。</w:t>
      </w:r>
    </w:p>
    <w:p w14:paraId="5E52E7F7"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3、管理风险</w:t>
      </w:r>
    </w:p>
    <w:p w14:paraId="2D99E96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资产管理计划运作过程中，管理人依据资产管理合同约定管理和运用资产管理计划财产所产生的风险，由资产管理计划财产以及投资者承担。</w:t>
      </w:r>
    </w:p>
    <w:p w14:paraId="049B621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4、流动性风险</w:t>
      </w:r>
    </w:p>
    <w:p w14:paraId="580DFD9E"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lastRenderedPageBreak/>
        <w:t>资产管理计划因市场整体或投资品种流动性不足、应付可能出现的投资者巨额退出或者大额退出等原因，不能迅速转变成现金，或者转变成现金会对资产价格造成重大不利影响的风险。</w:t>
      </w:r>
    </w:p>
    <w:p w14:paraId="2BC76F44"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5、信用风险</w:t>
      </w:r>
    </w:p>
    <w:p w14:paraId="1D04478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因债务人、交易对手或持仓金融头寸的发行人未能按时履约或者信用资质恶化，给资产管理计划带来损失的风险。</w:t>
      </w:r>
    </w:p>
    <w:p w14:paraId="48385531"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6、税收风险</w:t>
      </w:r>
    </w:p>
    <w:p w14:paraId="3429022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资产管理计划所适用的税收征管法律法规可能会由于国家相关税收政策调整而发生变化，投资者收益也可能因相关税收政策调整而受到影响。</w:t>
      </w:r>
    </w:p>
    <w:p w14:paraId="24448BB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资产管理计划运营过程中需要缴纳增值税应税的，将由受托财产承担并从受托财产中支付，按照税务机关的规定以管理人为增值税纳税人履行纳税义务，因此可能增加资产投资者的投资税费成本。</w:t>
      </w:r>
    </w:p>
    <w:p w14:paraId="74B043B1"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7、</w:t>
      </w:r>
      <w:bookmarkEnd w:id="481"/>
      <w:r w:rsidRPr="00FB03DC">
        <w:rPr>
          <w:rFonts w:ascii="仿宋" w:eastAsia="仿宋" w:hAnsi="仿宋"/>
          <w:sz w:val="24"/>
          <w:lang w:eastAsia="zh-CN"/>
        </w:rPr>
        <w:t>合规风险</w:t>
      </w:r>
    </w:p>
    <w:p w14:paraId="2921CC32" w14:textId="3C61E543"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在资产管理计划管理或运作过程中，违反国家法律、法规的规定，或者资产管理计划投资范围、投资比例等违反法规及《华泰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集合资产管理计划资产管理合同》有关规定的风险。管理人可能因此被监管机构采取监管措施或被责令调整资产管理计划投资范围及比例，从而影响资产管理计划的具体运作和投资收益。</w:t>
      </w:r>
    </w:p>
    <w:p w14:paraId="10A36D6A"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8、无法履约风险</w:t>
      </w:r>
    </w:p>
    <w:p w14:paraId="68A9276A" w14:textId="77777777" w:rsidR="00F31CD2" w:rsidRPr="00FB03DC" w:rsidRDefault="00A71D56">
      <w:pPr>
        <w:pStyle w:val="35"/>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管理人因停业、解散、撤销、破产，或者被中国证监会撤销相关业务许可等原因不能履行职责，可能导致受托财产的损失，从而带来风险。</w:t>
      </w:r>
    </w:p>
    <w:p w14:paraId="3C59F848"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9、适当性相关风险</w:t>
      </w:r>
    </w:p>
    <w:p w14:paraId="6296B5C6"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投资者有义务保证其提供的相关信息及材料真实、准确、完整。管理人及销售机构（如有）评定投资者的风险承受能力、作出适当性匹配意见系基于投资者提供的相关信息及证明材料真实、准确、完整的前提下作出；如投资者提供的信息及材料不真实、不准确或不完整，存在虚假记载、误导性陈述或者重大遗漏，可能会导致投资者的风险承受能力评定、适当性匹配意见存在偏差、与实际不符的风险，管理人及销售机构（如有）有权拒绝为投资者提供服</w:t>
      </w:r>
      <w:r w:rsidRPr="00FB03DC">
        <w:rPr>
          <w:rFonts w:ascii="仿宋" w:eastAsia="仿宋" w:hAnsi="仿宋"/>
          <w:sz w:val="24"/>
          <w:lang w:eastAsia="zh-CN"/>
        </w:rPr>
        <w:lastRenderedPageBreak/>
        <w:t>务或拒绝接受投资者的交易申请、业务申请，相关风险、责任、损失由投资者自行承担。</w:t>
      </w:r>
    </w:p>
    <w:p w14:paraId="4AC8620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投资者知晓管理人及销售机构（如有）禁止其工作人员为影响评估结果在投资者填写基本信息表、风险承受能力评估问卷时进行提示、暗示、诱导。</w:t>
      </w:r>
    </w:p>
    <w:p w14:paraId="0466162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投资者在其信息发生重要变化、可能影响管理人及销售机构（如有）对其作出的投资者类别划分、风险承受能力认定时，应主动告知管理人及销售机构（如有），以便管理人及销售机构（如有）作出调整。若投资者未能及时有效告知管理人及销售机构（如有），则存在适当性匹配意见与实际不符的风险，进而可能产生应由投资者自行承担的相应风险、责任、损失。</w:t>
      </w:r>
    </w:p>
    <w:p w14:paraId="5B6D1EC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投资者或产品的信息发生变化时，管理人及销售机构（如有）有权主动调整投资者的投资者分类、产品的风险等级以及适当性匹配意见。管理人及销售机构（如有）作出主动调整的，投资者的交易或者购买产品的资格可能受到影响，进而产生相应的风险。</w:t>
      </w:r>
    </w:p>
    <w:p w14:paraId="04418F42" w14:textId="77777777" w:rsidR="00F31CD2" w:rsidRPr="00FB03DC" w:rsidRDefault="00A71D56">
      <w:pPr>
        <w:spacing w:line="360" w:lineRule="auto"/>
        <w:ind w:firstLine="480"/>
        <w:outlineLvl w:val="2"/>
        <w:rPr>
          <w:rFonts w:ascii="仿宋" w:eastAsia="仿宋" w:hAnsi="仿宋"/>
          <w:sz w:val="24"/>
          <w:lang w:eastAsia="zh-CN"/>
        </w:rPr>
      </w:pPr>
      <w:r w:rsidRPr="00FB03DC">
        <w:rPr>
          <w:rFonts w:ascii="仿宋" w:eastAsia="仿宋" w:hAnsi="仿宋"/>
          <w:sz w:val="24"/>
          <w:lang w:eastAsia="zh-CN"/>
        </w:rPr>
        <w:t>10、其他风险</w:t>
      </w:r>
    </w:p>
    <w:p w14:paraId="622192D8"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包括但不限于：</w:t>
      </w:r>
    </w:p>
    <w:p w14:paraId="3D0B475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1）技术风险。在本集合计划的日常交易中，可能因为技术系统的故障或者差错而影响交易的正常进行或者导致投资者的利益受到影响。这种技术风险可能来自本集合计划管理人、托管人、证券交易所以及证券份额登记机构等。</w:t>
      </w:r>
    </w:p>
    <w:p w14:paraId="74BC39B4"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（2）操作风险。本集合计划管理人、托管人、证券交易所以及证券份额登记机构等在业务操作过程中，因操作失误或违反操作规程而引起的风险。</w:t>
      </w:r>
    </w:p>
    <w:p w14:paraId="73FEA69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（3）因制度建设、人员配备以及内控制度建立等方面不完善而产生的风险。</w:t>
      </w:r>
    </w:p>
    <w:p w14:paraId="0B493CBB"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（4）因人为因素而产生的风险、如内幕交易以及欺诈行为等产生的风险。</w:t>
      </w:r>
    </w:p>
    <w:p w14:paraId="13AB97F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（5）对主要业务人员如投资经理的依赖而可能产生的风险。</w:t>
      </w:r>
    </w:p>
    <w:p w14:paraId="38F2BEBF"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（6）因业务竞争压力可能产生的风险。</w:t>
      </w:r>
    </w:p>
    <w:p w14:paraId="538C6633"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（7）战争、自然灾害等不可抗力因素的出现，将会严重影响证券市场的运行，可能导致受托财产的损失，从而带来风险。</w:t>
      </w:r>
    </w:p>
    <w:p w14:paraId="4C3990F0" w14:textId="77777777" w:rsidR="00F31CD2" w:rsidRPr="00FB03DC" w:rsidRDefault="00A71D56">
      <w:pPr>
        <w:spacing w:line="360" w:lineRule="auto"/>
        <w:ind w:firstLine="480"/>
        <w:rPr>
          <w:rFonts w:ascii="仿宋" w:eastAsia="仿宋" w:hAnsi="仿宋"/>
          <w:sz w:val="24"/>
          <w:lang w:eastAsia="zh-CN"/>
        </w:rPr>
      </w:pPr>
      <w:r w:rsidRPr="00FB03DC">
        <w:rPr>
          <w:rFonts w:ascii="仿宋" w:eastAsia="仿宋" w:hAnsi="仿宋"/>
          <w:sz w:val="24"/>
          <w:lang w:eastAsia="zh-CN"/>
        </w:rPr>
        <w:t>（8）其他意外导致的风险。</w:t>
      </w:r>
      <w:bookmarkEnd w:id="475"/>
      <w:bookmarkEnd w:id="476"/>
      <w:bookmarkEnd w:id="477"/>
    </w:p>
    <w:p w14:paraId="577A1BEE" w14:textId="77777777" w:rsidR="00F31CD2" w:rsidRPr="00FB03DC" w:rsidRDefault="00F31CD2">
      <w:pPr>
        <w:pStyle w:val="35"/>
        <w:spacing w:line="360" w:lineRule="auto"/>
        <w:ind w:firstLine="482"/>
        <w:rPr>
          <w:rFonts w:ascii="仿宋" w:eastAsia="仿宋" w:hAnsi="仿宋"/>
          <w:b/>
          <w:sz w:val="24"/>
          <w:szCs w:val="22"/>
          <w:u w:val="single"/>
          <w:lang w:eastAsia="zh-CN"/>
        </w:rPr>
      </w:pPr>
    </w:p>
    <w:p w14:paraId="2B9F85CE" w14:textId="5D5D5C74" w:rsidR="00F31CD2" w:rsidRPr="00FB03DC" w:rsidRDefault="00F31CD2">
      <w:pPr>
        <w:rPr>
          <w:rFonts w:ascii="仿宋" w:eastAsia="仿宋" w:hAnsi="仿宋"/>
          <w:sz w:val="24"/>
          <w:szCs w:val="24"/>
          <w:lang w:eastAsia="zh-CN"/>
        </w:rPr>
      </w:pPr>
    </w:p>
    <w:p w14:paraId="21DD0AF4" w14:textId="77777777" w:rsidR="00F31CD2" w:rsidRPr="00FB03DC" w:rsidRDefault="00A71D56">
      <w:pPr>
        <w:pStyle w:val="2"/>
        <w:spacing w:before="0" w:after="0" w:line="360" w:lineRule="auto"/>
        <w:ind w:firstLine="420"/>
        <w:rPr>
          <w:rFonts w:ascii="仿宋" w:eastAsia="仿宋" w:hAnsi="仿宋"/>
          <w:b/>
          <w:bCs/>
          <w:lang w:eastAsia="zh-CN"/>
        </w:rPr>
      </w:pPr>
      <w:bookmarkStart w:id="482" w:name="_Toc8025"/>
      <w:bookmarkStart w:id="483" w:name="_Toc159589311"/>
      <w:bookmarkStart w:id="484" w:name="_Toc19574"/>
      <w:bookmarkStart w:id="485" w:name="_Toc30139"/>
      <w:bookmarkStart w:id="486" w:name="_Toc6313429"/>
      <w:bookmarkStart w:id="487" w:name="_Toc10898"/>
      <w:bookmarkStart w:id="488" w:name="_Toc7993"/>
      <w:bookmarkStart w:id="489" w:name="_Toc51775880"/>
      <w:bookmarkStart w:id="490" w:name="_Toc17018"/>
      <w:r w:rsidRPr="00FB03DC">
        <w:rPr>
          <w:rFonts w:ascii="仿宋" w:eastAsia="仿宋" w:hAnsi="仿宋"/>
          <w:b/>
          <w:bCs/>
          <w:lang w:eastAsia="zh-CN"/>
        </w:rPr>
        <w:br w:type="page"/>
      </w:r>
      <w:bookmarkStart w:id="491" w:name="_Toc198732015"/>
      <w:r w:rsidRPr="00FB03DC">
        <w:rPr>
          <w:rFonts w:ascii="仿宋" w:eastAsia="仿宋" w:hAnsi="仿宋"/>
          <w:b/>
          <w:bCs/>
          <w:lang w:eastAsia="zh-CN"/>
        </w:rPr>
        <w:lastRenderedPageBreak/>
        <w:t>二十五、资产管理合同的变更、终止与财产清算</w:t>
      </w:r>
      <w:bookmarkEnd w:id="482"/>
      <w:bookmarkEnd w:id="483"/>
      <w:bookmarkEnd w:id="484"/>
      <w:bookmarkEnd w:id="485"/>
      <w:bookmarkEnd w:id="486"/>
      <w:bookmarkEnd w:id="487"/>
      <w:bookmarkEnd w:id="488"/>
      <w:bookmarkEnd w:id="489"/>
      <w:bookmarkEnd w:id="490"/>
      <w:bookmarkEnd w:id="491"/>
    </w:p>
    <w:p w14:paraId="37F9F853" w14:textId="77777777" w:rsidR="00F31CD2" w:rsidRPr="00FB03DC" w:rsidRDefault="00A71D56">
      <w:pPr>
        <w:spacing w:line="360" w:lineRule="auto"/>
        <w:ind w:firstLine="480"/>
        <w:outlineLvl w:val="1"/>
        <w:rPr>
          <w:rFonts w:ascii="仿宋" w:eastAsia="仿宋" w:hAnsi="仿宋"/>
          <w:sz w:val="24"/>
          <w:lang w:eastAsia="zh-CN"/>
        </w:rPr>
      </w:pPr>
      <w:bookmarkStart w:id="492" w:name="_Toc19477"/>
      <w:bookmarkStart w:id="493" w:name="_Toc198732016"/>
      <w:bookmarkStart w:id="494" w:name="_Toc8577"/>
      <w:r w:rsidRPr="00FB03DC">
        <w:rPr>
          <w:rFonts w:ascii="仿宋" w:eastAsia="仿宋" w:hAnsi="仿宋"/>
          <w:sz w:val="24"/>
          <w:lang w:eastAsia="zh-CN"/>
        </w:rPr>
        <w:t>（一）合同变更的方式、条件和程序</w:t>
      </w:r>
      <w:bookmarkEnd w:id="492"/>
      <w:bookmarkEnd w:id="493"/>
      <w:bookmarkEnd w:id="494"/>
    </w:p>
    <w:p w14:paraId="0BB85F26"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hint="eastAsia"/>
          <w:b/>
          <w:sz w:val="24"/>
          <w:u w:val="single"/>
          <w:lang w:eastAsia="zh-CN"/>
        </w:rPr>
        <w:t>除法律法规的另有规定、本合同另有约定外，本合同的变更按照以下约定执行：</w:t>
      </w:r>
    </w:p>
    <w:p w14:paraId="3B26E3DC"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b/>
          <w:sz w:val="24"/>
          <w:u w:val="single"/>
          <w:lang w:eastAsia="zh-CN"/>
        </w:rPr>
        <w:t>1、本合同签署后，因监管规则变化需要变更资产管理合同的，经管理人与托管人协商一致，可以对资产管理合同内容进行变更，本合同相关内容及条款按相关修订办理并在管理人网站公告。投资者特此同意并认可管理人经与托管人协商，可以对本集合计划合同及说明书与新的监管规则不一致的内容进行更新或修改，更新或修改的内容不得违反法律法规和中国证监会的有关规定，更新或修改的内容在管理人网站公告满5个工作日后生效。投资者对更新或修改的内容有异议，可在更新或修改内容生效前按照本合同的规定申请退出本集合计划。</w:t>
      </w:r>
    </w:p>
    <w:p w14:paraId="5E004B75"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b/>
          <w:sz w:val="24"/>
          <w:u w:val="single"/>
          <w:lang w:eastAsia="zh-CN"/>
        </w:rPr>
        <w:t>2、管理人如需对本合同的产品类型、产品投向、投资比例</w:t>
      </w:r>
      <w:r w:rsidRPr="00FB03DC">
        <w:rPr>
          <w:rFonts w:ascii="仿宋" w:eastAsia="仿宋" w:hAnsi="仿宋" w:hint="eastAsia"/>
          <w:b/>
          <w:sz w:val="24"/>
          <w:u w:val="single"/>
          <w:lang w:eastAsia="zh-CN"/>
        </w:rPr>
        <w:t>、提升管理费率</w:t>
      </w:r>
      <w:r w:rsidRPr="00FB03DC">
        <w:rPr>
          <w:rFonts w:ascii="仿宋" w:eastAsia="仿宋" w:hAnsi="仿宋"/>
          <w:b/>
          <w:sz w:val="24"/>
          <w:u w:val="single"/>
          <w:lang w:eastAsia="zh-CN"/>
        </w:rPr>
        <w:t>等</w:t>
      </w:r>
      <w:r w:rsidRPr="00FB03DC">
        <w:rPr>
          <w:rFonts w:ascii="仿宋" w:eastAsia="仿宋" w:hAnsi="仿宋" w:hint="eastAsia"/>
          <w:b/>
          <w:sz w:val="24"/>
          <w:u w:val="single"/>
          <w:lang w:eastAsia="zh-CN"/>
        </w:rPr>
        <w:t>对投资者权益产生重大影响事项</w:t>
      </w:r>
      <w:r w:rsidRPr="00FB03DC">
        <w:rPr>
          <w:rFonts w:ascii="仿宋" w:eastAsia="仿宋" w:hAnsi="仿宋"/>
          <w:b/>
          <w:sz w:val="24"/>
          <w:u w:val="single"/>
          <w:lang w:eastAsia="zh-CN"/>
        </w:rPr>
        <w:t>做出变更的，</w:t>
      </w:r>
      <w:r w:rsidRPr="00FB03DC">
        <w:rPr>
          <w:rFonts w:ascii="仿宋" w:eastAsia="仿宋" w:hAnsi="仿宋" w:hint="eastAsia"/>
          <w:b/>
          <w:sz w:val="24"/>
          <w:u w:val="single"/>
          <w:lang w:eastAsia="zh-CN"/>
        </w:rPr>
        <w:t>管理人在征得合同各方一致书面同意后可以相应调整变更</w:t>
      </w:r>
      <w:r w:rsidRPr="00FB03DC">
        <w:rPr>
          <w:rFonts w:ascii="仿宋" w:eastAsia="仿宋" w:hAnsi="仿宋"/>
          <w:b/>
          <w:sz w:val="24"/>
          <w:u w:val="single"/>
          <w:lang w:eastAsia="zh-CN"/>
        </w:rPr>
        <w:t>。</w:t>
      </w:r>
    </w:p>
    <w:p w14:paraId="4C5BADDB"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hint="eastAsia"/>
          <w:b/>
          <w:sz w:val="24"/>
          <w:u w:val="single"/>
          <w:lang w:eastAsia="zh-CN"/>
        </w:rPr>
        <w:t>3.</w:t>
      </w:r>
      <w:r w:rsidRPr="00FB03DC">
        <w:rPr>
          <w:rFonts w:ascii="仿宋" w:eastAsia="仿宋" w:hAnsi="仿宋"/>
          <w:b/>
          <w:sz w:val="24"/>
          <w:u w:val="single"/>
          <w:lang w:eastAsia="zh-CN"/>
        </w:rPr>
        <w:t>由于其他原因需要变更合同（不涉及产品产品类型、投资比例、具体投向变更</w:t>
      </w:r>
      <w:r w:rsidRPr="00FB03DC">
        <w:rPr>
          <w:rFonts w:ascii="仿宋" w:eastAsia="仿宋" w:hAnsi="仿宋" w:hint="eastAsia"/>
          <w:b/>
          <w:sz w:val="24"/>
          <w:u w:val="single"/>
          <w:lang w:eastAsia="zh-CN"/>
        </w:rPr>
        <w:t>、提升管理费率</w:t>
      </w:r>
      <w:r w:rsidRPr="00FB03DC">
        <w:rPr>
          <w:rFonts w:ascii="仿宋" w:eastAsia="仿宋" w:hAnsi="仿宋"/>
          <w:b/>
          <w:sz w:val="24"/>
          <w:u w:val="single"/>
          <w:lang w:eastAsia="zh-CN"/>
        </w:rPr>
        <w:t>等</w:t>
      </w:r>
      <w:r w:rsidRPr="00FB03DC">
        <w:rPr>
          <w:rFonts w:ascii="仿宋" w:eastAsia="仿宋" w:hAnsi="仿宋" w:hint="eastAsia"/>
          <w:b/>
          <w:sz w:val="24"/>
          <w:u w:val="single"/>
          <w:lang w:eastAsia="zh-CN"/>
        </w:rPr>
        <w:t>对投资者权益产生重大影响事项</w:t>
      </w:r>
      <w:r w:rsidRPr="00FB03DC">
        <w:rPr>
          <w:rFonts w:ascii="仿宋" w:eastAsia="仿宋" w:hAnsi="仿宋"/>
          <w:b/>
          <w:sz w:val="24"/>
          <w:u w:val="single"/>
          <w:lang w:eastAsia="zh-CN"/>
        </w:rPr>
        <w:t>）的，管理人须以管理人网站公告</w:t>
      </w:r>
      <w:r w:rsidRPr="00FB03DC">
        <w:rPr>
          <w:rFonts w:ascii="仿宋" w:eastAsia="仿宋" w:hAnsi="仿宋" w:hint="eastAsia"/>
          <w:b/>
          <w:sz w:val="24"/>
          <w:u w:val="single"/>
          <w:lang w:eastAsia="zh-CN"/>
        </w:rPr>
        <w:t>及邮件</w:t>
      </w:r>
      <w:r w:rsidRPr="00FB03DC">
        <w:rPr>
          <w:rFonts w:ascii="仿宋" w:eastAsia="仿宋" w:hAnsi="仿宋"/>
          <w:b/>
          <w:bCs/>
          <w:sz w:val="24"/>
          <w:lang w:eastAsia="zh-CN"/>
        </w:rPr>
        <w:t>的</w:t>
      </w:r>
      <w:r w:rsidRPr="00FB03DC">
        <w:rPr>
          <w:rFonts w:ascii="仿宋" w:eastAsia="仿宋" w:hAnsi="仿宋"/>
          <w:b/>
          <w:sz w:val="24"/>
          <w:u w:val="single"/>
          <w:lang w:eastAsia="zh-CN"/>
        </w:rPr>
        <w:t>方式向投资者发送合同变更征询意见，投资者应在征询意见函指定的日期内按指定的形式回复意见。投资者不同意变更的，有权在管理人公告规定的时间内提出退出本集合计划的申请；对于明确答复不同意合同变更但逾期未退出本集合计划的投资者，管理人将统一做强制退出处理（退出价格为退出当日的计划份额净值），具体强制退出时间以管理人变更公告为准。投资者未在前述时间回复意见的，视为投资者同意。变更事项自征询意见函指定的日期届满的次一工作日开始生效，对合同各方均具有法律效力。</w:t>
      </w:r>
    </w:p>
    <w:p w14:paraId="7429890A" w14:textId="77777777" w:rsidR="00F31CD2" w:rsidRPr="00FB03DC" w:rsidRDefault="00A71D56">
      <w:pPr>
        <w:spacing w:line="360" w:lineRule="auto"/>
        <w:ind w:firstLine="482"/>
        <w:rPr>
          <w:rFonts w:ascii="仿宋" w:eastAsia="仿宋" w:hAnsi="仿宋"/>
          <w:b/>
          <w:bCs/>
          <w:sz w:val="24"/>
          <w:lang w:eastAsia="zh-CN"/>
        </w:rPr>
      </w:pPr>
      <w:r w:rsidRPr="00FB03DC">
        <w:rPr>
          <w:rFonts w:ascii="仿宋" w:eastAsia="仿宋" w:hAnsi="仿宋"/>
          <w:b/>
          <w:bCs/>
          <w:sz w:val="24"/>
          <w:lang w:eastAsia="zh-CN"/>
        </w:rPr>
        <w:t>4、合同变更后，投资者、管理人和托管人的应当按照变更后的合同行使相关权利，履行相应义务，同时管理人应当自合同变更之日起5个工作日内报协会备案。</w:t>
      </w:r>
    </w:p>
    <w:p w14:paraId="787B46B5"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b/>
          <w:sz w:val="24"/>
          <w:u w:val="single"/>
          <w:lang w:eastAsia="zh-CN"/>
        </w:rPr>
        <w:lastRenderedPageBreak/>
        <w:t>5、投资者、管理人、托管人不得通过签订补充协议、修改合同等任何方式，约定由管理人或托管人保证集合计划资产投资收益、承担投资损失，或约定排除投资者自行承担投资风险和损失。</w:t>
      </w:r>
    </w:p>
    <w:p w14:paraId="2C54742F"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b/>
          <w:sz w:val="24"/>
          <w:u w:val="single"/>
          <w:lang w:eastAsia="zh-CN"/>
        </w:rPr>
        <w:t>6、全体投资者和托管人一致同意，以下事项可由管理人公告生效，不需要征求托管人以及投资者的意见：（1）调低管理费的费率（2）调低管理费的支付频率（3）调低业绩报酬计提比例（4）调高业绩报酬计提基准。</w:t>
      </w:r>
    </w:p>
    <w:p w14:paraId="3EF9EE3D" w14:textId="77777777" w:rsidR="00F31CD2" w:rsidRPr="00FB03DC" w:rsidRDefault="00A71D56">
      <w:pPr>
        <w:spacing w:line="360" w:lineRule="auto"/>
        <w:ind w:firstLine="482"/>
        <w:rPr>
          <w:rFonts w:ascii="仿宋" w:eastAsia="仿宋" w:hAnsi="仿宋"/>
          <w:b/>
          <w:sz w:val="24"/>
          <w:u w:val="single"/>
          <w:lang w:eastAsia="zh-CN"/>
        </w:rPr>
      </w:pPr>
      <w:r w:rsidRPr="00FB03DC">
        <w:rPr>
          <w:rFonts w:ascii="仿宋" w:eastAsia="仿宋" w:hAnsi="仿宋"/>
          <w:b/>
          <w:sz w:val="24"/>
          <w:u w:val="single"/>
          <w:lang w:eastAsia="zh-CN"/>
        </w:rPr>
        <w:t>7、全体投资者和托管人一致同意，以下事项可由管理人和托管人协商后变更并经公告生效，不需要征求投资者的意见：（1）调低托管费的费率（2）调低托管费的支付频率。</w:t>
      </w:r>
    </w:p>
    <w:p w14:paraId="153578B9" w14:textId="77777777" w:rsidR="00F31CD2" w:rsidRPr="00FB03DC" w:rsidRDefault="00A71D56">
      <w:pPr>
        <w:spacing w:line="360" w:lineRule="auto"/>
        <w:ind w:firstLine="480"/>
        <w:outlineLvl w:val="1"/>
        <w:rPr>
          <w:rFonts w:ascii="仿宋" w:eastAsia="仿宋" w:hAnsi="仿宋"/>
          <w:sz w:val="24"/>
          <w:lang w:eastAsia="zh-CN"/>
        </w:rPr>
      </w:pPr>
      <w:bookmarkStart w:id="495" w:name="_Toc16240"/>
      <w:bookmarkStart w:id="496" w:name="_Toc198732017"/>
      <w:bookmarkStart w:id="497" w:name="_Toc30245"/>
      <w:r w:rsidRPr="00FB03DC">
        <w:rPr>
          <w:rFonts w:ascii="仿宋" w:eastAsia="仿宋" w:hAnsi="仿宋"/>
          <w:sz w:val="24"/>
          <w:lang w:eastAsia="zh-CN"/>
        </w:rPr>
        <w:t>（二）管理人和托管人职责终止的情形和处理方式</w:t>
      </w:r>
      <w:bookmarkEnd w:id="495"/>
      <w:bookmarkEnd w:id="496"/>
      <w:bookmarkEnd w:id="497"/>
    </w:p>
    <w:p w14:paraId="3F650D86" w14:textId="77777777" w:rsidR="00F31CD2" w:rsidRPr="00FB03DC" w:rsidRDefault="00A71D56">
      <w:pPr>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1、管理人和托管人职责终止的情形：</w:t>
      </w:r>
    </w:p>
    <w:p w14:paraId="22C4AFFD"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管理人因被依法撤销资产管理业务资格或者依法解散、被撤销、宣告破产等原因不能履行管理人职责，资产管理计划由其他管理人承接；</w:t>
      </w:r>
    </w:p>
    <w:p w14:paraId="6EA03C5F"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托管人因被依法撤销基金托管资格或者依法解散、被撤销、宣告破产等原因不能履行托管人职责，资产管理计划由其他托管人承接。</w:t>
      </w:r>
    </w:p>
    <w:p w14:paraId="143902F3" w14:textId="77777777" w:rsidR="00F31CD2" w:rsidRPr="00FB03DC" w:rsidRDefault="00A71D56">
      <w:pPr>
        <w:spacing w:line="360" w:lineRule="auto"/>
        <w:ind w:firstLine="480"/>
        <w:outlineLvl w:val="2"/>
        <w:rPr>
          <w:rFonts w:ascii="仿宋" w:eastAsia="仿宋" w:hAnsi="仿宋"/>
          <w:sz w:val="24"/>
          <w:szCs w:val="24"/>
          <w:lang w:eastAsia="zh-CN"/>
        </w:rPr>
      </w:pPr>
      <w:r w:rsidRPr="00FB03DC">
        <w:rPr>
          <w:rFonts w:ascii="仿宋" w:eastAsia="仿宋" w:hAnsi="仿宋"/>
          <w:sz w:val="24"/>
          <w:szCs w:val="24"/>
          <w:lang w:eastAsia="zh-CN"/>
        </w:rPr>
        <w:t>2、管理人和托管人的变更程序</w:t>
      </w:r>
    </w:p>
    <w:p w14:paraId="6A32D042"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（1）管理人的变更程序</w:t>
      </w:r>
    </w:p>
    <w:p w14:paraId="3A6C65B8" w14:textId="62F0A841"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新任管理人由全体投资者一致同意并共同选定。全体投资者应当于上述管理人职责终止事项发生后【20】个工作日内发起新任管理人的选定程序。管理人职责终止事项发生后6个月内未选定新任管理人的，本集合计划终止。</w:t>
      </w:r>
    </w:p>
    <w:p w14:paraId="6B871357"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2）新任管理人产生之前，由中国证监会或其他有权机构指定临时管理人。</w:t>
      </w:r>
    </w:p>
    <w:p w14:paraId="37FDE618"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3）新任管理人的选任结果应向相关监管机构报告，报告完成后变更管理人生效。</w:t>
      </w:r>
    </w:p>
    <w:p w14:paraId="2270F95E"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4）管理人应于变更管理人生效后的【5】个工作日内在管理人网站公告。</w:t>
      </w:r>
    </w:p>
    <w:p w14:paraId="631B4C09"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管理人职责终止的，管理人应妥善保管集合计划管理业务资料，及时向临时管理人或新任管理人办理集合计划管理业务的移交手续，临时管理人或新任管理人应及时接收。新任管理人或临时管理人应与托管人核对集合计划资产总值和净值。</w:t>
      </w:r>
    </w:p>
    <w:p w14:paraId="2940DAA6"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lastRenderedPageBreak/>
        <w:t>6）管理人职责终止的，应当按照法律法规规定聘请会计师事务所对集合计划资产进行审计，并将审计结果予以公告，同时向相关监管机构备案，审计费用在集合计划资产中列支。</w:t>
      </w:r>
    </w:p>
    <w:p w14:paraId="3810E2EE"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7）管理人更换后，如果原任或新任管理人要求，应按其要求替换或删除集合计划名称中与原任管理人有关的名称字样。</w:t>
      </w:r>
    </w:p>
    <w:p w14:paraId="7ADE8904"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（2）托管人的变更程序</w:t>
      </w:r>
    </w:p>
    <w:p w14:paraId="463B665F" w14:textId="4573B6E8"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1）新任托管人由管理人和全体投资者一致同意并共同选定。管理人和全体投资者应当于上述托管人职责终止事项发生后【20】个工作日内发起新任托管人的选任程序。托管人职责终止事项发生后6个月内未选定新任托管人的，本集合计划终止。</w:t>
      </w:r>
    </w:p>
    <w:p w14:paraId="6FD33788"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2）新任托管人产生之前，由中国证监会或其他有权机构指定临时托管人。</w:t>
      </w:r>
    </w:p>
    <w:p w14:paraId="15064143"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3）新任托管人的选任结果应</w:t>
      </w:r>
      <w:r w:rsidRPr="00FB03DC">
        <w:rPr>
          <w:rFonts w:ascii="仿宋" w:eastAsia="仿宋" w:hAnsi="仿宋" w:cs="FangSong"/>
          <w:color w:val="000000"/>
          <w:sz w:val="24"/>
          <w:lang w:eastAsia="zh-CN"/>
        </w:rPr>
        <w:t>由管理人</w:t>
      </w:r>
      <w:r w:rsidRPr="00FB03DC">
        <w:rPr>
          <w:rFonts w:ascii="仿宋" w:eastAsia="仿宋" w:hAnsi="仿宋"/>
          <w:sz w:val="24"/>
          <w:szCs w:val="24"/>
          <w:lang w:eastAsia="zh-CN"/>
        </w:rPr>
        <w:t>向相关监管机构报告，报告完成后变更托管人生效。</w:t>
      </w:r>
    </w:p>
    <w:p w14:paraId="2C026DB3"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4）管理人应于变更托管人生效后的【5】个工作日内在管理人网站公告。</w:t>
      </w:r>
    </w:p>
    <w:p w14:paraId="74373501"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5）托管人职责终止的，托管人应当妥善保管集合计划资产和集合计划托管业务资料，及时向临时托管人或新任托管人办理移交手续，新任托管人或者临时托管人应当及时接收。新任托管人或临时托管人应与管理人核对集合计划资产总值和净值。</w:t>
      </w:r>
    </w:p>
    <w:p w14:paraId="04F9646C"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6）托管人职责终止的，应当按照法律法规规定聘请会计师事务所对集合计划资产进行审计，并将审计结果予以公告，同时向相关监管机构报备；审计费用在集合计划资产中列支。</w:t>
      </w:r>
    </w:p>
    <w:p w14:paraId="6E8E3CDA" w14:textId="77777777" w:rsidR="00F31CD2" w:rsidRPr="00FB03DC" w:rsidRDefault="00A71D56">
      <w:pPr>
        <w:spacing w:line="360" w:lineRule="auto"/>
        <w:ind w:firstLine="420"/>
        <w:outlineLvl w:val="1"/>
        <w:rPr>
          <w:rFonts w:ascii="仿宋" w:eastAsia="仿宋" w:hAnsi="仿宋"/>
          <w:sz w:val="24"/>
          <w:lang w:eastAsia="zh-CN"/>
        </w:rPr>
      </w:pPr>
      <w:bookmarkStart w:id="498" w:name="_Toc21670"/>
      <w:bookmarkStart w:id="499" w:name="_Toc198732018"/>
      <w:bookmarkStart w:id="500" w:name="_Toc29564"/>
      <w:r w:rsidRPr="00FB03DC">
        <w:rPr>
          <w:rFonts w:ascii="仿宋" w:eastAsia="仿宋" w:hAnsi="仿宋"/>
          <w:sz w:val="24"/>
          <w:lang w:eastAsia="zh-CN"/>
        </w:rPr>
        <w:t>（三）资产管理计划的展期</w:t>
      </w:r>
      <w:bookmarkEnd w:id="498"/>
      <w:bookmarkEnd w:id="499"/>
      <w:bookmarkEnd w:id="500"/>
    </w:p>
    <w:p w14:paraId="61C16B2F"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本集合计划可以展期。</w:t>
      </w:r>
    </w:p>
    <w:p w14:paraId="5439CACE" w14:textId="77777777" w:rsidR="00F31CD2" w:rsidRPr="00FB03DC" w:rsidRDefault="00A71D56">
      <w:pPr>
        <w:spacing w:line="360" w:lineRule="auto"/>
        <w:ind w:firstLine="360"/>
        <w:outlineLvl w:val="2"/>
        <w:rPr>
          <w:rFonts w:ascii="仿宋" w:eastAsia="仿宋" w:hAnsi="仿宋"/>
          <w:sz w:val="24"/>
          <w:szCs w:val="24"/>
          <w:lang w:eastAsia="zh-CN"/>
        </w:rPr>
      </w:pPr>
      <w:r w:rsidRPr="00FB03DC">
        <w:rPr>
          <w:rFonts w:ascii="仿宋" w:eastAsia="仿宋" w:hAnsi="仿宋"/>
          <w:sz w:val="24"/>
          <w:szCs w:val="24"/>
          <w:lang w:eastAsia="zh-CN"/>
        </w:rPr>
        <w:t>1、展期的条件</w:t>
      </w:r>
    </w:p>
    <w:p w14:paraId="48262DC8"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（1）资产管理计划运作规范，管理人、托管人未违反法律、行政法规、中国证监会规定和资产管理合同的约定；</w:t>
      </w:r>
    </w:p>
    <w:p w14:paraId="7BB72F8A"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（2）资产管理计划展期没有损害投资者利益的情形；</w:t>
      </w:r>
    </w:p>
    <w:p w14:paraId="3DA7B1D3"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（3）符合资产管理计划的成立条件；</w:t>
      </w:r>
    </w:p>
    <w:p w14:paraId="655DCCAF"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（4）中国证监会规定的其他条件。</w:t>
      </w:r>
    </w:p>
    <w:p w14:paraId="5A823807" w14:textId="77777777" w:rsidR="00F31CD2" w:rsidRPr="00FB03DC" w:rsidRDefault="00A71D56">
      <w:pPr>
        <w:spacing w:line="360" w:lineRule="auto"/>
        <w:ind w:firstLine="360"/>
        <w:outlineLvl w:val="2"/>
        <w:rPr>
          <w:rFonts w:ascii="仿宋" w:eastAsia="仿宋" w:hAnsi="仿宋"/>
          <w:sz w:val="24"/>
          <w:szCs w:val="24"/>
          <w:lang w:eastAsia="zh-CN"/>
        </w:rPr>
      </w:pPr>
      <w:r w:rsidRPr="00FB03DC">
        <w:rPr>
          <w:rFonts w:ascii="仿宋" w:eastAsia="仿宋" w:hAnsi="仿宋"/>
          <w:sz w:val="24"/>
          <w:szCs w:val="24"/>
          <w:lang w:eastAsia="zh-CN"/>
        </w:rPr>
        <w:lastRenderedPageBreak/>
        <w:t>2、展期的安排</w:t>
      </w:r>
    </w:p>
    <w:p w14:paraId="50AC584E"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（1）展期的方式</w:t>
      </w:r>
    </w:p>
    <w:p w14:paraId="7EC49A86"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本集合计划原存续期届满前，管理人可以决定到期清算终止或展期继续管理本集合计划。本集合计划拟展期的，管理人应当在计划存续期届满前1个月或者管理人认为合理的期限内征询托管人是否同意继续托管展期后的集合计划资产。在获得托管人同意后，管理人可开展本集合计划展期准备事宜，通过公告</w:t>
      </w:r>
      <w:r w:rsidRPr="00FB03DC">
        <w:rPr>
          <w:rFonts w:ascii="仿宋" w:eastAsia="仿宋" w:hAnsi="仿宋" w:hint="eastAsia"/>
          <w:sz w:val="24"/>
          <w:szCs w:val="24"/>
          <w:lang w:eastAsia="zh-CN"/>
        </w:rPr>
        <w:t>及邮件</w:t>
      </w:r>
      <w:r w:rsidRPr="00FB03DC">
        <w:rPr>
          <w:rFonts w:ascii="仿宋" w:eastAsia="仿宋" w:hAnsi="仿宋"/>
          <w:sz w:val="24"/>
          <w:szCs w:val="24"/>
          <w:lang w:eastAsia="zh-CN"/>
        </w:rPr>
        <w:t>等形式通知投资者展期安排，并按照资产管理合同的约定进行展期。</w:t>
      </w:r>
    </w:p>
    <w:p w14:paraId="5768FFFD"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（2）投资者回复的方式</w:t>
      </w:r>
    </w:p>
    <w:p w14:paraId="723169BE"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投资者应当在管理人指定网站公告之日起20个工作日内以书面或管理人约定的其他方式明确回复意见。</w:t>
      </w:r>
      <w:r w:rsidRPr="00FB03DC">
        <w:rPr>
          <w:rFonts w:ascii="仿宋" w:eastAsia="仿宋" w:hAnsi="仿宋"/>
          <w:b/>
          <w:bCs/>
          <w:sz w:val="24"/>
          <w:szCs w:val="24"/>
          <w:u w:val="single"/>
          <w:lang w:eastAsia="zh-CN"/>
        </w:rPr>
        <w:t>若投资者未回复意见或回复意见不明确的，视为同意展期</w:t>
      </w:r>
      <w:r w:rsidRPr="00FB03DC">
        <w:rPr>
          <w:rFonts w:ascii="仿宋" w:eastAsia="仿宋" w:hAnsi="仿宋" w:hint="eastAsia"/>
          <w:lang w:eastAsia="zh-CN"/>
        </w:rPr>
        <w:t>。</w:t>
      </w:r>
    </w:p>
    <w:p w14:paraId="6CB2A03F" w14:textId="77777777" w:rsidR="00F31CD2" w:rsidRPr="00FB03DC" w:rsidRDefault="00A71D56">
      <w:pPr>
        <w:spacing w:line="360" w:lineRule="auto"/>
        <w:ind w:firstLine="360"/>
        <w:outlineLvl w:val="2"/>
        <w:rPr>
          <w:rFonts w:ascii="仿宋" w:eastAsia="仿宋" w:hAnsi="仿宋"/>
          <w:sz w:val="24"/>
          <w:szCs w:val="24"/>
          <w:lang w:eastAsia="zh-CN"/>
        </w:rPr>
      </w:pPr>
      <w:r w:rsidRPr="00FB03DC">
        <w:rPr>
          <w:rFonts w:ascii="仿宋" w:eastAsia="仿宋" w:hAnsi="仿宋"/>
          <w:sz w:val="24"/>
          <w:szCs w:val="24"/>
          <w:lang w:eastAsia="zh-CN"/>
        </w:rPr>
        <w:t>3、投资者不同意展期的处理办法</w:t>
      </w:r>
    </w:p>
    <w:p w14:paraId="1BBA8567" w14:textId="77777777" w:rsidR="00F31CD2" w:rsidRPr="00FB03DC" w:rsidRDefault="00A71D56">
      <w:pPr>
        <w:spacing w:line="360" w:lineRule="auto"/>
        <w:ind w:firstLine="361"/>
        <w:rPr>
          <w:rFonts w:ascii="仿宋" w:eastAsia="仿宋" w:hAnsi="仿宋"/>
          <w:sz w:val="24"/>
          <w:szCs w:val="24"/>
          <w:u w:val="single"/>
          <w:lang w:eastAsia="zh-CN"/>
        </w:rPr>
      </w:pPr>
      <w:r w:rsidRPr="00FB03DC">
        <w:rPr>
          <w:rFonts w:ascii="仿宋" w:eastAsia="仿宋" w:hAnsi="仿宋"/>
          <w:b/>
          <w:bCs/>
          <w:sz w:val="24"/>
          <w:szCs w:val="24"/>
          <w:u w:val="single"/>
          <w:lang w:eastAsia="zh-CN"/>
        </w:rPr>
        <w:t>若投资者明确回复不同意展期，投资者有权在存续期届满日前（含届满日）到销售机构办理退出手续（管理人可以在公告中约定开放日，为投资者办理退出手续）；若投资者未在存续期届满日前（含届满日）到销售机构办理退出手续，则管理人有权决定强制将其份额退出</w:t>
      </w:r>
      <w:r w:rsidRPr="00FB03DC">
        <w:rPr>
          <w:rFonts w:ascii="仿宋" w:eastAsia="仿宋" w:hAnsi="仿宋" w:hint="eastAsia"/>
          <w:b/>
          <w:bCs/>
          <w:sz w:val="24"/>
          <w:szCs w:val="24"/>
          <w:u w:val="single"/>
          <w:lang w:eastAsia="zh-CN"/>
        </w:rPr>
        <w:t>。</w:t>
      </w:r>
    </w:p>
    <w:p w14:paraId="5D9C8547" w14:textId="77777777" w:rsidR="00F31CD2" w:rsidRPr="00FB03DC" w:rsidRDefault="00A71D56">
      <w:pPr>
        <w:spacing w:line="360" w:lineRule="auto"/>
        <w:ind w:firstLine="360"/>
        <w:outlineLvl w:val="2"/>
        <w:rPr>
          <w:rFonts w:ascii="仿宋" w:eastAsia="仿宋" w:hAnsi="仿宋"/>
          <w:sz w:val="24"/>
          <w:szCs w:val="24"/>
          <w:lang w:eastAsia="zh-CN"/>
        </w:rPr>
      </w:pPr>
      <w:r w:rsidRPr="00FB03DC">
        <w:rPr>
          <w:rFonts w:ascii="仿宋" w:eastAsia="仿宋" w:hAnsi="仿宋"/>
          <w:sz w:val="24"/>
          <w:szCs w:val="24"/>
          <w:lang w:eastAsia="zh-CN"/>
        </w:rPr>
        <w:t>4、展期的实现</w:t>
      </w:r>
    </w:p>
    <w:p w14:paraId="58B1CBDC"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如果展期征求意见后本计划满足展期条件的，则集合计划存续期将依法展期；</w:t>
      </w:r>
    </w:p>
    <w:p w14:paraId="37E6934F" w14:textId="77777777" w:rsidR="00F31CD2" w:rsidRPr="00FB03DC" w:rsidRDefault="00A71D56">
      <w:pPr>
        <w:spacing w:line="360" w:lineRule="auto"/>
        <w:ind w:firstLine="360"/>
        <w:rPr>
          <w:rFonts w:ascii="仿宋" w:eastAsia="仿宋" w:hAnsi="仿宋"/>
          <w:sz w:val="24"/>
          <w:szCs w:val="24"/>
          <w:lang w:eastAsia="zh-CN"/>
        </w:rPr>
      </w:pPr>
      <w:r w:rsidRPr="00FB03DC">
        <w:rPr>
          <w:rFonts w:ascii="仿宋" w:eastAsia="仿宋" w:hAnsi="仿宋"/>
          <w:sz w:val="24"/>
          <w:szCs w:val="24"/>
          <w:lang w:eastAsia="zh-CN"/>
        </w:rPr>
        <w:t>如果同意本集合计划展期的投资者人数低于2人或者其他不满足展期条件要求的，将按照本合同及相关法律文件的约定办理计划到期终止和清算事宜。</w:t>
      </w:r>
    </w:p>
    <w:p w14:paraId="23AE161E" w14:textId="77777777" w:rsidR="00F31CD2" w:rsidRPr="00FB03DC" w:rsidRDefault="00A71D56">
      <w:pPr>
        <w:spacing w:line="360" w:lineRule="auto"/>
        <w:ind w:firstLine="420"/>
        <w:outlineLvl w:val="1"/>
        <w:rPr>
          <w:rFonts w:ascii="仿宋" w:eastAsia="仿宋" w:hAnsi="仿宋"/>
          <w:sz w:val="24"/>
          <w:lang w:eastAsia="zh-CN"/>
        </w:rPr>
      </w:pPr>
      <w:bookmarkStart w:id="501" w:name="_Toc198732019"/>
      <w:bookmarkStart w:id="502" w:name="_Toc13667"/>
      <w:bookmarkStart w:id="503" w:name="_Toc22619"/>
      <w:r w:rsidRPr="00FB03DC">
        <w:rPr>
          <w:rFonts w:ascii="仿宋" w:eastAsia="仿宋" w:hAnsi="仿宋"/>
          <w:sz w:val="24"/>
          <w:lang w:eastAsia="zh-CN"/>
        </w:rPr>
        <w:t>（四）有下列情形之一的，集合计划应当终止：</w:t>
      </w:r>
      <w:bookmarkEnd w:id="501"/>
      <w:bookmarkEnd w:id="502"/>
      <w:bookmarkEnd w:id="503"/>
    </w:p>
    <w:p w14:paraId="68933D42"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1、资产管理计划存续期届满且不展期；</w:t>
      </w:r>
    </w:p>
    <w:p w14:paraId="73A20E4D"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2、管理人被依法撤销资产管理业务资格或者依法解散、被撤销、宣告破产，且在6个月内没有新的管理人承接；</w:t>
      </w:r>
    </w:p>
    <w:p w14:paraId="2B0B8D72"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3、托管人被依法撤销基金托管资格或者依法解散、被撤销、宣告破产，且在6个月内没有新的托管人承接；</w:t>
      </w:r>
    </w:p>
    <w:p w14:paraId="753E106C" w14:textId="77777777" w:rsidR="00F31CD2" w:rsidRPr="00FB03DC" w:rsidRDefault="00A71D56">
      <w:pPr>
        <w:pStyle w:val="ab"/>
        <w:spacing w:after="0" w:line="360" w:lineRule="auto"/>
        <w:ind w:firstLine="420"/>
        <w:rPr>
          <w:rFonts w:ascii="仿宋" w:eastAsia="仿宋" w:hAnsi="仿宋"/>
          <w:iCs/>
          <w:sz w:val="24"/>
          <w:lang w:eastAsia="zh-CN"/>
        </w:rPr>
      </w:pPr>
      <w:r w:rsidRPr="00FB03DC">
        <w:rPr>
          <w:rFonts w:ascii="仿宋" w:eastAsia="仿宋" w:hAnsi="仿宋"/>
          <w:iCs/>
          <w:sz w:val="24"/>
          <w:lang w:eastAsia="zh-CN"/>
        </w:rPr>
        <w:t>4、经全体投资者、管理人和托管人协商一致决定终止；</w:t>
      </w:r>
    </w:p>
    <w:p w14:paraId="69090069"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5、持续5个工作日投资者少于2人；</w:t>
      </w:r>
    </w:p>
    <w:p w14:paraId="19619BAE"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lastRenderedPageBreak/>
        <w:t>6、份额持有人大会决定提前终止（如有持有人大会）；</w:t>
      </w:r>
    </w:p>
    <w:p w14:paraId="509E2C64"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iCs/>
          <w:sz w:val="24"/>
          <w:lang w:eastAsia="zh-CN"/>
        </w:rPr>
        <w:t>7、集合计划资产净值低于1000万元情形的，管理人有权视计划运作情况终止本计划；</w:t>
      </w:r>
    </w:p>
    <w:p w14:paraId="5F19CB6C"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8、未在协会完成备案或不予备案；</w:t>
      </w:r>
    </w:p>
    <w:p w14:paraId="7B9DD8EE"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9、战争、自然灾害等不可抗力的发生导致本集合计划不能存续；</w:t>
      </w:r>
    </w:p>
    <w:p w14:paraId="71981579"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10、</w:t>
      </w:r>
      <w:r w:rsidRPr="00FB03DC">
        <w:rPr>
          <w:rFonts w:ascii="仿宋" w:eastAsia="仿宋" w:hAnsi="仿宋"/>
          <w:b/>
          <w:bCs/>
          <w:iCs/>
          <w:sz w:val="24"/>
          <w:lang w:eastAsia="zh-CN"/>
        </w:rPr>
        <w:t>发生影响或可能影响本计划运作的情形（包括但不限于市场环境、策略有效性及法律法规变动、证监会或相关自律组织不时发布的监管意见等），管理人有权视情况决定终止本集合计划</w:t>
      </w:r>
      <w:r w:rsidRPr="00FB03DC">
        <w:rPr>
          <w:rFonts w:ascii="仿宋" w:eastAsia="仿宋" w:hAnsi="仿宋"/>
          <w:iCs/>
          <w:sz w:val="24"/>
          <w:lang w:eastAsia="zh-CN"/>
        </w:rPr>
        <w:t xml:space="preserve">； </w:t>
      </w:r>
    </w:p>
    <w:p w14:paraId="727CBC43"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11、法律、行政法规、中国证监会规定以及资产管理合同约定的其他情形。</w:t>
      </w:r>
    </w:p>
    <w:p w14:paraId="364F598A" w14:textId="77777777" w:rsidR="00F31CD2" w:rsidRPr="00FB03DC" w:rsidRDefault="00A71D56" w:rsidP="00FB03DC">
      <w:pPr>
        <w:spacing w:line="360" w:lineRule="auto"/>
        <w:ind w:firstLine="425"/>
        <w:rPr>
          <w:rFonts w:ascii="仿宋" w:eastAsia="仿宋" w:hAnsi="仿宋"/>
          <w:sz w:val="24"/>
          <w:lang w:eastAsia="zh-CN"/>
        </w:rPr>
      </w:pPr>
      <w:r w:rsidRPr="00FB03DC">
        <w:rPr>
          <w:rFonts w:ascii="仿宋" w:eastAsia="仿宋" w:hAnsi="仿宋"/>
          <w:iCs/>
          <w:sz w:val="24"/>
          <w:lang w:eastAsia="zh-CN"/>
        </w:rPr>
        <w:t>管理人应当自资产管理计划终止之日起5个工作日内报告协会。</w:t>
      </w:r>
    </w:p>
    <w:p w14:paraId="1D2ADF13" w14:textId="77777777" w:rsidR="00F31CD2" w:rsidRPr="00FB03DC" w:rsidRDefault="00A71D56" w:rsidP="00FB03DC">
      <w:pPr>
        <w:spacing w:line="360" w:lineRule="auto"/>
        <w:ind w:firstLine="420"/>
        <w:rPr>
          <w:rFonts w:ascii="仿宋" w:eastAsia="仿宋" w:hAnsi="仿宋"/>
          <w:iCs/>
          <w:sz w:val="24"/>
          <w:lang w:eastAsia="zh-CN"/>
        </w:rPr>
      </w:pPr>
      <w:bookmarkStart w:id="504" w:name="_Toc26370"/>
      <w:bookmarkStart w:id="505" w:name="_Toc198732020"/>
      <w:bookmarkStart w:id="506" w:name="_Toc10113"/>
      <w:r w:rsidRPr="00FB03DC">
        <w:rPr>
          <w:rFonts w:ascii="仿宋" w:eastAsia="仿宋" w:hAnsi="仿宋"/>
          <w:sz w:val="24"/>
          <w:lang w:eastAsia="zh-CN"/>
        </w:rPr>
        <w:t>（五）</w:t>
      </w:r>
      <w:r w:rsidRPr="00FB03DC">
        <w:rPr>
          <w:rFonts w:ascii="仿宋" w:eastAsia="仿宋" w:hAnsi="仿宋"/>
          <w:iCs/>
          <w:sz w:val="24"/>
          <w:lang w:eastAsia="zh-CN"/>
        </w:rPr>
        <w:t>具备下列情形之一的，托管人有权立即终止提供托管服务、冻结涉恐资金、要求赔偿损失或采取其他反洗钱管控措施：</w:t>
      </w:r>
    </w:p>
    <w:p w14:paraId="10BC8A83" w14:textId="77777777" w:rsidR="00F31CD2" w:rsidRPr="00FB03DC" w:rsidRDefault="00A71D56" w:rsidP="00FB03DC">
      <w:pPr>
        <w:spacing w:line="360" w:lineRule="auto"/>
        <w:ind w:firstLine="420"/>
        <w:rPr>
          <w:rFonts w:ascii="仿宋" w:eastAsia="仿宋" w:hAnsi="仿宋"/>
          <w:iCs/>
          <w:sz w:val="24"/>
          <w:lang w:eastAsia="zh-CN"/>
        </w:rPr>
      </w:pPr>
      <w:r w:rsidRPr="00FB03DC">
        <w:rPr>
          <w:rFonts w:ascii="仿宋" w:eastAsia="仿宋" w:hAnsi="仿宋"/>
          <w:iCs/>
          <w:sz w:val="24"/>
          <w:lang w:eastAsia="zh-CN"/>
        </w:rPr>
        <w:t>1、投资者、管理人被列入国际组织、当地监管或有关外国政府的制裁名单，且相关名单在托管人或当地监管禁止提供账户服务、禁止交易之列；</w:t>
      </w:r>
    </w:p>
    <w:p w14:paraId="2C1A7651" w14:textId="77777777" w:rsidR="00F31CD2" w:rsidRPr="00FB03DC" w:rsidRDefault="00A71D56" w:rsidP="00FB03DC">
      <w:pPr>
        <w:spacing w:line="360" w:lineRule="auto"/>
        <w:ind w:firstLine="420"/>
        <w:rPr>
          <w:rFonts w:ascii="仿宋" w:eastAsia="仿宋" w:hAnsi="仿宋"/>
          <w:iCs/>
          <w:sz w:val="24"/>
          <w:lang w:eastAsia="zh-CN"/>
        </w:rPr>
      </w:pPr>
      <w:r w:rsidRPr="00FB03DC">
        <w:rPr>
          <w:rFonts w:ascii="仿宋" w:eastAsia="仿宋" w:hAnsi="仿宋"/>
          <w:iCs/>
          <w:sz w:val="24"/>
          <w:lang w:eastAsia="zh-CN"/>
        </w:rPr>
        <w:t>2、投资者、管理人从事洗钱、恐怖融资或其他违法犯罪行为被司法机关定罪量刑；</w:t>
      </w:r>
    </w:p>
    <w:p w14:paraId="0E39DA25" w14:textId="77777777" w:rsidR="00F31CD2" w:rsidRPr="00FB03DC" w:rsidRDefault="00A71D56" w:rsidP="00FB03DC">
      <w:pPr>
        <w:spacing w:line="360" w:lineRule="auto"/>
        <w:ind w:firstLine="420"/>
        <w:rPr>
          <w:rFonts w:ascii="仿宋" w:eastAsia="仿宋" w:hAnsi="仿宋"/>
          <w:iCs/>
          <w:sz w:val="24"/>
          <w:lang w:eastAsia="zh-CN"/>
        </w:rPr>
      </w:pPr>
      <w:r w:rsidRPr="00FB03DC">
        <w:rPr>
          <w:rFonts w:ascii="仿宋" w:eastAsia="仿宋" w:hAnsi="仿宋"/>
          <w:iCs/>
          <w:sz w:val="24"/>
          <w:lang w:eastAsia="zh-CN"/>
        </w:rPr>
        <w:t>3、投资者、管理人涉嫌洗钱、恐怖融资或其他违法犯罪行为被诉讼或调查，使托管人遭受或可能遭受巨大声誉、财务等损失；</w:t>
      </w:r>
    </w:p>
    <w:p w14:paraId="5C727350" w14:textId="77777777" w:rsidR="00F31CD2" w:rsidRPr="00FB03DC" w:rsidRDefault="00A71D56" w:rsidP="00FB03DC">
      <w:pPr>
        <w:spacing w:line="360" w:lineRule="auto"/>
        <w:ind w:firstLine="420"/>
        <w:rPr>
          <w:rFonts w:ascii="仿宋" w:eastAsia="仿宋" w:hAnsi="仿宋"/>
          <w:iCs/>
          <w:sz w:val="24"/>
          <w:lang w:eastAsia="zh-CN"/>
        </w:rPr>
      </w:pPr>
      <w:r w:rsidRPr="00FB03DC">
        <w:rPr>
          <w:rFonts w:ascii="仿宋" w:eastAsia="仿宋" w:hAnsi="仿宋"/>
          <w:iCs/>
          <w:sz w:val="24"/>
          <w:lang w:eastAsia="zh-CN"/>
        </w:rPr>
        <w:t>4、有合理理由怀疑投资者、管理人涉嫌洗钱、恐怖融资或其他违法犯罪行为，要求投资者、管理人提供证明交易合法性、真实性等相关材料，投资者、管理人无合理理由拒绝配合。</w:t>
      </w:r>
    </w:p>
    <w:p w14:paraId="2DBEB4E8" w14:textId="77777777" w:rsidR="00F31CD2" w:rsidRPr="00FB03DC" w:rsidRDefault="00A71D56" w:rsidP="00FB03DC">
      <w:pPr>
        <w:spacing w:line="360" w:lineRule="auto"/>
        <w:ind w:firstLine="420"/>
        <w:rPr>
          <w:rFonts w:ascii="仿宋" w:eastAsia="仿宋" w:hAnsi="仿宋"/>
          <w:iCs/>
          <w:sz w:val="24"/>
          <w:lang w:eastAsia="zh-CN"/>
        </w:rPr>
      </w:pPr>
      <w:r w:rsidRPr="00FB03DC">
        <w:rPr>
          <w:rFonts w:ascii="仿宋" w:eastAsia="仿宋" w:hAnsi="仿宋"/>
          <w:iCs/>
          <w:sz w:val="24"/>
          <w:lang w:eastAsia="zh-CN"/>
        </w:rPr>
        <w:t>5、投资者、管理人未建立合理有效的客户尽职调查等反洗钱内部控制机制，托管人评估认为投资者、管理人在反洗钱、恐怖融资及制裁合规风险管理方面风险等级过高。</w:t>
      </w:r>
    </w:p>
    <w:p w14:paraId="082EF0E4" w14:textId="77777777" w:rsidR="00F31CD2" w:rsidRPr="00FB03DC" w:rsidRDefault="00A71D56">
      <w:pPr>
        <w:spacing w:line="360" w:lineRule="auto"/>
        <w:ind w:firstLine="420"/>
        <w:outlineLvl w:val="1"/>
        <w:rPr>
          <w:rFonts w:ascii="仿宋" w:eastAsia="仿宋" w:hAnsi="仿宋"/>
          <w:iCs/>
          <w:sz w:val="24"/>
          <w:lang w:eastAsia="zh-CN"/>
        </w:rPr>
      </w:pPr>
      <w:r w:rsidRPr="00FB03DC">
        <w:rPr>
          <w:rFonts w:ascii="仿宋" w:eastAsia="仿宋" w:hAnsi="仿宋"/>
          <w:iCs/>
          <w:sz w:val="24"/>
          <w:lang w:eastAsia="zh-CN"/>
        </w:rPr>
        <w:t>（六）集合计划的清算</w:t>
      </w:r>
      <w:bookmarkEnd w:id="504"/>
      <w:bookmarkEnd w:id="505"/>
      <w:bookmarkEnd w:id="506"/>
    </w:p>
    <w:p w14:paraId="0BDC0EAF"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1、集合计划的清算小组</w:t>
      </w:r>
    </w:p>
    <w:p w14:paraId="142BF75D"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（1）自集合计划终止之日起5个工作日内成立清算小组，清算小组成员由管理人和托管人组成。清算小组可以聘用必要的工作人员。</w:t>
      </w:r>
    </w:p>
    <w:p w14:paraId="75BD6F91"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lastRenderedPageBreak/>
        <w:t>（2）管理人负责资产管理计划财产的清算、估价、变现和分配，可以依法进行必要的民事活动，聘用必要的工作人员。托管人负责资产管理计划财产的保管，执行管理人分配指令划付资金。</w:t>
      </w:r>
    </w:p>
    <w:p w14:paraId="7F6E0422"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2、集合计划清算程序</w:t>
      </w:r>
    </w:p>
    <w:p w14:paraId="3AA1934C"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（1）集合资产管理计划终止日后五个工作日内管理人开始组织清算本集合计划财产；</w:t>
      </w:r>
    </w:p>
    <w:p w14:paraId="639CA9B1"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（2）集合计划清算小组统一接管集合计划；</w:t>
      </w:r>
    </w:p>
    <w:p w14:paraId="0C26D866"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（3）对集合计划财产和债权债务进行清理和确认；</w:t>
      </w:r>
    </w:p>
    <w:p w14:paraId="49488683"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（4）对集合计划财产进行估值和变现；</w:t>
      </w:r>
    </w:p>
    <w:p w14:paraId="7E5D3809"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（5）制作清算报告；</w:t>
      </w:r>
    </w:p>
    <w:p w14:paraId="593BB96A"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（6）聘请符合《证券法》规定的会计师事务所进行外部审计；</w:t>
      </w:r>
    </w:p>
    <w:p w14:paraId="6344F2FE" w14:textId="77777777" w:rsidR="00F31CD2" w:rsidRPr="00FB03DC" w:rsidRDefault="00A71D56">
      <w:pPr>
        <w:spacing w:line="360" w:lineRule="auto"/>
        <w:ind w:firstLine="425"/>
        <w:rPr>
          <w:rFonts w:ascii="仿宋" w:eastAsia="仿宋" w:hAnsi="仿宋"/>
          <w:iCs/>
          <w:sz w:val="24"/>
          <w:lang w:eastAsia="zh-CN"/>
        </w:rPr>
      </w:pPr>
      <w:r w:rsidRPr="00FB03DC">
        <w:rPr>
          <w:rFonts w:ascii="仿宋" w:eastAsia="仿宋" w:hAnsi="仿宋"/>
          <w:iCs/>
          <w:sz w:val="24"/>
          <w:lang w:eastAsia="zh-CN"/>
        </w:rPr>
        <w:t xml:space="preserve">（7）对计划剩余财产进行分配和办理相关账户注销事宜； </w:t>
      </w:r>
    </w:p>
    <w:p w14:paraId="672AF228" w14:textId="77777777" w:rsidR="00F31CD2" w:rsidRPr="00FB03DC" w:rsidRDefault="00A71D56">
      <w:pPr>
        <w:pStyle w:val="ad"/>
        <w:ind w:firstLine="425"/>
        <w:rPr>
          <w:rFonts w:ascii="仿宋" w:eastAsia="仿宋" w:hAnsi="仿宋"/>
          <w:iCs/>
          <w:sz w:val="24"/>
          <w:lang w:eastAsia="zh-CN"/>
        </w:rPr>
      </w:pPr>
      <w:r w:rsidRPr="00FB03DC">
        <w:rPr>
          <w:rFonts w:ascii="仿宋" w:eastAsia="仿宋" w:hAnsi="仿宋"/>
          <w:iCs/>
          <w:sz w:val="24"/>
          <w:lang w:eastAsia="zh-CN"/>
        </w:rPr>
        <w:t>（8）清算程序结束后五个工作日内，清算结果报告协会。</w:t>
      </w:r>
    </w:p>
    <w:p w14:paraId="7598DA58"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3、清算费用</w:t>
      </w:r>
    </w:p>
    <w:p w14:paraId="03FD5EC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清算费用是指清算小组在进行集合计划清算过程中发生的所有合理费用（包括但不限于审计费、诉讼费、仲裁费、律师费、财产保全费、公证费、拍卖费及其他形式的资产处置费等费用）</w:t>
      </w:r>
      <w:r w:rsidRPr="00FB03DC">
        <w:rPr>
          <w:rFonts w:ascii="仿宋" w:eastAsia="仿宋" w:hAnsi="仿宋" w:hint="eastAsia"/>
          <w:sz w:val="24"/>
          <w:lang w:eastAsia="zh-CN"/>
        </w:rPr>
        <w:t>，本产品在终止后不再计提管理费、托管费</w:t>
      </w:r>
      <w:r w:rsidRPr="00FB03DC">
        <w:rPr>
          <w:rFonts w:ascii="仿宋" w:eastAsia="仿宋" w:hAnsi="仿宋"/>
          <w:sz w:val="24"/>
          <w:lang w:eastAsia="zh-CN"/>
        </w:rPr>
        <w:t>，清算费用由清算小组从集合计划财产中优先支付。</w:t>
      </w:r>
    </w:p>
    <w:p w14:paraId="2A2AA9A1"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4、集合计划财产清算及剩余资产的分配</w:t>
      </w:r>
    </w:p>
    <w:p w14:paraId="41BA4015"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依据集合计划财产清算的分配方案，将集合计划财产清算后的全部剩余资产扣除集合计划财产清算费用、税款及其他债务后，按份额持有人持有的份额比例，原则上以货币资金形式分配给投资者。清算期间，管理人可以根据受托财产清算安排和投资者服务需要，对同一级别计划财产按份额持有人持有的份额比例进行分次做清算分配。</w:t>
      </w:r>
    </w:p>
    <w:p w14:paraId="2139411E"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对于本计划因证券交易等原因按登记结算机构规定缴纳的保证金（包括但不限于最低结算备付金和交易单元保证金）、以及保证金和存款账户的未结利息等资产，需要在登记结算机构退回保证金及利息结息后才能收回。管理人可选择在上述资产收回后另行分配或以管理人财产先行垫资方式，将剩余受托财产分配给投资者。本计划归属投资者所有的权益全部清算分配后，本计划自投</w:t>
      </w:r>
      <w:r w:rsidRPr="00FB03DC">
        <w:rPr>
          <w:rFonts w:ascii="仿宋" w:eastAsia="仿宋" w:hAnsi="仿宋"/>
          <w:sz w:val="24"/>
          <w:lang w:eastAsia="zh-CN"/>
        </w:rPr>
        <w:lastRenderedPageBreak/>
        <w:t xml:space="preserve">资者款项划出日起至托管账户销户完成期间产生的孳息损益归属管理人享有承担。   </w:t>
      </w:r>
    </w:p>
    <w:p w14:paraId="2C83ED6C" w14:textId="77777777" w:rsidR="00F31CD2" w:rsidRPr="00FB03DC" w:rsidRDefault="00A71D56">
      <w:pPr>
        <w:spacing w:line="360" w:lineRule="auto"/>
        <w:ind w:firstLine="425"/>
        <w:outlineLvl w:val="2"/>
        <w:rPr>
          <w:rFonts w:ascii="仿宋" w:eastAsia="仿宋" w:hAnsi="仿宋"/>
          <w:sz w:val="24"/>
          <w:lang w:eastAsia="zh-CN"/>
        </w:rPr>
      </w:pPr>
      <w:r w:rsidRPr="00FB03DC">
        <w:rPr>
          <w:rFonts w:ascii="仿宋" w:eastAsia="仿宋" w:hAnsi="仿宋"/>
          <w:sz w:val="24"/>
          <w:lang w:eastAsia="zh-CN"/>
        </w:rPr>
        <w:t xml:space="preserve">5、延期清算的处理方式     </w:t>
      </w:r>
    </w:p>
    <w:p w14:paraId="5C3813B0"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若本计划在终止之日因受托财产流动性受限等原因需要延期清算的，管理人应及时向协会报告，并通过管理人网站进行披露。</w:t>
      </w:r>
    </w:p>
    <w:p w14:paraId="6E581D67"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对于本计划在终止之日流动性受限的受托财产，管理人将在对应受托财产恢复流通或交易后及时进行变现，扣除相关费用后按份额持有人持有的份额比例进行分配，清算期间变现的受托财产不得再进行投资。</w:t>
      </w:r>
    </w:p>
    <w:p w14:paraId="456CE9C9"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6、集合计划清算的公告</w:t>
      </w:r>
    </w:p>
    <w:p w14:paraId="7E51971D"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管理人应当在集合计划清算结束后5个工作日内将清算报告报送协会。</w:t>
      </w:r>
    </w:p>
    <w:p w14:paraId="1B1F1E3C" w14:textId="77777777" w:rsidR="00F31CD2" w:rsidRPr="00FB03DC" w:rsidRDefault="00A71D56">
      <w:pPr>
        <w:pStyle w:val="ad"/>
        <w:ind w:firstLine="425"/>
        <w:rPr>
          <w:rFonts w:ascii="仿宋" w:eastAsia="仿宋" w:hAnsi="仿宋"/>
          <w:sz w:val="24"/>
          <w:szCs w:val="24"/>
          <w:lang w:eastAsia="zh-CN"/>
        </w:rPr>
      </w:pPr>
      <w:r w:rsidRPr="00FB03DC">
        <w:rPr>
          <w:rFonts w:ascii="仿宋" w:eastAsia="仿宋" w:hAnsi="仿宋"/>
          <w:sz w:val="24"/>
          <w:lang w:eastAsia="zh-CN"/>
        </w:rPr>
        <w:t>管理人应将清算结果及清算过程中的有关重大事项及时在管理人网站披露。</w:t>
      </w:r>
    </w:p>
    <w:p w14:paraId="13D7B074"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7、销户</w:t>
      </w:r>
    </w:p>
    <w:p w14:paraId="5498FEA6" w14:textId="77777777" w:rsidR="00F31CD2" w:rsidRPr="00FB03DC" w:rsidRDefault="00A71D56">
      <w:pPr>
        <w:pStyle w:val="ad"/>
        <w:ind w:firstLine="425"/>
        <w:rPr>
          <w:rFonts w:ascii="仿宋" w:eastAsia="仿宋" w:hAnsi="仿宋"/>
          <w:sz w:val="24"/>
          <w:szCs w:val="24"/>
          <w:lang w:eastAsia="zh-CN"/>
        </w:rPr>
      </w:pPr>
      <w:r w:rsidRPr="00FB03DC">
        <w:rPr>
          <w:rFonts w:ascii="仿宋" w:eastAsia="仿宋" w:hAnsi="仿宋"/>
          <w:sz w:val="24"/>
          <w:lang w:eastAsia="zh-CN"/>
        </w:rPr>
        <w:t>本计划终止后，按照受托财产变现清算情况，管理人和托管人应按监管要求和相关机构规定及时注销各类证券投资交易账户（包括但不限于银行间市场交易账户、沪深市场股东账户、期货账户等），最后注销托管账户。</w:t>
      </w:r>
    </w:p>
    <w:p w14:paraId="0C6DFC1A" w14:textId="77777777" w:rsidR="00F31CD2" w:rsidRPr="00FB03DC" w:rsidRDefault="00A71D56">
      <w:pPr>
        <w:pStyle w:val="ad"/>
        <w:ind w:firstLine="425"/>
        <w:outlineLvl w:val="2"/>
        <w:rPr>
          <w:rFonts w:ascii="仿宋" w:eastAsia="仿宋" w:hAnsi="仿宋"/>
          <w:sz w:val="24"/>
          <w:szCs w:val="24"/>
          <w:lang w:eastAsia="zh-CN"/>
        </w:rPr>
      </w:pPr>
      <w:r w:rsidRPr="00FB03DC">
        <w:rPr>
          <w:rFonts w:ascii="仿宋" w:eastAsia="仿宋" w:hAnsi="仿宋"/>
          <w:sz w:val="24"/>
          <w:szCs w:val="24"/>
          <w:lang w:eastAsia="zh-CN"/>
        </w:rPr>
        <w:t>8、集合计划财产清算账册及文件的保存</w:t>
      </w:r>
    </w:p>
    <w:p w14:paraId="726D2418" w14:textId="77777777" w:rsidR="00F31CD2" w:rsidRPr="00FB03DC" w:rsidRDefault="00A71D56">
      <w:pPr>
        <w:pStyle w:val="ad"/>
        <w:ind w:firstLine="425"/>
        <w:rPr>
          <w:rFonts w:ascii="仿宋" w:eastAsia="仿宋" w:hAnsi="仿宋"/>
          <w:sz w:val="24"/>
          <w:lang w:eastAsia="zh-CN"/>
        </w:rPr>
      </w:pPr>
      <w:r w:rsidRPr="00FB03DC">
        <w:rPr>
          <w:rFonts w:ascii="仿宋" w:eastAsia="仿宋" w:hAnsi="仿宋"/>
          <w:sz w:val="24"/>
          <w:szCs w:val="24"/>
          <w:lang w:eastAsia="zh-CN"/>
        </w:rPr>
        <w:t>集合计划计划财产清算账册及文件由管理人保存20年以上。</w:t>
      </w:r>
    </w:p>
    <w:p w14:paraId="600EA4D4" w14:textId="77777777" w:rsidR="00F31CD2" w:rsidRPr="00FB03DC" w:rsidRDefault="00A71D56">
      <w:pPr>
        <w:rPr>
          <w:rFonts w:ascii="仿宋" w:eastAsia="仿宋" w:hAnsi="仿宋"/>
          <w:b/>
          <w:bCs/>
          <w:sz w:val="32"/>
          <w:szCs w:val="32"/>
          <w:lang w:eastAsia="zh-CN"/>
        </w:rPr>
      </w:pPr>
      <w:bookmarkStart w:id="507" w:name="_Toc334185946"/>
      <w:bookmarkStart w:id="508" w:name="_Toc511"/>
      <w:bookmarkStart w:id="509" w:name="_Toc18293"/>
      <w:bookmarkStart w:id="510" w:name="_Toc86390980"/>
      <w:bookmarkStart w:id="511" w:name="_Toc26369"/>
      <w:bookmarkStart w:id="512" w:name="_Toc6313430"/>
      <w:bookmarkStart w:id="513" w:name="_Toc9800"/>
      <w:bookmarkStart w:id="514" w:name="_Toc30047"/>
      <w:bookmarkStart w:id="515" w:name="_Toc159589312"/>
      <w:bookmarkStart w:id="516" w:name="_Toc51775881"/>
      <w:bookmarkStart w:id="517" w:name="_Toc29659"/>
      <w:r w:rsidRPr="00FB03DC">
        <w:rPr>
          <w:rFonts w:ascii="仿宋" w:eastAsia="仿宋" w:hAnsi="仿宋"/>
          <w:b/>
          <w:bCs/>
          <w:lang w:eastAsia="zh-CN"/>
        </w:rPr>
        <w:br w:type="page"/>
      </w:r>
    </w:p>
    <w:p w14:paraId="2CD63973" w14:textId="77777777" w:rsidR="00F31CD2" w:rsidRPr="00FB03DC" w:rsidRDefault="00A71D56">
      <w:pPr>
        <w:pStyle w:val="2"/>
        <w:spacing w:before="0" w:after="0" w:line="360" w:lineRule="auto"/>
        <w:ind w:firstLine="420"/>
        <w:rPr>
          <w:rFonts w:ascii="仿宋" w:eastAsia="仿宋" w:hAnsi="仿宋"/>
          <w:b/>
          <w:bCs/>
          <w:lang w:eastAsia="zh-CN"/>
        </w:rPr>
      </w:pPr>
      <w:bookmarkStart w:id="518" w:name="_Toc198732021"/>
      <w:r w:rsidRPr="00FB03DC">
        <w:rPr>
          <w:rFonts w:ascii="仿宋" w:eastAsia="仿宋" w:hAnsi="仿宋"/>
          <w:b/>
          <w:bCs/>
          <w:lang w:eastAsia="zh-CN"/>
        </w:rPr>
        <w:lastRenderedPageBreak/>
        <w:t>二十六、违约责任</w:t>
      </w:r>
      <w:bookmarkEnd w:id="507"/>
      <w:bookmarkEnd w:id="508"/>
      <w:bookmarkEnd w:id="509"/>
      <w:bookmarkEnd w:id="510"/>
      <w:bookmarkEnd w:id="511"/>
      <w:bookmarkEnd w:id="512"/>
      <w:bookmarkEnd w:id="513"/>
      <w:bookmarkEnd w:id="514"/>
      <w:bookmarkEnd w:id="515"/>
      <w:bookmarkEnd w:id="516"/>
      <w:bookmarkEnd w:id="517"/>
      <w:bookmarkEnd w:id="518"/>
    </w:p>
    <w:p w14:paraId="3166C1DA" w14:textId="6FD2097B"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1、管理人、托管人在履行各自职责的过程中，违反法律、行政法规的规定或者本合同约定，给计划财产或者投资者造成损害的，应当分别对各自的行为依法承担赔偿责任；因共同行为给计划财产或者投资者造成损害的，</w:t>
      </w:r>
      <w:r w:rsidRPr="00FB03DC">
        <w:rPr>
          <w:rFonts w:ascii="仿宋" w:eastAsia="仿宋" w:hAnsi="仿宋" w:cs="FangSong"/>
          <w:color w:val="000000"/>
          <w:sz w:val="24"/>
          <w:lang w:eastAsia="zh-CN"/>
        </w:rPr>
        <w:t>根据实际情况，由违约方分别承担各自应负的违约责任，不因各自职责以外的事由与其他当事人承担连带赔偿责任</w:t>
      </w:r>
      <w:r w:rsidRPr="00FB03DC">
        <w:rPr>
          <w:rFonts w:ascii="仿宋" w:eastAsia="仿宋" w:hAnsi="仿宋"/>
          <w:sz w:val="24"/>
          <w:szCs w:val="24"/>
          <w:lang w:eastAsia="zh-CN"/>
        </w:rPr>
        <w:t>。但是发生下列情况的，当事人</w:t>
      </w:r>
      <w:r w:rsidRPr="00FB03DC">
        <w:rPr>
          <w:rFonts w:ascii="仿宋" w:eastAsia="仿宋" w:hAnsi="仿宋" w:hint="eastAsia"/>
          <w:sz w:val="24"/>
          <w:szCs w:val="24"/>
          <w:lang w:eastAsia="zh-CN"/>
        </w:rPr>
        <w:t>在不存在过错的情形下</w:t>
      </w:r>
      <w:r w:rsidRPr="00FB03DC">
        <w:rPr>
          <w:rFonts w:ascii="仿宋" w:eastAsia="仿宋" w:hAnsi="仿宋"/>
          <w:sz w:val="24"/>
          <w:szCs w:val="24"/>
          <w:lang w:eastAsia="zh-CN"/>
        </w:rPr>
        <w:t>可以免责：</w:t>
      </w:r>
    </w:p>
    <w:p w14:paraId="4E279033"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（1）不可抗力</w:t>
      </w:r>
    </w:p>
    <w:p w14:paraId="5ED3E3B8"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不可抗力是</w:t>
      </w:r>
      <w:r w:rsidRPr="00FB03DC">
        <w:rPr>
          <w:rFonts w:ascii="仿宋" w:eastAsia="仿宋" w:hAnsi="仿宋"/>
          <w:sz w:val="24"/>
          <w:szCs w:val="22"/>
          <w:lang w:eastAsia="zh-CN"/>
        </w:rPr>
        <w:t>指本合同当事人不能预见、不能克服、不能避免，且在本合同签署之后发生的，使本合同当事人无法全部或部分履行本合同的任何客观事件。</w:t>
      </w:r>
    </w:p>
    <w:p w14:paraId="01D3F8F7"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一方因不可抗力不能履行本合同时，应及时通知另一方，并在合理期限内提供受到不可抗力影响的证明，同时采取适当措施防止集合计划资产损失扩大。任何一方当事人延迟履行合同义务后，发生了上述不可抗力事件致使合同当事人无法全部或部分履行本合同，该方不能减轻或免除相应责任。</w:t>
      </w:r>
    </w:p>
    <w:p w14:paraId="3C02DD85"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（2）管理人和/或托管人按照当时有效的法律法规或中国证监会的规定作为或不作为而造成的损失等。</w:t>
      </w:r>
    </w:p>
    <w:p w14:paraId="54F8FD3A"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（3）管理人由于按照合同规定的投资原则行使或不行使其投资权而造成的损失等。</w:t>
      </w:r>
    </w:p>
    <w:p w14:paraId="6F17769B"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（4）在计划运作过程中，管理人及托管人按照法律、行政法规的规定以及本合同的约定履行了相关职责，但由于其控制能力之外的第三方原因或其他原因而造成运作不畅、出现差错和损失的。</w:t>
      </w:r>
    </w:p>
    <w:p w14:paraId="722DFEA8"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5）本合同当事人应保证向本合同另一方提供的数据、信息真实完整，并承担相应的法律责任。如果该方提供的信息和数据不真实或不完整是由于另一方提供的数据或信息不真实、不完整等原因所致，由此造成的损失由初始过错方承担。</w:t>
      </w:r>
    </w:p>
    <w:p w14:paraId="698F7807"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（6）对由于第三方（包括但不限于交易所、注册与过户登记人等）发送的数据错误给集合计划资产造成的损失等</w:t>
      </w:r>
      <w:r w:rsidRPr="00FB03DC">
        <w:rPr>
          <w:rFonts w:ascii="仿宋" w:eastAsia="仿宋" w:hAnsi="仿宋" w:hint="eastAsia"/>
          <w:sz w:val="24"/>
          <w:szCs w:val="24"/>
          <w:lang w:eastAsia="zh-CN"/>
        </w:rPr>
        <w:t>，</w:t>
      </w:r>
      <w:r w:rsidRPr="00FB03DC">
        <w:rPr>
          <w:rFonts w:ascii="仿宋" w:eastAsia="仿宋" w:hAnsi="仿宋"/>
          <w:sz w:val="24"/>
          <w:szCs w:val="24"/>
          <w:lang w:eastAsia="zh-CN"/>
        </w:rPr>
        <w:t>管理人及托管人</w:t>
      </w:r>
      <w:r w:rsidRPr="00FB03DC">
        <w:rPr>
          <w:rFonts w:ascii="仿宋" w:eastAsia="仿宋" w:hAnsi="仿宋" w:hint="eastAsia"/>
          <w:sz w:val="24"/>
          <w:szCs w:val="24"/>
          <w:lang w:eastAsia="zh-CN"/>
        </w:rPr>
        <w:t>虽然已经采取必要、适当、合理的措施进行检查，但是未能发现错误的</w:t>
      </w:r>
      <w:r w:rsidRPr="00FB03DC">
        <w:rPr>
          <w:rFonts w:ascii="仿宋" w:eastAsia="仿宋" w:hAnsi="仿宋"/>
          <w:sz w:val="24"/>
          <w:szCs w:val="24"/>
          <w:lang w:eastAsia="zh-CN"/>
        </w:rPr>
        <w:t xml:space="preserve">。 </w:t>
      </w:r>
    </w:p>
    <w:p w14:paraId="3FFC8E44"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lastRenderedPageBreak/>
        <w:t>（7）计算机系统故障、网络故障、通讯故障、电力故障、计算机病毒攻击及其它非管理人、托管人</w:t>
      </w:r>
      <w:r w:rsidRPr="00FB03DC">
        <w:rPr>
          <w:rFonts w:ascii="仿宋" w:eastAsia="仿宋" w:hAnsi="仿宋" w:hint="eastAsia"/>
          <w:sz w:val="24"/>
          <w:szCs w:val="24"/>
          <w:lang w:eastAsia="zh-CN"/>
        </w:rPr>
        <w:t>控制能力之外的</w:t>
      </w:r>
      <w:r w:rsidRPr="00FB03DC">
        <w:rPr>
          <w:rFonts w:ascii="仿宋" w:eastAsia="仿宋" w:hAnsi="仿宋"/>
          <w:sz w:val="24"/>
          <w:szCs w:val="24"/>
          <w:lang w:eastAsia="zh-CN"/>
        </w:rPr>
        <w:t>意外事故。</w:t>
      </w:r>
    </w:p>
    <w:p w14:paraId="56EAABDB"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（8）因证券市场波动、上市公司合并、计划财产规模变动等管理人之外的因素致使计划财产投资不符合本合同项下约定的投资策略的，将不视为管理人的违约行为</w:t>
      </w:r>
      <w:r w:rsidRPr="00FB03DC">
        <w:rPr>
          <w:rFonts w:ascii="仿宋" w:eastAsia="仿宋" w:hAnsi="仿宋" w:hint="eastAsia"/>
          <w:sz w:val="24"/>
          <w:szCs w:val="24"/>
          <w:lang w:eastAsia="zh-CN"/>
        </w:rPr>
        <w:t>，但管理人应根据法律法规规定、合同约定进行调整</w:t>
      </w:r>
      <w:r w:rsidRPr="00FB03DC">
        <w:rPr>
          <w:rFonts w:ascii="仿宋" w:eastAsia="仿宋" w:hAnsi="仿宋"/>
          <w:sz w:val="24"/>
          <w:szCs w:val="24"/>
          <w:lang w:eastAsia="zh-CN"/>
        </w:rPr>
        <w:t>。</w:t>
      </w:r>
    </w:p>
    <w:p w14:paraId="03CFD2A5"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hint="eastAsia"/>
          <w:sz w:val="24"/>
          <w:szCs w:val="24"/>
          <w:lang w:eastAsia="zh-CN"/>
        </w:rPr>
        <w:t>（</w:t>
      </w:r>
      <w:r w:rsidRPr="00FB03DC">
        <w:rPr>
          <w:rFonts w:ascii="仿宋" w:eastAsia="仿宋" w:hAnsi="仿宋"/>
          <w:sz w:val="24"/>
          <w:szCs w:val="24"/>
          <w:lang w:eastAsia="zh-CN"/>
        </w:rPr>
        <w:t>9</w:t>
      </w:r>
      <w:r w:rsidRPr="00FB03DC">
        <w:rPr>
          <w:rFonts w:ascii="仿宋" w:eastAsia="仿宋" w:hAnsi="仿宋" w:hint="eastAsia"/>
          <w:sz w:val="24"/>
          <w:szCs w:val="24"/>
          <w:lang w:eastAsia="zh-CN"/>
        </w:rPr>
        <w:t>）</w:t>
      </w:r>
      <w:r w:rsidRPr="00FB03DC">
        <w:rPr>
          <w:rFonts w:ascii="仿宋" w:eastAsia="仿宋" w:hAnsi="仿宋"/>
          <w:sz w:val="24"/>
          <w:szCs w:val="24"/>
          <w:lang w:eastAsia="zh-CN"/>
        </w:rPr>
        <w:t>投资者未能事前就其关联证券或其他禁止交易证券明确告知管理人致使资产管理计划财产发生违规投资行为的，管理人与托管人均不承担任何责任。</w:t>
      </w:r>
    </w:p>
    <w:p w14:paraId="56D0AE80"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2、合同当事人违反本合同，给其他当事人造成直接经济损失的，应当承担赔偿责任。在发生一方或多方当事人违约的情况下，合同能继续履行的，应当继续履行。</w:t>
      </w:r>
    </w:p>
    <w:p w14:paraId="1EC344EF"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3、本合同一方当事人造成违约后，其他当事人应当采取适当措施防止损失的扩大；没有采取适当措施致使损失扩大的，不得就扩大的损失要求赔偿。守约方因防止损失扩大而支出的合理费用由违约方承担。</w:t>
      </w:r>
    </w:p>
    <w:p w14:paraId="443855E6"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4、由于管理人、托管人不可控制的因素导致业务出现差错，管理人和托管人虽然已经采取必要、适当、合理的措施进行检查，但是未能发现错误的，由此造成计划财产或投资者损失，管理人和托管人免除赔偿责任。但是管理人和托管人应积极采取必要的措施消除或减轻由此造成的影响。</w:t>
      </w:r>
    </w:p>
    <w:p w14:paraId="40442090"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5、一方当事人依据本合同向另一方当事人赔偿的损失，以及集合计划资产或者投资者造成的损失，均仅限于直接经济损失。</w:t>
      </w:r>
    </w:p>
    <w:p w14:paraId="10A1FD25"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6、管理人违反法律、行政法规的有关规定，被中国证监会依法撤销证券资产管理业务许可、责令停业整顿，或者因停业、解散、撤销、破产等原因不能履行职责的，应当按照有关监管要求妥善处理有关事宜。</w:t>
      </w:r>
    </w:p>
    <w:p w14:paraId="31793D33" w14:textId="77777777" w:rsidR="00F31CD2" w:rsidRPr="00FB03DC" w:rsidRDefault="00A71D56">
      <w:pPr>
        <w:spacing w:line="360" w:lineRule="auto"/>
        <w:ind w:firstLine="480"/>
        <w:rPr>
          <w:rFonts w:ascii="仿宋" w:eastAsia="仿宋" w:hAnsi="仿宋"/>
          <w:sz w:val="24"/>
          <w:szCs w:val="24"/>
          <w:lang w:eastAsia="zh-CN"/>
        </w:rPr>
      </w:pPr>
      <w:r w:rsidRPr="00FB03DC">
        <w:rPr>
          <w:rFonts w:ascii="仿宋" w:eastAsia="仿宋" w:hAnsi="仿宋"/>
          <w:sz w:val="24"/>
          <w:szCs w:val="24"/>
          <w:lang w:eastAsia="zh-CN"/>
        </w:rPr>
        <w:t>7、投资者的债权人通过司法机关对集合计划资产采取强制措施，由此造成集合计划资产损失的，由相关责任方承担责任。</w:t>
      </w:r>
    </w:p>
    <w:p w14:paraId="132D8F51" w14:textId="77777777" w:rsidR="00F31CD2" w:rsidRPr="00FB03DC" w:rsidRDefault="00F31CD2">
      <w:pPr>
        <w:pStyle w:val="35"/>
        <w:spacing w:line="360" w:lineRule="auto"/>
        <w:ind w:firstLine="425"/>
        <w:rPr>
          <w:rFonts w:ascii="仿宋" w:eastAsia="仿宋" w:hAnsi="仿宋"/>
          <w:sz w:val="24"/>
          <w:szCs w:val="24"/>
          <w:lang w:eastAsia="zh-CN"/>
        </w:rPr>
      </w:pPr>
    </w:p>
    <w:p w14:paraId="55DFDC55" w14:textId="77777777" w:rsidR="00F31CD2" w:rsidRPr="00FB03DC" w:rsidRDefault="00F31CD2">
      <w:pPr>
        <w:pStyle w:val="35"/>
        <w:spacing w:line="360" w:lineRule="auto"/>
        <w:ind w:firstLine="425"/>
        <w:rPr>
          <w:rFonts w:ascii="仿宋" w:eastAsia="仿宋" w:hAnsi="仿宋"/>
          <w:sz w:val="24"/>
          <w:szCs w:val="24"/>
          <w:lang w:eastAsia="zh-CN"/>
        </w:rPr>
      </w:pPr>
    </w:p>
    <w:p w14:paraId="081494C8" w14:textId="77777777" w:rsidR="00F31CD2" w:rsidRPr="00FB03DC" w:rsidRDefault="00F31CD2">
      <w:pPr>
        <w:rPr>
          <w:rFonts w:ascii="仿宋" w:eastAsia="仿宋" w:hAnsi="仿宋"/>
          <w:sz w:val="24"/>
          <w:szCs w:val="24"/>
          <w:lang w:eastAsia="zh-CN"/>
        </w:rPr>
      </w:pPr>
    </w:p>
    <w:p w14:paraId="189C5F5A" w14:textId="77777777" w:rsidR="00F31CD2" w:rsidRPr="00FB03DC" w:rsidRDefault="00A71D56">
      <w:pPr>
        <w:pStyle w:val="2"/>
        <w:spacing w:before="0" w:after="0" w:line="360" w:lineRule="auto"/>
        <w:ind w:firstLine="420"/>
        <w:rPr>
          <w:rFonts w:ascii="仿宋" w:eastAsia="仿宋" w:hAnsi="仿宋"/>
          <w:b/>
          <w:bCs/>
          <w:lang w:eastAsia="zh-CN"/>
        </w:rPr>
      </w:pPr>
      <w:bookmarkStart w:id="519" w:name="_Toc4685"/>
      <w:bookmarkStart w:id="520" w:name="_Toc159589313"/>
      <w:bookmarkStart w:id="521" w:name="_Toc12073"/>
      <w:bookmarkStart w:id="522" w:name="_Toc18338"/>
      <w:bookmarkStart w:id="523" w:name="_Toc6383"/>
      <w:bookmarkStart w:id="524" w:name="_Toc51775882"/>
      <w:bookmarkStart w:id="525" w:name="_Toc25339"/>
      <w:bookmarkStart w:id="526" w:name="_Toc6313431"/>
      <w:bookmarkStart w:id="527" w:name="_Toc29785"/>
      <w:r w:rsidRPr="00FB03DC">
        <w:rPr>
          <w:rFonts w:ascii="仿宋" w:eastAsia="仿宋" w:hAnsi="仿宋"/>
          <w:b/>
          <w:bCs/>
          <w:lang w:eastAsia="zh-CN"/>
        </w:rPr>
        <w:br w:type="page"/>
      </w:r>
      <w:bookmarkStart w:id="528" w:name="_Toc198732022"/>
      <w:r w:rsidRPr="00FB03DC">
        <w:rPr>
          <w:rFonts w:ascii="仿宋" w:eastAsia="仿宋" w:hAnsi="仿宋"/>
          <w:b/>
          <w:bCs/>
          <w:lang w:eastAsia="zh-CN"/>
        </w:rPr>
        <w:lastRenderedPageBreak/>
        <w:t>二十七、争议的处理</w:t>
      </w:r>
      <w:bookmarkEnd w:id="519"/>
      <w:bookmarkEnd w:id="520"/>
      <w:bookmarkEnd w:id="521"/>
      <w:bookmarkEnd w:id="522"/>
      <w:bookmarkEnd w:id="523"/>
      <w:bookmarkEnd w:id="524"/>
      <w:bookmarkEnd w:id="525"/>
      <w:bookmarkEnd w:id="526"/>
      <w:bookmarkEnd w:id="527"/>
      <w:bookmarkEnd w:id="528"/>
    </w:p>
    <w:p w14:paraId="4202B6FE"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因履行本合同发生的争议，协议签订各方可以通过协商或者调解予以解决，不愿通过协商、调解解决，或者协商、调解不成的，任何一方均有权将争议提交合同签订地有管辖权的人民法院诉讼处理，相关诉讼费用由败诉方承担</w:t>
      </w:r>
      <w:r w:rsidRPr="00FB03DC">
        <w:rPr>
          <w:rFonts w:ascii="仿宋" w:eastAsia="仿宋" w:hAnsi="仿宋"/>
          <w:spacing w:val="6"/>
          <w:sz w:val="24"/>
          <w:lang w:eastAsia="zh-CN"/>
        </w:rPr>
        <w:t>。</w:t>
      </w:r>
      <w:r w:rsidRPr="00FB03DC">
        <w:rPr>
          <w:rFonts w:ascii="仿宋" w:eastAsia="仿宋" w:hAnsi="仿宋"/>
          <w:sz w:val="24"/>
          <w:szCs w:val="24"/>
          <w:lang w:eastAsia="zh-CN"/>
        </w:rPr>
        <w:t>争议处理期间，合同当事人应恪守各自的职责，管理人应继续忠实、勤勉、尽责地履行本资产管理合同规定的义务，维护投资者的合法权益。</w:t>
      </w:r>
    </w:p>
    <w:p w14:paraId="21AD15CE" w14:textId="77777777" w:rsidR="00F31CD2" w:rsidRPr="00FB03DC" w:rsidRDefault="00F31CD2">
      <w:pPr>
        <w:spacing w:line="360" w:lineRule="auto"/>
        <w:rPr>
          <w:rFonts w:ascii="仿宋" w:eastAsia="仿宋" w:hAnsi="仿宋"/>
          <w:sz w:val="24"/>
          <w:lang w:eastAsia="zh-CN"/>
        </w:rPr>
      </w:pPr>
    </w:p>
    <w:p w14:paraId="082A3171" w14:textId="77777777" w:rsidR="00F31CD2" w:rsidRPr="00FB03DC" w:rsidRDefault="00F31CD2">
      <w:pPr>
        <w:rPr>
          <w:rFonts w:ascii="仿宋" w:eastAsia="仿宋" w:hAnsi="仿宋"/>
          <w:sz w:val="24"/>
          <w:lang w:eastAsia="zh-CN"/>
        </w:rPr>
      </w:pPr>
    </w:p>
    <w:p w14:paraId="55B778F7" w14:textId="77777777" w:rsidR="00F31CD2" w:rsidRPr="00FB03DC" w:rsidRDefault="00A71D56">
      <w:pPr>
        <w:pStyle w:val="2"/>
        <w:spacing w:before="0" w:after="0" w:line="360" w:lineRule="auto"/>
        <w:ind w:firstLine="420"/>
        <w:rPr>
          <w:rFonts w:ascii="仿宋" w:eastAsia="仿宋" w:hAnsi="仿宋"/>
          <w:b/>
          <w:bCs/>
          <w:lang w:eastAsia="zh-CN"/>
        </w:rPr>
      </w:pPr>
      <w:bookmarkStart w:id="529" w:name="_Toc86390981"/>
      <w:bookmarkStart w:id="530" w:name="_Toc334185948"/>
      <w:bookmarkStart w:id="531" w:name="_Toc6313432"/>
      <w:bookmarkStart w:id="532" w:name="_Toc51775883"/>
      <w:bookmarkStart w:id="533" w:name="_Toc24833"/>
      <w:bookmarkStart w:id="534" w:name="_Toc159589314"/>
      <w:bookmarkStart w:id="535" w:name="_Toc32619"/>
      <w:bookmarkStart w:id="536" w:name="_Toc26788"/>
      <w:bookmarkStart w:id="537" w:name="_Toc32509"/>
      <w:bookmarkStart w:id="538" w:name="_Toc6760"/>
      <w:bookmarkStart w:id="539" w:name="_Toc30446"/>
      <w:r w:rsidRPr="00FB03DC">
        <w:rPr>
          <w:rFonts w:ascii="仿宋" w:eastAsia="仿宋" w:hAnsi="仿宋"/>
          <w:b/>
          <w:bCs/>
          <w:lang w:eastAsia="zh-CN"/>
        </w:rPr>
        <w:br w:type="page"/>
      </w:r>
      <w:bookmarkStart w:id="540" w:name="_Toc198732023"/>
      <w:r w:rsidRPr="00FB03DC">
        <w:rPr>
          <w:rFonts w:ascii="仿宋" w:eastAsia="仿宋" w:hAnsi="仿宋"/>
          <w:b/>
          <w:bCs/>
          <w:lang w:eastAsia="zh-CN"/>
        </w:rPr>
        <w:lastRenderedPageBreak/>
        <w:t>二十八、</w:t>
      </w:r>
      <w:bookmarkEnd w:id="529"/>
      <w:bookmarkEnd w:id="530"/>
      <w:r w:rsidRPr="00FB03DC">
        <w:rPr>
          <w:rFonts w:ascii="仿宋" w:eastAsia="仿宋" w:hAnsi="仿宋"/>
          <w:b/>
          <w:bCs/>
          <w:lang w:eastAsia="zh-CN"/>
        </w:rPr>
        <w:t>资产管理合同的</w:t>
      </w:r>
      <w:bookmarkEnd w:id="531"/>
      <w:r w:rsidRPr="00FB03DC">
        <w:rPr>
          <w:rFonts w:ascii="仿宋" w:eastAsia="仿宋" w:hAnsi="仿宋"/>
          <w:b/>
          <w:bCs/>
          <w:lang w:eastAsia="zh-CN"/>
        </w:rPr>
        <w:t>效力</w:t>
      </w:r>
      <w:bookmarkEnd w:id="532"/>
      <w:bookmarkEnd w:id="533"/>
      <w:bookmarkEnd w:id="534"/>
      <w:bookmarkEnd w:id="535"/>
      <w:bookmarkEnd w:id="536"/>
      <w:bookmarkEnd w:id="537"/>
      <w:bookmarkEnd w:id="538"/>
      <w:bookmarkEnd w:id="539"/>
      <w:bookmarkEnd w:id="540"/>
    </w:p>
    <w:p w14:paraId="7AA88F6B" w14:textId="77777777" w:rsidR="00F31CD2" w:rsidRPr="00FB03DC" w:rsidRDefault="00A71D56">
      <w:pPr>
        <w:tabs>
          <w:tab w:val="left" w:pos="720"/>
        </w:tabs>
        <w:spacing w:line="360" w:lineRule="auto"/>
        <w:ind w:firstLine="480"/>
        <w:outlineLvl w:val="1"/>
        <w:rPr>
          <w:rFonts w:ascii="仿宋" w:eastAsia="仿宋" w:hAnsi="仿宋"/>
          <w:sz w:val="24"/>
          <w:lang w:eastAsia="zh-CN"/>
        </w:rPr>
      </w:pPr>
      <w:bookmarkStart w:id="541" w:name="_Toc198732024"/>
      <w:bookmarkStart w:id="542" w:name="_Toc26958"/>
      <w:bookmarkStart w:id="543" w:name="_Toc10702"/>
      <w:r w:rsidRPr="00FB03DC">
        <w:rPr>
          <w:rFonts w:ascii="仿宋" w:eastAsia="仿宋" w:hAnsi="仿宋"/>
          <w:sz w:val="24"/>
          <w:lang w:eastAsia="zh-CN"/>
        </w:rPr>
        <w:t>（一）合同的成立与生效</w:t>
      </w:r>
      <w:bookmarkEnd w:id="541"/>
      <w:bookmarkEnd w:id="542"/>
      <w:bookmarkEnd w:id="543"/>
    </w:p>
    <w:p w14:paraId="2F92E718"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lang w:eastAsia="zh-CN"/>
        </w:rPr>
        <w:t>本合同是约定合同当事人之间权利义务关系的法律文件，投资者为法人的，资产管理合同自投资者、管理人和托管人加盖公章以及各方法定代表人</w:t>
      </w:r>
      <w:r w:rsidRPr="00FB03DC">
        <w:rPr>
          <w:rFonts w:ascii="仿宋" w:eastAsia="仿宋" w:hAnsi="仿宋" w:cs="FangSong"/>
          <w:color w:val="000000"/>
          <w:sz w:val="24"/>
          <w:lang w:eastAsia="zh-CN"/>
        </w:rPr>
        <w:t>/负责人</w:t>
      </w:r>
      <w:r w:rsidRPr="00FB03DC">
        <w:rPr>
          <w:rFonts w:ascii="仿宋" w:eastAsia="仿宋" w:hAnsi="仿宋"/>
          <w:sz w:val="24"/>
          <w:lang w:eastAsia="zh-CN"/>
        </w:rPr>
        <w:t>或者授权代表签字或者盖章之日起成立；投资者为自然人的，资产管理合同自投资者本人签署、管理人和托管人加盖公章以及双方法定代表人</w:t>
      </w:r>
      <w:r w:rsidRPr="00FB03DC">
        <w:rPr>
          <w:rFonts w:ascii="仿宋" w:eastAsia="仿宋" w:hAnsi="仿宋" w:cs="FangSong"/>
          <w:color w:val="000000"/>
          <w:sz w:val="24"/>
          <w:lang w:eastAsia="zh-CN"/>
        </w:rPr>
        <w:t>/负责人</w:t>
      </w:r>
      <w:r w:rsidRPr="00FB03DC">
        <w:rPr>
          <w:rFonts w:ascii="仿宋" w:eastAsia="仿宋" w:hAnsi="仿宋"/>
          <w:sz w:val="24"/>
          <w:lang w:eastAsia="zh-CN"/>
        </w:rPr>
        <w:t>或者授权代表签字或者盖章之日起成立。</w:t>
      </w:r>
      <w:r w:rsidRPr="00FB03DC">
        <w:rPr>
          <w:rFonts w:ascii="仿宋" w:eastAsia="仿宋" w:hAnsi="仿宋"/>
          <w:sz w:val="24"/>
          <w:szCs w:val="24"/>
          <w:lang w:eastAsia="zh-CN"/>
        </w:rPr>
        <w:t>本合同成立后，同时满足以下条件时生效：</w:t>
      </w:r>
    </w:p>
    <w:p w14:paraId="31B85ADD"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1、投资者参与资金实际交付并确认有效；</w:t>
      </w:r>
    </w:p>
    <w:p w14:paraId="08828D48" w14:textId="77777777" w:rsidR="00F31CD2" w:rsidRPr="00FB03DC" w:rsidRDefault="00A71D56">
      <w:pPr>
        <w:pStyle w:val="35"/>
        <w:spacing w:line="360" w:lineRule="auto"/>
        <w:ind w:firstLine="425"/>
        <w:rPr>
          <w:rFonts w:ascii="仿宋" w:eastAsia="仿宋" w:hAnsi="仿宋"/>
          <w:sz w:val="24"/>
          <w:szCs w:val="24"/>
          <w:lang w:eastAsia="zh-CN"/>
        </w:rPr>
      </w:pPr>
      <w:r w:rsidRPr="00FB03DC">
        <w:rPr>
          <w:rFonts w:ascii="仿宋" w:eastAsia="仿宋" w:hAnsi="仿宋"/>
          <w:sz w:val="24"/>
          <w:szCs w:val="24"/>
          <w:lang w:eastAsia="zh-CN"/>
        </w:rPr>
        <w:t>2、本集合计划成立。</w:t>
      </w:r>
    </w:p>
    <w:p w14:paraId="1372B117"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本集合计划合同自生效之日起对投资者、管理人、托管人具有同等的法律约束力。</w:t>
      </w:r>
    </w:p>
    <w:p w14:paraId="32008018" w14:textId="77777777"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本集合计划终止，本合同终止。但本合同项下的清算条款、违约责任条款、争议解决条款仍然有效。</w:t>
      </w:r>
    </w:p>
    <w:p w14:paraId="583EF029" w14:textId="77777777" w:rsidR="00F31CD2" w:rsidRPr="00FB03DC" w:rsidRDefault="00A71D56">
      <w:pPr>
        <w:spacing w:line="360" w:lineRule="auto"/>
        <w:ind w:firstLine="420"/>
        <w:outlineLvl w:val="1"/>
        <w:rPr>
          <w:rFonts w:ascii="仿宋" w:eastAsia="仿宋" w:hAnsi="仿宋"/>
          <w:sz w:val="24"/>
          <w:lang w:eastAsia="zh-CN"/>
        </w:rPr>
      </w:pPr>
      <w:bookmarkStart w:id="544" w:name="_Toc198732025"/>
      <w:bookmarkStart w:id="545" w:name="_Toc8031"/>
      <w:bookmarkStart w:id="546" w:name="_Toc26481"/>
      <w:r w:rsidRPr="00FB03DC">
        <w:rPr>
          <w:rFonts w:ascii="仿宋" w:eastAsia="仿宋" w:hAnsi="仿宋"/>
          <w:sz w:val="24"/>
          <w:lang w:eastAsia="zh-CN"/>
        </w:rPr>
        <w:t>（二）合同的组成</w:t>
      </w:r>
      <w:bookmarkEnd w:id="544"/>
      <w:bookmarkEnd w:id="545"/>
    </w:p>
    <w:p w14:paraId="01902DC3" w14:textId="36E1627C" w:rsidR="00F31CD2" w:rsidRPr="00FB03DC" w:rsidRDefault="00A71D56">
      <w:pPr>
        <w:spacing w:line="360" w:lineRule="auto"/>
        <w:ind w:firstLine="425"/>
        <w:rPr>
          <w:rFonts w:ascii="仿宋" w:eastAsia="仿宋" w:hAnsi="仿宋"/>
          <w:sz w:val="24"/>
          <w:lang w:eastAsia="zh-CN"/>
        </w:rPr>
      </w:pPr>
      <w:r w:rsidRPr="00FB03DC">
        <w:rPr>
          <w:rFonts w:ascii="仿宋" w:eastAsia="仿宋" w:hAnsi="仿宋"/>
          <w:sz w:val="24"/>
          <w:lang w:eastAsia="zh-CN"/>
        </w:rPr>
        <w:t>《华泰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集合资产管理计划说明书》、《华泰</w:t>
      </w:r>
      <w:r w:rsidR="00FB03DC" w:rsidRPr="00FB03DC">
        <w:rPr>
          <w:rFonts w:ascii="仿宋" w:eastAsia="仿宋" w:hAnsi="仿宋"/>
          <w:sz w:val="24"/>
          <w:lang w:eastAsia="zh-CN"/>
        </w:rPr>
        <w:t>银泰</w:t>
      </w:r>
      <w:r w:rsidR="00443F9C">
        <w:rPr>
          <w:rFonts w:ascii="仿宋" w:eastAsia="仿宋" w:hAnsi="仿宋"/>
          <w:sz w:val="24"/>
          <w:lang w:eastAsia="zh-CN"/>
        </w:rPr>
        <w:t>精选广元6号</w:t>
      </w:r>
      <w:r w:rsidRPr="00FB03DC">
        <w:rPr>
          <w:rFonts w:ascii="仿宋" w:eastAsia="仿宋" w:hAnsi="仿宋"/>
          <w:sz w:val="24"/>
          <w:lang w:eastAsia="zh-CN"/>
        </w:rPr>
        <w:t>集合资产管理计划风险揭示书》及</w:t>
      </w:r>
      <w:r w:rsidRPr="00FB03DC">
        <w:rPr>
          <w:rFonts w:ascii="仿宋" w:eastAsia="仿宋" w:hAnsi="仿宋"/>
          <w:bCs/>
          <w:sz w:val="24"/>
          <w:lang w:eastAsia="zh-CN"/>
        </w:rPr>
        <w:t>经管理人确认有效的投资者参与、退出本集合计划的申请材料和各销售机构出具的集合计划参与、退出业务受理有关凭证、投资者通过电子签名方式产生的数据电文等为本合同的附件，</w:t>
      </w:r>
      <w:r w:rsidRPr="00FB03DC">
        <w:rPr>
          <w:rFonts w:ascii="仿宋" w:eastAsia="仿宋" w:hAnsi="仿宋"/>
          <w:sz w:val="24"/>
          <w:lang w:eastAsia="zh-CN"/>
        </w:rPr>
        <w:t>是本合同不可分割的一部分，与合同具有同等法律效力。</w:t>
      </w:r>
    </w:p>
    <w:p w14:paraId="133855A7" w14:textId="37BF9AD9" w:rsidR="00F31CD2" w:rsidRPr="00FB03DC" w:rsidRDefault="00A71D56">
      <w:pPr>
        <w:spacing w:line="360" w:lineRule="auto"/>
        <w:ind w:firstLine="426"/>
        <w:rPr>
          <w:rFonts w:ascii="仿宋" w:eastAsia="仿宋" w:hAnsi="仿宋"/>
          <w:b/>
          <w:bCs/>
          <w:sz w:val="24"/>
          <w:lang w:eastAsia="zh-CN"/>
        </w:rPr>
      </w:pPr>
      <w:r w:rsidRPr="00FB03DC">
        <w:rPr>
          <w:rFonts w:ascii="仿宋" w:eastAsia="仿宋" w:hAnsi="仿宋"/>
          <w:b/>
          <w:bCs/>
          <w:sz w:val="24"/>
          <w:lang w:eastAsia="zh-CN"/>
        </w:rPr>
        <w:t>但《华泰</w:t>
      </w:r>
      <w:r w:rsidR="00FB03DC" w:rsidRPr="00FB03DC">
        <w:rPr>
          <w:rFonts w:ascii="仿宋" w:eastAsia="仿宋" w:hAnsi="仿宋"/>
          <w:b/>
          <w:bCs/>
          <w:sz w:val="24"/>
          <w:lang w:eastAsia="zh-CN"/>
        </w:rPr>
        <w:t>银泰</w:t>
      </w:r>
      <w:r w:rsidR="00443F9C">
        <w:rPr>
          <w:rFonts w:ascii="仿宋" w:eastAsia="仿宋" w:hAnsi="仿宋"/>
          <w:b/>
          <w:bCs/>
          <w:sz w:val="24"/>
          <w:lang w:eastAsia="zh-CN"/>
        </w:rPr>
        <w:t>精选广元6号</w:t>
      </w:r>
      <w:r w:rsidRPr="00FB03DC">
        <w:rPr>
          <w:rFonts w:ascii="仿宋" w:eastAsia="仿宋" w:hAnsi="仿宋"/>
          <w:b/>
          <w:bCs/>
          <w:sz w:val="24"/>
          <w:lang w:eastAsia="zh-CN"/>
        </w:rPr>
        <w:t>集合资产管理计划说明书》与本合同正文不一致的，以本合同正文为准。</w:t>
      </w:r>
    </w:p>
    <w:p w14:paraId="733AA9E7" w14:textId="77777777" w:rsidR="00F31CD2" w:rsidRPr="00FB03DC" w:rsidRDefault="00A71D56">
      <w:pPr>
        <w:spacing w:line="360" w:lineRule="auto"/>
        <w:ind w:firstLine="420"/>
        <w:outlineLvl w:val="1"/>
        <w:rPr>
          <w:rFonts w:ascii="仿宋" w:eastAsia="仿宋" w:hAnsi="仿宋"/>
          <w:bCs/>
          <w:sz w:val="24"/>
          <w:lang w:eastAsia="zh-CN"/>
        </w:rPr>
      </w:pPr>
      <w:bookmarkStart w:id="547" w:name="_Toc6639"/>
      <w:bookmarkStart w:id="548" w:name="_Toc198732026"/>
      <w:r w:rsidRPr="00FB03DC">
        <w:rPr>
          <w:rFonts w:ascii="仿宋" w:eastAsia="仿宋" w:hAnsi="仿宋"/>
          <w:bCs/>
          <w:sz w:val="24"/>
          <w:lang w:eastAsia="zh-CN"/>
        </w:rPr>
        <w:t>（三）合同的有效期限</w:t>
      </w:r>
      <w:bookmarkEnd w:id="546"/>
      <w:bookmarkEnd w:id="547"/>
      <w:bookmarkEnd w:id="548"/>
    </w:p>
    <w:p w14:paraId="2C94FE24" w14:textId="77777777" w:rsidR="00F31CD2" w:rsidRPr="00FB03DC" w:rsidRDefault="00A71D56">
      <w:pPr>
        <w:spacing w:line="360" w:lineRule="auto"/>
        <w:ind w:firstLine="425"/>
        <w:rPr>
          <w:rFonts w:ascii="仿宋" w:eastAsia="仿宋" w:hAnsi="仿宋"/>
          <w:bCs/>
          <w:sz w:val="24"/>
          <w:lang w:eastAsia="zh-CN"/>
        </w:rPr>
      </w:pPr>
      <w:r w:rsidRPr="00FB03DC">
        <w:rPr>
          <w:rFonts w:ascii="仿宋" w:eastAsia="仿宋" w:hAnsi="仿宋"/>
          <w:bCs/>
          <w:sz w:val="24"/>
          <w:lang w:eastAsia="zh-CN"/>
        </w:rPr>
        <w:t>本合同的有效期限自合同生效日起至本集合计划终止日止。</w:t>
      </w:r>
    </w:p>
    <w:p w14:paraId="6AE666A5" w14:textId="77777777" w:rsidR="00F31CD2" w:rsidRPr="00FB03DC" w:rsidRDefault="00A71D56">
      <w:pPr>
        <w:spacing w:line="360" w:lineRule="auto"/>
        <w:ind w:firstLine="425"/>
        <w:rPr>
          <w:rFonts w:ascii="仿宋" w:eastAsia="仿宋" w:hAnsi="仿宋"/>
          <w:bCs/>
          <w:sz w:val="24"/>
          <w:lang w:eastAsia="zh-CN"/>
        </w:rPr>
      </w:pPr>
      <w:r w:rsidRPr="00FB03DC">
        <w:rPr>
          <w:rFonts w:ascii="仿宋" w:eastAsia="仿宋" w:hAnsi="仿宋"/>
          <w:bCs/>
          <w:sz w:val="24"/>
          <w:lang w:eastAsia="zh-CN"/>
        </w:rPr>
        <w:t>投资者自签订资产管理合同即成为资产管理合同的当事人。在资产管理计划存续期间，投资者自全部退出资产管理计划之日起，该投资者不再是资产管理合同的当事人。</w:t>
      </w:r>
    </w:p>
    <w:p w14:paraId="23FCB14B" w14:textId="77777777" w:rsidR="00F31CD2" w:rsidRPr="00FB03DC" w:rsidRDefault="00F31CD2">
      <w:pPr>
        <w:rPr>
          <w:rFonts w:ascii="仿宋" w:eastAsia="仿宋" w:hAnsi="仿宋"/>
          <w:b/>
          <w:sz w:val="32"/>
          <w:lang w:eastAsia="zh-CN"/>
        </w:rPr>
      </w:pPr>
    </w:p>
    <w:p w14:paraId="302A4CB5" w14:textId="77777777" w:rsidR="00F31CD2" w:rsidRPr="00FB03DC" w:rsidRDefault="00A71D56">
      <w:pPr>
        <w:rPr>
          <w:rFonts w:ascii="仿宋" w:eastAsia="仿宋" w:hAnsi="仿宋"/>
          <w:sz w:val="24"/>
          <w:lang w:eastAsia="zh-CN"/>
        </w:rPr>
      </w:pPr>
      <w:r w:rsidRPr="00FB03DC">
        <w:rPr>
          <w:rFonts w:ascii="仿宋" w:eastAsia="仿宋" w:hAnsi="仿宋"/>
          <w:sz w:val="24"/>
          <w:lang w:eastAsia="zh-CN"/>
        </w:rPr>
        <w:br w:type="page"/>
      </w:r>
    </w:p>
    <w:p w14:paraId="61CD9A03" w14:textId="77777777" w:rsidR="00F31CD2" w:rsidRPr="00FB03DC" w:rsidRDefault="00A71D56">
      <w:pPr>
        <w:tabs>
          <w:tab w:val="left" w:pos="6240"/>
        </w:tabs>
        <w:spacing w:line="360" w:lineRule="auto"/>
        <w:ind w:firstLine="426"/>
        <w:rPr>
          <w:rFonts w:ascii="仿宋" w:eastAsia="仿宋" w:hAnsi="仿宋"/>
          <w:b/>
          <w:bCs/>
          <w:sz w:val="24"/>
          <w:lang w:eastAsia="zh-CN"/>
        </w:rPr>
      </w:pPr>
      <w:r w:rsidRPr="00FB03DC">
        <w:rPr>
          <w:rFonts w:ascii="仿宋" w:eastAsia="仿宋" w:hAnsi="仿宋"/>
          <w:b/>
          <w:bCs/>
          <w:sz w:val="24"/>
          <w:lang w:eastAsia="zh-CN"/>
        </w:rPr>
        <w:lastRenderedPageBreak/>
        <w:t>管理人确认，已向投资者明确说明集合计划的风险，不保证投资者资产本金不受损失或取得最低收益；投资者确认，已充分理解本合同的内容，自行承担投资风险和损失。</w:t>
      </w:r>
    </w:p>
    <w:p w14:paraId="0AEE6389" w14:textId="77777777" w:rsidR="00F31CD2" w:rsidRPr="00FB03DC" w:rsidRDefault="00A71D56">
      <w:pPr>
        <w:tabs>
          <w:tab w:val="left" w:pos="6240"/>
        </w:tabs>
        <w:spacing w:line="360" w:lineRule="auto"/>
        <w:ind w:firstLine="425"/>
        <w:rPr>
          <w:rFonts w:ascii="仿宋" w:eastAsia="仿宋" w:hAnsi="仿宋"/>
          <w:sz w:val="24"/>
          <w:lang w:eastAsia="zh-CN"/>
        </w:rPr>
      </w:pPr>
      <w:r w:rsidRPr="00FB03DC">
        <w:rPr>
          <w:rFonts w:ascii="仿宋" w:eastAsia="仿宋" w:hAnsi="仿宋"/>
          <w:sz w:val="24"/>
          <w:lang w:eastAsia="zh-CN"/>
        </w:rPr>
        <w:t>本合同正本壹式</w:t>
      </w:r>
      <w:r w:rsidRPr="00FB03DC">
        <w:rPr>
          <w:rFonts w:ascii="仿宋" w:eastAsia="仿宋" w:hAnsi="仿宋" w:hint="eastAsia"/>
          <w:sz w:val="24"/>
          <w:lang w:eastAsia="zh-CN"/>
        </w:rPr>
        <w:t>肆</w:t>
      </w:r>
      <w:r w:rsidRPr="00FB03DC">
        <w:rPr>
          <w:rFonts w:ascii="仿宋" w:eastAsia="仿宋" w:hAnsi="仿宋"/>
          <w:sz w:val="24"/>
          <w:lang w:eastAsia="zh-CN"/>
        </w:rPr>
        <w:t>份，管理人、托管人</w:t>
      </w:r>
      <w:r w:rsidRPr="00FB03DC">
        <w:rPr>
          <w:rFonts w:ascii="仿宋" w:eastAsia="仿宋" w:hAnsi="仿宋" w:hint="eastAsia"/>
          <w:sz w:val="24"/>
          <w:lang w:eastAsia="zh-CN"/>
        </w:rPr>
        <w:t>、投资者</w:t>
      </w:r>
      <w:r w:rsidRPr="00FB03DC">
        <w:rPr>
          <w:rFonts w:ascii="仿宋" w:eastAsia="仿宋" w:hAnsi="仿宋"/>
          <w:sz w:val="24"/>
          <w:lang w:eastAsia="zh-CN"/>
        </w:rPr>
        <w:t>各执壹份，其余按照有关监管部门的要求备案，经签署每份均具有同等法律效力。</w:t>
      </w:r>
    </w:p>
    <w:p w14:paraId="766D3A8F" w14:textId="77777777" w:rsidR="00F31CD2" w:rsidRPr="00FB03DC" w:rsidRDefault="00A71D56">
      <w:pPr>
        <w:tabs>
          <w:tab w:val="left" w:pos="6240"/>
        </w:tabs>
        <w:spacing w:line="360" w:lineRule="auto"/>
        <w:ind w:firstLine="425"/>
        <w:rPr>
          <w:rFonts w:ascii="仿宋" w:eastAsia="仿宋" w:hAnsi="仿宋"/>
          <w:sz w:val="24"/>
          <w:lang w:eastAsia="zh-CN"/>
        </w:rPr>
      </w:pPr>
      <w:r w:rsidRPr="00FB03DC">
        <w:rPr>
          <w:rFonts w:ascii="仿宋" w:eastAsia="仿宋" w:hAnsi="仿宋"/>
          <w:sz w:val="24"/>
          <w:lang w:eastAsia="zh-CN"/>
        </w:rPr>
        <w:br w:type="page"/>
      </w:r>
    </w:p>
    <w:p w14:paraId="576C7E34" w14:textId="77777777" w:rsidR="00F31CD2" w:rsidRPr="00FB03DC" w:rsidRDefault="00A71D56">
      <w:pPr>
        <w:pStyle w:val="2"/>
        <w:spacing w:before="0" w:after="0" w:line="360" w:lineRule="auto"/>
        <w:ind w:firstLine="420"/>
        <w:rPr>
          <w:rFonts w:ascii="仿宋" w:eastAsia="仿宋" w:hAnsi="仿宋"/>
          <w:b/>
          <w:bCs/>
          <w:lang w:eastAsia="zh-CN"/>
        </w:rPr>
      </w:pPr>
      <w:r w:rsidRPr="00FB03DC">
        <w:rPr>
          <w:rFonts w:ascii="仿宋" w:eastAsia="仿宋" w:hAnsi="仿宋"/>
          <w:b/>
          <w:bCs/>
          <w:lang w:eastAsia="zh-CN"/>
        </w:rPr>
        <w:lastRenderedPageBreak/>
        <w:t>二十</w:t>
      </w:r>
      <w:r w:rsidRPr="00FB03DC">
        <w:rPr>
          <w:rFonts w:ascii="仿宋" w:eastAsia="仿宋" w:hAnsi="仿宋" w:hint="eastAsia"/>
          <w:b/>
          <w:bCs/>
          <w:lang w:eastAsia="zh-CN"/>
        </w:rPr>
        <w:t>九</w:t>
      </w:r>
      <w:r w:rsidRPr="00FB03DC">
        <w:rPr>
          <w:rFonts w:ascii="仿宋" w:eastAsia="仿宋" w:hAnsi="仿宋"/>
          <w:b/>
          <w:bCs/>
          <w:lang w:eastAsia="zh-CN"/>
        </w:rPr>
        <w:t>、</w:t>
      </w:r>
      <w:r w:rsidRPr="00FB03DC">
        <w:rPr>
          <w:rFonts w:ascii="仿宋" w:eastAsia="仿宋" w:hAnsi="仿宋" w:hint="eastAsia"/>
          <w:b/>
          <w:bCs/>
          <w:lang w:eastAsia="zh-CN"/>
        </w:rPr>
        <w:t>个人信息保护</w:t>
      </w:r>
    </w:p>
    <w:p w14:paraId="78326D46"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一）为履行反洗钱义务、开立托管业务账户并进行必要的信息核验等为开展本合同项下业务所必需之目的，投资者、管理人、托管人（以下简称各方）有权根据法律法规规定及业务需要，遵循合法、正当、必要和诚信原则，在合同当事人办理本合同相关业务过程中处理（收集、存储、使用、加工、传输、删除）合同当事人相关人士（法定代表人</w:t>
      </w:r>
      <w:r w:rsidRPr="00FB03DC">
        <w:rPr>
          <w:rFonts w:ascii="仿宋" w:eastAsia="仿宋" w:hAnsi="仿宋" w:cs="仿宋_GB2312"/>
          <w:sz w:val="24"/>
          <w:szCs w:val="24"/>
          <w:lang w:eastAsia="zh-CN"/>
        </w:rPr>
        <w:t>/负责人或授权代理人、业务经办人等）以下信息：</w:t>
      </w:r>
    </w:p>
    <w:p w14:paraId="41971535"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合同当事人相关人士为办理本合同项下相关业务，如开户、托管产品受益所有人身份识别信息采集</w:t>
      </w:r>
      <w:r w:rsidRPr="00FB03DC">
        <w:rPr>
          <w:rFonts w:ascii="仿宋" w:eastAsia="仿宋" w:hAnsi="仿宋" w:cs="仿宋_GB2312"/>
          <w:sz w:val="24"/>
          <w:szCs w:val="24"/>
          <w:lang w:eastAsia="zh-CN"/>
        </w:rPr>
        <w:t>/登记等所需的一般个人信息（包含姓名、联系方式）及敏感个人信息（身份证件信息，如身份证明文件种类、号码、有效期限、国籍/地区等）。</w:t>
      </w:r>
    </w:p>
    <w:p w14:paraId="5C1578FB"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上述信息（含敏感个人信息）均为各方为合同当事人提供服务、履行本协议所必需。如合同当事人向合同相对方提供的信息不真实、不准确、不完整将可能影响合同当事人正常交易。如果合同当事人不同意合同相对方按照上述规则和范围处理合同当事人信息，可能导致合同相对方无法提供本协议项下部分或全部服务。</w:t>
      </w:r>
    </w:p>
    <w:p w14:paraId="3ECF1026"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合同当事人及合同当事人相关人士充分了解上述信息一旦泄露或被非法使用，可能损害合同当事人相关人士的隐私权，干扰合同当事人相关人士的日常生活。敏感个人信息一旦泄露或者非法使用，容易导致自然人的财产安全受到危害。</w:t>
      </w:r>
    </w:p>
    <w:p w14:paraId="28AB48EA"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各方承诺将严格遵守法律法规规定，加强对合同当事人及合同当事人相关人士的个人信息的保护，严格按照约定目的处理合同当事人及合同当事人相关人士的个人信息，不做篡改或违法使用，采取有效措施防止个人信息被滥用、泄露，确保信息安全。如违反个人信息保护相关法律法规及本协议约定，违约方将依法承担相应法律责任。</w:t>
      </w:r>
    </w:p>
    <w:p w14:paraId="4E18FAF2"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二）合同当事人知悉，上述信息为各方提供本合同项下服务所必需。上述信息不真实、不准确、不完整，或合同当事人相关人士的个人信息授权无效，将影响合同当事人正常签约和交易。如果合同当事人不同意合同相对方收</w:t>
      </w:r>
      <w:r w:rsidRPr="00FB03DC">
        <w:rPr>
          <w:rFonts w:ascii="仿宋" w:eastAsia="仿宋" w:hAnsi="仿宋" w:cs="仿宋_GB2312" w:hint="eastAsia"/>
          <w:sz w:val="24"/>
          <w:szCs w:val="24"/>
          <w:lang w:eastAsia="zh-CN"/>
        </w:rPr>
        <w:lastRenderedPageBreak/>
        <w:t>集以上信息，可能导致合同相对方无法为合同当事人办理本业务或履行合同相对方需向合同当事人承担的义务。</w:t>
      </w:r>
    </w:p>
    <w:p w14:paraId="2F5FE9C3"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三）合同当事人知悉，为履行法定职责或法定义务所必须，各方将在符合法律法规规定的前提下，向第三方有权机关（中国人民银行、国家金融监督管理总局、中国证券监督管理委员会、中国证券投资基金业协会、中国证券登记结算有限责任公司、上海交易所、深圳交易所、全国中小企业股份转让系统、中央国债登记结算有限责任公司、外汇交易中心、上海清算所等）提供合同当事人或合同当事人相关人士的信息。</w:t>
      </w:r>
    </w:p>
    <w:p w14:paraId="0D979B22"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各方承诺在发生上述情形时，按照《个人信息保护法》等法律法规要求，履行个人信息保护的相关义务及程序。</w:t>
      </w:r>
    </w:p>
    <w:p w14:paraId="0C273129"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四）合同当事人承诺，合同当事人在签署本协议并向合同相对方提供上述信息前，已向合同当事人相关人士充分告知合同相对方的名称、联系方式、本业务办理过程中个人信息的处理目的、处理方式、处理信息的范围等事项，涉及向合同当事人相关人士发送本业务的营销信息的，还应额外告知此事项的处理规则，并事前依法取得合同当事人相关人士的单独同意，合同当事人相关人士所作意思表示真实且自愿。合同当事人承诺已通过授权等方式征得相关人士对按照本协议个人信息保护条款处理其信息并将信息提供给合同相对方的同意。</w:t>
      </w:r>
    </w:p>
    <w:p w14:paraId="5695A226"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五）合同当事人相关人士信息如有变更，合同当事人应及时告知合同相对方，并做好后续接替人员的个人信息授权。如合同当事人未充分告知或告知不及时，由此产生的损失或侵犯信息主体权益产生的法律责任，合同当事人应自行承担。</w:t>
      </w:r>
    </w:p>
    <w:p w14:paraId="457A64BF"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t>（六）各方只在上述处理目的、处理方式和个人信息的种类等范围内处理合同当事人相关人士的个人信息。各方仅在中国大陆境内保存上述合同当事人及合同当事人相关人士个人信息，并仅会在为实现上述目的、满足适用法律法规及监管规定的要求以及应对可能的争议解决所必需的最短时间内留存上述合同当事人及合同当事人相关人士个人信息，法律、行政法规另有规定除外。在留存时限届满后，各方会删除或匿名化处理合同当事人及合同当事人相关人士个人信息。</w:t>
      </w:r>
    </w:p>
    <w:p w14:paraId="0377BE2B" w14:textId="77777777" w:rsidR="00F31CD2" w:rsidRPr="00FB03DC" w:rsidRDefault="00A71D56">
      <w:pPr>
        <w:spacing w:line="360" w:lineRule="auto"/>
        <w:ind w:firstLine="480"/>
        <w:rPr>
          <w:rFonts w:ascii="仿宋" w:eastAsia="仿宋" w:hAnsi="仿宋" w:cs="仿宋_GB2312"/>
          <w:sz w:val="24"/>
          <w:szCs w:val="24"/>
          <w:lang w:eastAsia="zh-CN"/>
        </w:rPr>
      </w:pPr>
      <w:r w:rsidRPr="00FB03DC">
        <w:rPr>
          <w:rFonts w:ascii="仿宋" w:eastAsia="仿宋" w:hAnsi="仿宋" w:cs="仿宋_GB2312" w:hint="eastAsia"/>
          <w:sz w:val="24"/>
          <w:szCs w:val="24"/>
          <w:lang w:eastAsia="zh-CN"/>
        </w:rPr>
        <w:lastRenderedPageBreak/>
        <w:t>（七）本协议项下与合同当事人信息保护相关的通用规则，按照各方《隐私政策》（如有）相关内容执行。</w:t>
      </w:r>
    </w:p>
    <w:p w14:paraId="23C735BD" w14:textId="3C130019" w:rsidR="00F31CD2" w:rsidRPr="004D21EB" w:rsidRDefault="00A71D56">
      <w:pPr>
        <w:spacing w:line="360" w:lineRule="auto"/>
        <w:ind w:firstLine="480"/>
        <w:rPr>
          <w:rFonts w:ascii="仿宋" w:eastAsia="仿宋" w:hAnsi="仿宋"/>
          <w:sz w:val="24"/>
          <w:szCs w:val="24"/>
          <w:u w:val="single"/>
          <w:lang w:eastAsia="zh-CN"/>
        </w:rPr>
      </w:pPr>
      <w:r w:rsidRPr="00FB03DC">
        <w:rPr>
          <w:rFonts w:ascii="仿宋" w:eastAsia="仿宋" w:hAnsi="仿宋"/>
          <w:sz w:val="24"/>
          <w:lang w:eastAsia="zh-CN"/>
        </w:rPr>
        <w:br w:type="page"/>
      </w:r>
      <w:r w:rsidRPr="004D21EB">
        <w:rPr>
          <w:rFonts w:ascii="仿宋" w:eastAsia="仿宋" w:hAnsi="仿宋"/>
          <w:sz w:val="24"/>
          <w:szCs w:val="24"/>
          <w:lang w:eastAsia="zh-CN"/>
        </w:rPr>
        <w:lastRenderedPageBreak/>
        <w:t>本页无正文，为《华泰</w:t>
      </w:r>
      <w:r w:rsidR="00FB03DC" w:rsidRPr="004D21EB">
        <w:rPr>
          <w:rFonts w:ascii="仿宋" w:eastAsia="仿宋" w:hAnsi="仿宋"/>
          <w:sz w:val="24"/>
          <w:szCs w:val="24"/>
          <w:lang w:eastAsia="zh-CN"/>
        </w:rPr>
        <w:t>银泰</w:t>
      </w:r>
      <w:r w:rsidR="00443F9C" w:rsidRPr="004D21EB">
        <w:rPr>
          <w:rFonts w:ascii="仿宋" w:eastAsia="仿宋" w:hAnsi="仿宋"/>
          <w:sz w:val="24"/>
          <w:szCs w:val="24"/>
          <w:lang w:eastAsia="zh-CN"/>
        </w:rPr>
        <w:t>精选广元6号</w:t>
      </w:r>
      <w:r w:rsidRPr="004D21EB">
        <w:rPr>
          <w:rFonts w:ascii="仿宋" w:eastAsia="仿宋" w:hAnsi="仿宋"/>
          <w:sz w:val="24"/>
          <w:szCs w:val="24"/>
          <w:lang w:eastAsia="zh-CN"/>
        </w:rPr>
        <w:t>集合资产管理计划资产管理合同》合同签署页</w:t>
      </w:r>
    </w:p>
    <w:p w14:paraId="2C655D64" w14:textId="77777777" w:rsidR="00F31CD2" w:rsidRPr="004D21EB" w:rsidRDefault="00F31CD2">
      <w:pPr>
        <w:spacing w:line="360" w:lineRule="auto"/>
        <w:ind w:firstLine="425"/>
        <w:rPr>
          <w:rFonts w:ascii="仿宋" w:eastAsia="仿宋" w:hAnsi="仿宋"/>
          <w:sz w:val="24"/>
          <w:szCs w:val="24"/>
          <w:lang w:eastAsia="zh-CN"/>
        </w:rPr>
      </w:pPr>
    </w:p>
    <w:p w14:paraId="47BC94FA" w14:textId="28B5E515" w:rsidR="00F31CD2" w:rsidRPr="004D21EB" w:rsidRDefault="00A71D56" w:rsidP="004D21EB">
      <w:pPr>
        <w:ind w:firstLine="425"/>
        <w:rPr>
          <w:rFonts w:ascii="仿宋" w:eastAsia="仿宋" w:hAnsi="仿宋"/>
          <w:sz w:val="24"/>
          <w:szCs w:val="24"/>
          <w:lang w:eastAsia="zh-CN"/>
        </w:rPr>
      </w:pPr>
      <w:r w:rsidRPr="004D21EB">
        <w:rPr>
          <w:rFonts w:ascii="仿宋" w:eastAsia="仿宋" w:hAnsi="仿宋"/>
          <w:sz w:val="24"/>
          <w:szCs w:val="24"/>
          <w:lang w:eastAsia="zh-CN"/>
        </w:rPr>
        <w:t>投资者盖章：</w:t>
      </w:r>
      <w:bookmarkStart w:id="549" w:name="_GoBack"/>
      <w:bookmarkEnd w:id="549"/>
      <w:r w:rsidR="00EC723A" w:rsidRPr="004D21EB">
        <w:rPr>
          <w:rFonts w:ascii="仿宋" w:eastAsia="仿宋" w:hAnsi="仿宋"/>
          <w:sz w:val="24"/>
          <w:szCs w:val="24"/>
          <w:lang w:eastAsia="zh-CN"/>
        </w:rPr>
        <w:t xml:space="preserve"> </w:t>
      </w:r>
    </w:p>
    <w:p w14:paraId="28AC17E2" w14:textId="77777777" w:rsidR="00F31CD2" w:rsidRPr="004D21EB" w:rsidRDefault="00A71D56">
      <w:pPr>
        <w:spacing w:line="360" w:lineRule="auto"/>
        <w:ind w:firstLine="425"/>
        <w:rPr>
          <w:rFonts w:ascii="仿宋" w:eastAsia="仿宋" w:hAnsi="仿宋"/>
          <w:sz w:val="24"/>
          <w:szCs w:val="24"/>
          <w:lang w:eastAsia="zh-CN"/>
        </w:rPr>
      </w:pPr>
      <w:r w:rsidRPr="004D21EB">
        <w:rPr>
          <w:rFonts w:ascii="仿宋" w:eastAsia="仿宋" w:hAnsi="仿宋" w:hint="eastAsia"/>
          <w:sz w:val="24"/>
          <w:szCs w:val="24"/>
          <w:lang w:eastAsia="zh-CN"/>
        </w:rPr>
        <w:t>法定代表人或其授权代表：</w:t>
      </w:r>
      <w:r w:rsidRPr="004D21EB">
        <w:rPr>
          <w:rFonts w:ascii="仿宋" w:eastAsia="仿宋" w:hAnsi="仿宋"/>
          <w:sz w:val="24"/>
          <w:szCs w:val="24"/>
          <w:lang w:eastAsia="zh-CN"/>
        </w:rPr>
        <w:t xml:space="preserve"> </w:t>
      </w:r>
    </w:p>
    <w:p w14:paraId="6D1D0381" w14:textId="77777777" w:rsidR="00F31CD2" w:rsidRPr="004D21EB" w:rsidRDefault="00F31CD2">
      <w:pPr>
        <w:spacing w:line="360" w:lineRule="auto"/>
        <w:ind w:firstLine="425"/>
        <w:rPr>
          <w:rFonts w:ascii="仿宋" w:eastAsia="仿宋" w:hAnsi="仿宋"/>
          <w:sz w:val="24"/>
          <w:szCs w:val="24"/>
          <w:lang w:eastAsia="zh-CN"/>
        </w:rPr>
      </w:pPr>
    </w:p>
    <w:p w14:paraId="0D1C53DE" w14:textId="77777777" w:rsidR="00F31CD2" w:rsidRPr="004D21EB" w:rsidRDefault="00A71D56">
      <w:pPr>
        <w:spacing w:line="360" w:lineRule="auto"/>
        <w:ind w:firstLine="425"/>
        <w:rPr>
          <w:rFonts w:ascii="仿宋" w:eastAsia="仿宋" w:hAnsi="仿宋"/>
          <w:sz w:val="24"/>
          <w:szCs w:val="24"/>
          <w:lang w:eastAsia="zh-CN"/>
        </w:rPr>
      </w:pPr>
      <w:r w:rsidRPr="004D21EB">
        <w:rPr>
          <w:rFonts w:ascii="仿宋" w:eastAsia="仿宋" w:hAnsi="仿宋"/>
          <w:sz w:val="24"/>
          <w:szCs w:val="24"/>
          <w:lang w:eastAsia="zh-CN"/>
        </w:rPr>
        <w:t>签订日期：</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年</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月</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日</w:t>
      </w:r>
    </w:p>
    <w:p w14:paraId="12CA239F" w14:textId="77777777" w:rsidR="00F31CD2" w:rsidRPr="004D21EB" w:rsidRDefault="00F31CD2">
      <w:pPr>
        <w:spacing w:line="360" w:lineRule="auto"/>
        <w:ind w:firstLine="425"/>
        <w:rPr>
          <w:rFonts w:ascii="仿宋" w:eastAsia="仿宋" w:hAnsi="仿宋"/>
          <w:sz w:val="24"/>
          <w:szCs w:val="24"/>
          <w:lang w:eastAsia="zh-CN"/>
        </w:rPr>
      </w:pPr>
    </w:p>
    <w:p w14:paraId="6FC55889" w14:textId="77777777" w:rsidR="00F31CD2" w:rsidRPr="004D21EB" w:rsidRDefault="00A71D56">
      <w:pPr>
        <w:spacing w:line="360" w:lineRule="auto"/>
        <w:ind w:firstLine="425"/>
        <w:rPr>
          <w:rFonts w:ascii="仿宋" w:eastAsia="仿宋" w:hAnsi="仿宋"/>
          <w:bCs/>
          <w:sz w:val="24"/>
          <w:szCs w:val="24"/>
          <w:lang w:eastAsia="zh-CN"/>
        </w:rPr>
      </w:pPr>
      <w:r w:rsidRPr="004D21EB">
        <w:rPr>
          <w:rFonts w:ascii="仿宋" w:eastAsia="仿宋" w:hAnsi="仿宋"/>
          <w:sz w:val="24"/>
          <w:szCs w:val="24"/>
          <w:lang w:eastAsia="zh-CN"/>
        </w:rPr>
        <w:t xml:space="preserve">                          </w:t>
      </w:r>
    </w:p>
    <w:p w14:paraId="09B3A378" w14:textId="0E900EE2" w:rsidR="00F31CD2" w:rsidRPr="004D21EB" w:rsidRDefault="00A71D56" w:rsidP="004D21EB">
      <w:pPr>
        <w:spacing w:line="360" w:lineRule="auto"/>
        <w:ind w:firstLine="425"/>
        <w:rPr>
          <w:rFonts w:ascii="仿宋" w:eastAsia="仿宋" w:hAnsi="仿宋"/>
          <w:bCs/>
          <w:sz w:val="24"/>
          <w:szCs w:val="24"/>
          <w:lang w:eastAsia="zh-CN"/>
        </w:rPr>
      </w:pPr>
      <w:r w:rsidRPr="004D21EB">
        <w:rPr>
          <w:rFonts w:ascii="仿宋" w:eastAsia="仿宋" w:hAnsi="仿宋"/>
          <w:bCs/>
          <w:sz w:val="24"/>
          <w:szCs w:val="24"/>
          <w:lang w:eastAsia="zh-CN"/>
        </w:rPr>
        <w:t>管理人：</w:t>
      </w:r>
      <w:r w:rsidRPr="004D21EB">
        <w:rPr>
          <w:rFonts w:ascii="仿宋" w:eastAsia="仿宋" w:hAnsi="仿宋"/>
          <w:sz w:val="24"/>
          <w:szCs w:val="24"/>
          <w:lang w:eastAsia="zh-CN"/>
        </w:rPr>
        <w:t>华泰证券（上海）资产管理有限公司</w:t>
      </w:r>
      <w:r w:rsidRPr="004D21EB">
        <w:rPr>
          <w:rFonts w:ascii="仿宋" w:eastAsia="仿宋" w:hAnsi="仿宋"/>
          <w:bCs/>
          <w:sz w:val="24"/>
          <w:szCs w:val="24"/>
          <w:lang w:eastAsia="zh-CN"/>
        </w:rPr>
        <w:t xml:space="preserve">（盖章） </w:t>
      </w:r>
    </w:p>
    <w:p w14:paraId="4B92F1D6" w14:textId="77777777" w:rsidR="00F31CD2" w:rsidRPr="004D21EB" w:rsidRDefault="00A71D56">
      <w:pPr>
        <w:spacing w:line="360" w:lineRule="auto"/>
        <w:ind w:firstLine="425"/>
        <w:rPr>
          <w:rFonts w:ascii="仿宋" w:eastAsia="仿宋" w:hAnsi="仿宋"/>
          <w:sz w:val="24"/>
          <w:szCs w:val="24"/>
          <w:lang w:eastAsia="zh-CN"/>
        </w:rPr>
      </w:pPr>
      <w:r w:rsidRPr="004D21EB">
        <w:rPr>
          <w:rFonts w:ascii="仿宋" w:eastAsia="仿宋" w:hAnsi="仿宋"/>
          <w:sz w:val="24"/>
          <w:szCs w:val="24"/>
          <w:lang w:eastAsia="zh-CN"/>
        </w:rPr>
        <w:t>法定代表人或其授权代表：</w:t>
      </w:r>
    </w:p>
    <w:p w14:paraId="5F546968" w14:textId="77777777" w:rsidR="00F31CD2" w:rsidRPr="004D21EB" w:rsidRDefault="00F31CD2">
      <w:pPr>
        <w:spacing w:line="360" w:lineRule="auto"/>
        <w:ind w:firstLine="425"/>
        <w:rPr>
          <w:rFonts w:ascii="仿宋" w:eastAsia="仿宋" w:hAnsi="仿宋"/>
          <w:bCs/>
          <w:sz w:val="24"/>
          <w:szCs w:val="24"/>
          <w:lang w:eastAsia="zh-CN"/>
        </w:rPr>
      </w:pPr>
    </w:p>
    <w:p w14:paraId="445CA807" w14:textId="77777777" w:rsidR="00F31CD2" w:rsidRPr="004D21EB" w:rsidRDefault="00A71D56">
      <w:pPr>
        <w:spacing w:line="360" w:lineRule="auto"/>
        <w:ind w:firstLine="425"/>
        <w:rPr>
          <w:rFonts w:ascii="仿宋" w:eastAsia="仿宋" w:hAnsi="仿宋"/>
          <w:sz w:val="24"/>
          <w:szCs w:val="24"/>
          <w:lang w:eastAsia="zh-CN"/>
        </w:rPr>
      </w:pPr>
      <w:r w:rsidRPr="004D21EB">
        <w:rPr>
          <w:rFonts w:ascii="仿宋" w:eastAsia="仿宋" w:hAnsi="仿宋"/>
          <w:sz w:val="24"/>
          <w:szCs w:val="24"/>
          <w:lang w:eastAsia="zh-CN"/>
        </w:rPr>
        <w:t>签订日期：</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年</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月</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日</w:t>
      </w:r>
    </w:p>
    <w:p w14:paraId="6B1CC265" w14:textId="40257A92" w:rsidR="00F31CD2" w:rsidRPr="004D21EB" w:rsidRDefault="00F31CD2" w:rsidP="004D21EB">
      <w:pPr>
        <w:spacing w:line="360" w:lineRule="auto"/>
        <w:rPr>
          <w:rFonts w:ascii="仿宋" w:eastAsia="仿宋" w:hAnsi="仿宋"/>
          <w:sz w:val="24"/>
          <w:szCs w:val="24"/>
          <w:lang w:eastAsia="zh-CN"/>
        </w:rPr>
      </w:pPr>
    </w:p>
    <w:p w14:paraId="495A7F39" w14:textId="53307443" w:rsidR="00F31CD2" w:rsidRPr="004D21EB" w:rsidRDefault="00A71D56">
      <w:pPr>
        <w:spacing w:line="360" w:lineRule="auto"/>
        <w:ind w:firstLine="425"/>
        <w:rPr>
          <w:rFonts w:ascii="仿宋" w:eastAsia="仿宋" w:hAnsi="仿宋"/>
          <w:bCs/>
          <w:sz w:val="24"/>
          <w:szCs w:val="24"/>
          <w:lang w:eastAsia="zh-CN"/>
        </w:rPr>
      </w:pPr>
      <w:r w:rsidRPr="004D21EB">
        <w:rPr>
          <w:rFonts w:ascii="仿宋" w:eastAsia="仿宋" w:hAnsi="仿宋"/>
          <w:sz w:val="24"/>
          <w:szCs w:val="24"/>
          <w:lang w:eastAsia="zh-CN"/>
        </w:rPr>
        <w:t>托管人</w:t>
      </w:r>
      <w:r w:rsidRPr="004D21EB">
        <w:rPr>
          <w:rFonts w:ascii="仿宋" w:eastAsia="仿宋" w:hAnsi="仿宋"/>
          <w:bCs/>
          <w:sz w:val="24"/>
          <w:szCs w:val="24"/>
          <w:lang w:eastAsia="zh-CN"/>
        </w:rPr>
        <w:t>：</w:t>
      </w:r>
      <w:r w:rsidRPr="004D21EB">
        <w:rPr>
          <w:rFonts w:ascii="仿宋" w:eastAsia="仿宋" w:hAnsi="仿宋"/>
          <w:sz w:val="24"/>
          <w:szCs w:val="24"/>
          <w:lang w:eastAsia="zh-CN"/>
        </w:rPr>
        <w:t>中国银行股份有限公司北京市分行（盖章）</w:t>
      </w:r>
    </w:p>
    <w:p w14:paraId="2FCF8227" w14:textId="77777777" w:rsidR="00F31CD2" w:rsidRPr="004D21EB" w:rsidRDefault="00F31CD2">
      <w:pPr>
        <w:spacing w:line="360" w:lineRule="auto"/>
        <w:ind w:firstLine="425"/>
        <w:rPr>
          <w:rFonts w:ascii="仿宋" w:eastAsia="仿宋" w:hAnsi="仿宋"/>
          <w:sz w:val="24"/>
          <w:szCs w:val="24"/>
          <w:lang w:eastAsia="zh-CN"/>
        </w:rPr>
      </w:pPr>
    </w:p>
    <w:p w14:paraId="46C0E0D8" w14:textId="77777777" w:rsidR="00F31CD2" w:rsidRPr="004D21EB" w:rsidRDefault="00A71D56">
      <w:pPr>
        <w:spacing w:line="360" w:lineRule="auto"/>
        <w:ind w:firstLine="425"/>
        <w:rPr>
          <w:rFonts w:ascii="仿宋" w:eastAsia="仿宋" w:hAnsi="仿宋"/>
          <w:sz w:val="24"/>
          <w:szCs w:val="24"/>
          <w:lang w:eastAsia="zh-CN"/>
        </w:rPr>
      </w:pPr>
      <w:r w:rsidRPr="004D21EB">
        <w:rPr>
          <w:rFonts w:ascii="仿宋" w:eastAsia="仿宋" w:hAnsi="仿宋"/>
          <w:sz w:val="24"/>
          <w:szCs w:val="24"/>
          <w:lang w:eastAsia="zh-CN"/>
        </w:rPr>
        <w:t>负责人或其授权代表：</w:t>
      </w:r>
    </w:p>
    <w:p w14:paraId="707E8DAA" w14:textId="77777777" w:rsidR="00F31CD2" w:rsidRPr="004D21EB" w:rsidRDefault="00F31CD2">
      <w:pPr>
        <w:spacing w:line="360" w:lineRule="auto"/>
        <w:ind w:firstLine="425"/>
        <w:rPr>
          <w:rFonts w:ascii="仿宋" w:eastAsia="仿宋" w:hAnsi="仿宋"/>
          <w:sz w:val="24"/>
          <w:szCs w:val="24"/>
          <w:lang w:eastAsia="zh-CN"/>
        </w:rPr>
      </w:pPr>
    </w:p>
    <w:p w14:paraId="420DB2BC" w14:textId="77777777" w:rsidR="00F31CD2" w:rsidRPr="004D21EB" w:rsidRDefault="00A71D56">
      <w:pPr>
        <w:spacing w:line="360" w:lineRule="auto"/>
        <w:ind w:firstLine="480"/>
        <w:rPr>
          <w:rFonts w:ascii="仿宋" w:eastAsia="仿宋" w:hAnsi="仿宋"/>
          <w:sz w:val="24"/>
          <w:szCs w:val="24"/>
          <w:lang w:eastAsia="zh-CN"/>
        </w:rPr>
      </w:pPr>
      <w:r w:rsidRPr="004D21EB">
        <w:rPr>
          <w:rFonts w:ascii="仿宋" w:eastAsia="仿宋" w:hAnsi="仿宋"/>
          <w:sz w:val="24"/>
          <w:szCs w:val="24"/>
          <w:lang w:eastAsia="zh-CN"/>
        </w:rPr>
        <w:t>签订日期：</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年</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月</w:t>
      </w:r>
      <w:r w:rsidRPr="004D21EB">
        <w:rPr>
          <w:rFonts w:ascii="仿宋" w:eastAsia="仿宋" w:hAnsi="仿宋"/>
          <w:sz w:val="24"/>
          <w:szCs w:val="24"/>
          <w:u w:val="single"/>
          <w:lang w:eastAsia="zh-CN"/>
        </w:rPr>
        <w:t xml:space="preserve">       </w:t>
      </w:r>
      <w:r w:rsidRPr="004D21EB">
        <w:rPr>
          <w:rFonts w:ascii="仿宋" w:eastAsia="仿宋" w:hAnsi="仿宋"/>
          <w:sz w:val="24"/>
          <w:szCs w:val="24"/>
          <w:lang w:eastAsia="zh-CN"/>
        </w:rPr>
        <w:t>日</w:t>
      </w:r>
    </w:p>
    <w:p w14:paraId="228EB96E" w14:textId="77777777" w:rsidR="00F31CD2" w:rsidRPr="004D21EB" w:rsidRDefault="00F31CD2">
      <w:pPr>
        <w:rPr>
          <w:rFonts w:ascii="仿宋" w:eastAsia="仿宋" w:hAnsi="仿宋"/>
          <w:sz w:val="24"/>
          <w:szCs w:val="24"/>
          <w:lang w:eastAsia="zh-CN"/>
        </w:rPr>
      </w:pPr>
    </w:p>
    <w:p w14:paraId="586C7059" w14:textId="77777777" w:rsidR="00F31CD2" w:rsidRPr="00FB03DC" w:rsidRDefault="00A71D56">
      <w:pPr>
        <w:pStyle w:val="2"/>
        <w:rPr>
          <w:rFonts w:ascii="仿宋" w:eastAsia="仿宋" w:hAnsi="仿宋"/>
          <w:sz w:val="24"/>
          <w:szCs w:val="24"/>
          <w:lang w:eastAsia="zh-CN"/>
        </w:rPr>
      </w:pPr>
      <w:bookmarkStart w:id="550" w:name="_Toc14448"/>
      <w:bookmarkStart w:id="551" w:name="_Toc31327"/>
      <w:bookmarkStart w:id="552" w:name="_Toc159589315"/>
      <w:bookmarkStart w:id="553" w:name="_Toc27401"/>
      <w:bookmarkStart w:id="554" w:name="_Toc13592"/>
      <w:bookmarkStart w:id="555" w:name="_Toc129357592"/>
      <w:bookmarkStart w:id="556" w:name="_Toc17702"/>
      <w:bookmarkStart w:id="557" w:name="_Toc6656"/>
      <w:bookmarkStart w:id="558" w:name="_Toc22840"/>
      <w:r w:rsidRPr="00FB03DC">
        <w:rPr>
          <w:rFonts w:ascii="仿宋" w:eastAsia="仿宋" w:hAnsi="仿宋"/>
          <w:sz w:val="24"/>
          <w:szCs w:val="24"/>
          <w:lang w:eastAsia="zh-CN"/>
        </w:rPr>
        <w:br w:type="page"/>
      </w:r>
      <w:bookmarkStart w:id="559" w:name="_Toc198732027"/>
      <w:r w:rsidRPr="00FB03DC">
        <w:rPr>
          <w:rFonts w:ascii="仿宋" w:eastAsia="仿宋" w:hAnsi="仿宋"/>
          <w:sz w:val="24"/>
          <w:szCs w:val="24"/>
          <w:lang w:eastAsia="zh-CN"/>
        </w:rPr>
        <w:lastRenderedPageBreak/>
        <w:t>附件一：管理人关联方名单（更新日期：2025年3月）</w:t>
      </w:r>
      <w:bookmarkEnd w:id="550"/>
      <w:bookmarkEnd w:id="551"/>
      <w:bookmarkEnd w:id="552"/>
      <w:bookmarkEnd w:id="553"/>
      <w:bookmarkEnd w:id="554"/>
      <w:bookmarkEnd w:id="555"/>
      <w:bookmarkEnd w:id="556"/>
      <w:bookmarkEnd w:id="557"/>
      <w:bookmarkEnd w:id="558"/>
      <w:bookmarkEnd w:id="559"/>
    </w:p>
    <w:tbl>
      <w:tblPr>
        <w:tblW w:w="9660" w:type="dxa"/>
        <w:jc w:val="center"/>
        <w:tblLayout w:type="fixed"/>
        <w:tblLook w:val="04A0" w:firstRow="1" w:lastRow="0" w:firstColumn="1" w:lastColumn="0" w:noHBand="0" w:noVBand="1"/>
      </w:tblPr>
      <w:tblGrid>
        <w:gridCol w:w="6680"/>
        <w:gridCol w:w="2980"/>
      </w:tblGrid>
      <w:tr w:rsidR="00F31CD2" w:rsidRPr="00FB03DC" w14:paraId="53788207" w14:textId="77777777">
        <w:trPr>
          <w:trHeight w:val="270"/>
          <w:jc w:val="center"/>
        </w:trPr>
        <w:tc>
          <w:tcPr>
            <w:tcW w:w="6680" w:type="dxa"/>
            <w:tcBorders>
              <w:top w:val="single" w:sz="4" w:space="0" w:color="auto"/>
              <w:left w:val="single" w:sz="4" w:space="0" w:color="000000"/>
              <w:bottom w:val="single" w:sz="4" w:space="0" w:color="000000"/>
              <w:right w:val="single" w:sz="4" w:space="0" w:color="000000"/>
            </w:tcBorders>
            <w:noWrap/>
            <w:vAlign w:val="center"/>
          </w:tcPr>
          <w:p w14:paraId="531EF9CC" w14:textId="77777777" w:rsidR="00F31CD2" w:rsidRPr="00FB03DC" w:rsidRDefault="00A71D56">
            <w:pPr>
              <w:rPr>
                <w:rFonts w:ascii="仿宋" w:eastAsia="仿宋" w:hAnsi="仿宋"/>
              </w:rPr>
            </w:pPr>
            <w:r w:rsidRPr="00FB03DC">
              <w:rPr>
                <w:rFonts w:ascii="仿宋" w:eastAsia="仿宋" w:hAnsi="仿宋"/>
              </w:rPr>
              <w:t>2025年3月关联方</w:t>
            </w:r>
          </w:p>
        </w:tc>
        <w:tc>
          <w:tcPr>
            <w:tcW w:w="2980" w:type="dxa"/>
            <w:tcBorders>
              <w:top w:val="single" w:sz="4" w:space="0" w:color="auto"/>
              <w:left w:val="none" w:sz="4" w:space="0" w:color="000000"/>
              <w:bottom w:val="single" w:sz="4" w:space="0" w:color="000000"/>
              <w:right w:val="single" w:sz="4" w:space="0" w:color="000000"/>
            </w:tcBorders>
            <w:noWrap/>
            <w:vAlign w:val="center"/>
          </w:tcPr>
          <w:p w14:paraId="6661DD6D" w14:textId="77777777" w:rsidR="00F31CD2" w:rsidRPr="00FB03DC" w:rsidRDefault="00A71D56">
            <w:pPr>
              <w:jc w:val="center"/>
              <w:rPr>
                <w:rFonts w:ascii="仿宋" w:eastAsia="仿宋" w:hAnsi="仿宋"/>
              </w:rPr>
            </w:pPr>
            <w:r w:rsidRPr="00FB03DC">
              <w:rPr>
                <w:rFonts w:ascii="仿宋" w:eastAsia="仿宋" w:hAnsi="仿宋"/>
              </w:rPr>
              <w:t>关联关系</w:t>
            </w:r>
          </w:p>
        </w:tc>
      </w:tr>
      <w:tr w:rsidR="00F31CD2" w:rsidRPr="00FB03DC" w14:paraId="40172FB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12121CE" w14:textId="77777777" w:rsidR="00F31CD2" w:rsidRPr="00FB03DC" w:rsidRDefault="00A71D56">
            <w:pPr>
              <w:rPr>
                <w:rFonts w:ascii="仿宋" w:eastAsia="仿宋" w:hAnsi="仿宋"/>
                <w:lang w:eastAsia="zh-CN"/>
              </w:rPr>
            </w:pPr>
            <w:r w:rsidRPr="00FB03DC">
              <w:rPr>
                <w:rFonts w:ascii="仿宋" w:eastAsia="仿宋" w:hAnsi="仿宋"/>
                <w:lang w:eastAsia="zh-CN"/>
              </w:rPr>
              <w:t>华泰证券股份有限公司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F1ABED0" w14:textId="77777777" w:rsidR="00F31CD2" w:rsidRPr="00FB03DC" w:rsidRDefault="00A71D56">
            <w:pPr>
              <w:jc w:val="center"/>
              <w:rPr>
                <w:rFonts w:ascii="仿宋" w:eastAsia="仿宋" w:hAnsi="仿宋"/>
              </w:rPr>
            </w:pPr>
            <w:r w:rsidRPr="00FB03DC">
              <w:rPr>
                <w:rFonts w:ascii="仿宋" w:eastAsia="仿宋" w:hAnsi="仿宋"/>
              </w:rPr>
              <w:t>控股股东</w:t>
            </w:r>
          </w:p>
        </w:tc>
      </w:tr>
      <w:tr w:rsidR="00F31CD2" w:rsidRPr="00FB03DC" w14:paraId="1101DEF5"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48F615E" w14:textId="77777777" w:rsidR="00F31CD2" w:rsidRPr="00FB03DC" w:rsidRDefault="00A71D56">
            <w:pPr>
              <w:rPr>
                <w:rFonts w:ascii="仿宋" w:eastAsia="仿宋" w:hAnsi="仿宋"/>
                <w:lang w:eastAsia="zh-CN"/>
              </w:rPr>
            </w:pPr>
            <w:r w:rsidRPr="00FB03DC">
              <w:rPr>
                <w:rFonts w:ascii="仿宋" w:eastAsia="仿宋" w:hAnsi="仿宋"/>
                <w:lang w:eastAsia="zh-CN"/>
              </w:rPr>
              <w:t>华泰联合证券有限责任公司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1B9728B8"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5629E03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FD314C1" w14:textId="77777777" w:rsidR="00F31CD2" w:rsidRPr="00FB03DC" w:rsidRDefault="00A71D56">
            <w:pPr>
              <w:rPr>
                <w:rFonts w:ascii="仿宋" w:eastAsia="仿宋" w:hAnsi="仿宋"/>
              </w:rPr>
            </w:pPr>
            <w:r w:rsidRPr="00FB03DC">
              <w:rPr>
                <w:rFonts w:ascii="仿宋" w:eastAsia="仿宋" w:hAnsi="仿宋"/>
              </w:rPr>
              <w:t>华泰期货有限公司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FCFE8F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13B708C"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F8B8190" w14:textId="77777777" w:rsidR="00F31CD2" w:rsidRPr="00FB03DC" w:rsidRDefault="00A71D56">
            <w:pPr>
              <w:rPr>
                <w:rFonts w:ascii="仿宋" w:eastAsia="仿宋" w:hAnsi="仿宋"/>
                <w:lang w:eastAsia="zh-CN"/>
              </w:rPr>
            </w:pPr>
            <w:r w:rsidRPr="00FB03DC">
              <w:rPr>
                <w:rFonts w:ascii="仿宋" w:eastAsia="仿宋" w:hAnsi="仿宋"/>
                <w:lang w:eastAsia="zh-CN"/>
              </w:rPr>
              <w:t>华泰紫金投资有限责任公司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5F63426"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422144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0595D10" w14:textId="77777777" w:rsidR="00F31CD2" w:rsidRPr="00FB03DC" w:rsidRDefault="00A71D56">
            <w:pPr>
              <w:rPr>
                <w:rFonts w:ascii="仿宋" w:eastAsia="仿宋" w:hAnsi="仿宋"/>
                <w:lang w:eastAsia="zh-CN"/>
              </w:rPr>
            </w:pPr>
            <w:r w:rsidRPr="00FB03DC">
              <w:rPr>
                <w:rFonts w:ascii="仿宋" w:eastAsia="仿宋" w:hAnsi="仿宋"/>
                <w:lang w:eastAsia="zh-CN"/>
              </w:rPr>
              <w:t>江苏股权交易中心有限责任公司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F53FD1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709013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A6FEFD6" w14:textId="77777777" w:rsidR="00F31CD2" w:rsidRPr="00FB03DC" w:rsidRDefault="00A71D56">
            <w:pPr>
              <w:rPr>
                <w:rFonts w:ascii="仿宋" w:eastAsia="仿宋" w:hAnsi="仿宋"/>
                <w:lang w:eastAsia="zh-CN"/>
              </w:rPr>
            </w:pPr>
            <w:r w:rsidRPr="00FB03DC">
              <w:rPr>
                <w:rFonts w:ascii="仿宋" w:eastAsia="仿宋" w:hAnsi="仿宋"/>
                <w:lang w:eastAsia="zh-CN"/>
              </w:rPr>
              <w:t>华泰创新投资有限公司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3509FA3"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559265F2"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F805C04" w14:textId="77777777" w:rsidR="00F31CD2" w:rsidRPr="00FB03DC" w:rsidRDefault="00A71D56">
            <w:pPr>
              <w:rPr>
                <w:rFonts w:ascii="仿宋" w:eastAsia="仿宋" w:hAnsi="仿宋"/>
                <w:lang w:eastAsia="zh-CN"/>
              </w:rPr>
            </w:pPr>
            <w:r w:rsidRPr="00FB03DC">
              <w:rPr>
                <w:rFonts w:ascii="仿宋" w:eastAsia="仿宋" w:hAnsi="仿宋"/>
                <w:lang w:eastAsia="zh-CN"/>
              </w:rPr>
              <w:t>华泰国际金融控股有限公司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A56F8C4"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3995D16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C5DE095" w14:textId="77777777" w:rsidR="00F31CD2" w:rsidRPr="00FB03DC" w:rsidRDefault="00A71D56">
            <w:pPr>
              <w:rPr>
                <w:rFonts w:ascii="仿宋" w:eastAsia="仿宋" w:hAnsi="仿宋"/>
                <w:lang w:eastAsia="zh-CN"/>
              </w:rPr>
            </w:pPr>
            <w:r w:rsidRPr="00FB03DC">
              <w:rPr>
                <w:rFonts w:ascii="仿宋" w:eastAsia="仿宋" w:hAnsi="仿宋"/>
                <w:lang w:eastAsia="zh-CN"/>
              </w:rPr>
              <w:t>上海盛钜资产经营管理有限公司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87DB501"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B4A4D6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38E9DA1" w14:textId="77777777" w:rsidR="00F31CD2" w:rsidRPr="00FB03DC" w:rsidRDefault="00A71D56">
            <w:pPr>
              <w:rPr>
                <w:rFonts w:ascii="仿宋" w:eastAsia="仿宋" w:hAnsi="仿宋"/>
                <w:lang w:eastAsia="zh-CN"/>
              </w:rPr>
            </w:pPr>
            <w:r w:rsidRPr="00FB03DC">
              <w:rPr>
                <w:rFonts w:ascii="仿宋" w:eastAsia="仿宋" w:hAnsi="仿宋"/>
                <w:lang w:eastAsia="zh-CN"/>
              </w:rPr>
              <w:t>华泰金融控股 (香港) 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141FB16"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1F6278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C88ADDB"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南京华泰瑞通投资管理有限公司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2827603"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745E92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B5863F3" w14:textId="77777777" w:rsidR="00F31CD2" w:rsidRPr="00FB03DC" w:rsidRDefault="00A71D56">
            <w:pPr>
              <w:rPr>
                <w:rFonts w:ascii="仿宋" w:eastAsia="仿宋" w:hAnsi="仿宋"/>
                <w:lang w:eastAsia="zh-CN"/>
              </w:rPr>
            </w:pPr>
            <w:r w:rsidRPr="00FB03DC">
              <w:rPr>
                <w:rFonts w:ascii="仿宋" w:eastAsia="仿宋" w:hAnsi="仿宋"/>
                <w:lang w:eastAsia="zh-CN"/>
              </w:rPr>
              <w:t>华泰金控投资咨询 (深圳) 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8FF5AAA"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52BED28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00D4165" w14:textId="77777777" w:rsidR="00F31CD2" w:rsidRPr="00FB03DC" w:rsidRDefault="00A71D56">
            <w:pPr>
              <w:rPr>
                <w:rFonts w:ascii="仿宋" w:eastAsia="仿宋" w:hAnsi="仿宋"/>
                <w:lang w:eastAsia="zh-CN"/>
              </w:rPr>
            </w:pPr>
            <w:r w:rsidRPr="00FB03DC">
              <w:rPr>
                <w:rFonts w:ascii="仿宋" w:eastAsia="仿宋" w:hAnsi="仿宋"/>
                <w:lang w:eastAsia="zh-CN"/>
              </w:rPr>
              <w:t>深圳市华泰君信基金投资管理有限公司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792B88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7E5A9A5"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D9FBF63" w14:textId="77777777" w:rsidR="00F31CD2" w:rsidRPr="00FB03DC" w:rsidRDefault="00A71D56">
            <w:pPr>
              <w:rPr>
                <w:rFonts w:ascii="仿宋" w:eastAsia="仿宋" w:hAnsi="仿宋"/>
                <w:lang w:eastAsia="zh-CN"/>
              </w:rPr>
            </w:pPr>
            <w:r w:rsidRPr="00FB03DC">
              <w:rPr>
                <w:rFonts w:ascii="仿宋" w:eastAsia="仿宋" w:hAnsi="仿宋"/>
                <w:lang w:eastAsia="zh-CN"/>
              </w:rPr>
              <w:t>北京华泰同信投资基金管理有限公司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47E2F33"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A906E0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0A9EAFF" w14:textId="77777777" w:rsidR="00F31CD2" w:rsidRPr="00FB03DC" w:rsidRDefault="00A71D56">
            <w:pPr>
              <w:rPr>
                <w:rFonts w:ascii="仿宋" w:eastAsia="仿宋" w:hAnsi="仿宋"/>
                <w:lang w:eastAsia="zh-CN"/>
              </w:rPr>
            </w:pPr>
            <w:r w:rsidRPr="00FB03DC">
              <w:rPr>
                <w:rFonts w:ascii="仿宋" w:eastAsia="仿宋" w:hAnsi="仿宋"/>
                <w:lang w:eastAsia="zh-CN"/>
              </w:rPr>
              <w:t>华泰长城资本管理有限公司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1A8FA21"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591DB9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1D9B233" w14:textId="77777777" w:rsidR="00F31CD2" w:rsidRPr="00FB03DC" w:rsidRDefault="00A71D56">
            <w:pPr>
              <w:rPr>
                <w:rFonts w:ascii="仿宋" w:eastAsia="仿宋" w:hAnsi="仿宋"/>
                <w:lang w:eastAsia="zh-CN"/>
              </w:rPr>
            </w:pPr>
            <w:r w:rsidRPr="00FB03DC">
              <w:rPr>
                <w:rFonts w:ascii="仿宋" w:eastAsia="仿宋" w:hAnsi="仿宋"/>
                <w:lang w:eastAsia="zh-CN"/>
              </w:rPr>
              <w:t xml:space="preserve">华泰长城国际贸易有限公司 </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796218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BBC86DD"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7A200A2" w14:textId="77777777" w:rsidR="00F31CD2" w:rsidRPr="00FB03DC" w:rsidRDefault="00A71D56">
            <w:pPr>
              <w:rPr>
                <w:rFonts w:ascii="仿宋" w:eastAsia="仿宋" w:hAnsi="仿宋"/>
                <w:lang w:eastAsia="zh-CN"/>
              </w:rPr>
            </w:pPr>
            <w:r w:rsidRPr="00FB03DC">
              <w:rPr>
                <w:rFonts w:ascii="仿宋" w:eastAsia="仿宋" w:hAnsi="仿宋"/>
                <w:lang w:eastAsia="zh-CN"/>
              </w:rPr>
              <w:t>深圳市华泰瑞麟基金投资管理合伙企业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CFEF2F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E24071D"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A8E938B" w14:textId="77777777" w:rsidR="00F31CD2" w:rsidRPr="00FB03DC" w:rsidRDefault="00A71D56">
            <w:pPr>
              <w:rPr>
                <w:rFonts w:ascii="仿宋" w:eastAsia="仿宋" w:hAnsi="仿宋"/>
                <w:lang w:eastAsia="zh-CN"/>
              </w:rPr>
            </w:pPr>
            <w:r w:rsidRPr="00FB03DC">
              <w:rPr>
                <w:rFonts w:ascii="仿宋" w:eastAsia="仿宋" w:hAnsi="仿宋"/>
                <w:lang w:eastAsia="zh-CN"/>
              </w:rPr>
              <w:t>北京华泰瑞合医疗产业投资中心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ABF0B5F"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C1A6FD4"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731C7F0" w14:textId="77777777" w:rsidR="00F31CD2" w:rsidRPr="00FB03DC" w:rsidRDefault="00A71D56">
            <w:pPr>
              <w:rPr>
                <w:rFonts w:ascii="仿宋" w:eastAsia="仿宋" w:hAnsi="仿宋"/>
                <w:lang w:eastAsia="zh-CN"/>
              </w:rPr>
            </w:pPr>
            <w:r w:rsidRPr="00FB03DC">
              <w:rPr>
                <w:rFonts w:ascii="仿宋" w:eastAsia="仿宋" w:hAnsi="仿宋"/>
                <w:lang w:eastAsia="zh-CN"/>
              </w:rPr>
              <w:t>北京华泰瑞合投资基金管理合伙企业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BD02B50"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510809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D411B11" w14:textId="77777777" w:rsidR="00F31CD2" w:rsidRPr="00FB03DC" w:rsidRDefault="00A71D56">
            <w:pPr>
              <w:rPr>
                <w:rFonts w:ascii="仿宋" w:eastAsia="仿宋" w:hAnsi="仿宋"/>
                <w:lang w:eastAsia="zh-CN"/>
              </w:rPr>
            </w:pPr>
            <w:r w:rsidRPr="00FB03DC">
              <w:rPr>
                <w:rFonts w:ascii="仿宋" w:eastAsia="仿宋" w:hAnsi="仿宋"/>
                <w:lang w:eastAsia="zh-CN"/>
              </w:rPr>
              <w:t>成都华泰天府数智创业投资合伙企业(有限合伙)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5B8292D"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44746AA"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520C64A" w14:textId="77777777" w:rsidR="00F31CD2" w:rsidRPr="00FB03DC" w:rsidRDefault="00A71D56">
            <w:pPr>
              <w:rPr>
                <w:rFonts w:ascii="仿宋" w:eastAsia="仿宋" w:hAnsi="仿宋"/>
              </w:rPr>
            </w:pPr>
            <w:r w:rsidRPr="00FB03DC">
              <w:rPr>
                <w:rFonts w:ascii="仿宋" w:eastAsia="仿宋" w:hAnsi="仿宋"/>
              </w:rPr>
              <w:t>HTSC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563E4A4"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CBC08E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D6EAE7D" w14:textId="77777777" w:rsidR="00F31CD2" w:rsidRPr="00FB03DC" w:rsidRDefault="00A71D56">
            <w:pPr>
              <w:rPr>
                <w:rFonts w:ascii="仿宋" w:eastAsia="仿宋" w:hAnsi="仿宋"/>
              </w:rPr>
            </w:pPr>
            <w:r w:rsidRPr="00FB03DC">
              <w:rPr>
                <w:rFonts w:ascii="仿宋" w:eastAsia="仿宋" w:hAnsi="仿宋"/>
              </w:rPr>
              <w:t>Huatai HK SPC</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A28DD3B"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0BFBA4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4ADA809" w14:textId="77777777" w:rsidR="00F31CD2" w:rsidRPr="00FB03DC" w:rsidRDefault="00A71D56">
            <w:pPr>
              <w:rPr>
                <w:rFonts w:ascii="仿宋" w:eastAsia="仿宋" w:hAnsi="仿宋"/>
              </w:rPr>
            </w:pPr>
            <w:r w:rsidRPr="00FB03DC">
              <w:rPr>
                <w:rFonts w:ascii="仿宋" w:eastAsia="仿宋" w:hAnsi="仿宋"/>
              </w:rPr>
              <w:t>Huatai International Private Equity Investment Management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5142442"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5803D0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65A7935" w14:textId="77777777" w:rsidR="00F31CD2" w:rsidRPr="00FB03DC" w:rsidRDefault="00A71D56">
            <w:pPr>
              <w:rPr>
                <w:rFonts w:ascii="仿宋" w:eastAsia="仿宋" w:hAnsi="仿宋"/>
              </w:rPr>
            </w:pPr>
            <w:r w:rsidRPr="00FB03DC">
              <w:rPr>
                <w:rFonts w:ascii="仿宋" w:eastAsia="仿宋" w:hAnsi="仿宋"/>
              </w:rPr>
              <w:t>Huatai International Finance Limited (华泰国际财务有限公司)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7E8B54E"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F29A52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3B18776" w14:textId="77777777" w:rsidR="00F31CD2" w:rsidRPr="00FB03DC" w:rsidRDefault="00A71D56">
            <w:pPr>
              <w:rPr>
                <w:rFonts w:ascii="仿宋" w:eastAsia="仿宋" w:hAnsi="仿宋"/>
              </w:rPr>
            </w:pPr>
            <w:r w:rsidRPr="00FB03DC">
              <w:rPr>
                <w:rFonts w:ascii="仿宋" w:eastAsia="仿宋" w:hAnsi="仿宋"/>
              </w:rPr>
              <w:t>Huatai Value Investment Partners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CA69EDF"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3E7E127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BB1C8B2" w14:textId="77777777" w:rsidR="00F31CD2" w:rsidRPr="00FB03DC" w:rsidRDefault="00A71D56">
            <w:pPr>
              <w:rPr>
                <w:rFonts w:ascii="仿宋" w:eastAsia="仿宋" w:hAnsi="仿宋"/>
              </w:rPr>
            </w:pPr>
            <w:r w:rsidRPr="00FB03DC">
              <w:rPr>
                <w:rFonts w:ascii="仿宋" w:eastAsia="仿宋" w:hAnsi="仿宋"/>
              </w:rPr>
              <w:t>Huatai Capital Investment Management Limited (华泰资本投资管理有限公司)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E6D3458"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72CECBCB"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59690A2" w14:textId="77777777" w:rsidR="00F31CD2" w:rsidRPr="00FB03DC" w:rsidRDefault="00A71D56">
            <w:pPr>
              <w:rPr>
                <w:rFonts w:ascii="仿宋" w:eastAsia="仿宋" w:hAnsi="仿宋"/>
              </w:rPr>
            </w:pPr>
            <w:r w:rsidRPr="00FB03DC">
              <w:rPr>
                <w:rFonts w:ascii="仿宋" w:eastAsia="仿宋" w:hAnsi="仿宋"/>
              </w:rPr>
              <w:t>Huatai Capital Investment Limited (华泰资本投资有限公司)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C375BEF"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0CEC6C1"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26D2136" w14:textId="77777777" w:rsidR="00F31CD2" w:rsidRPr="00FB03DC" w:rsidRDefault="00A71D56">
            <w:pPr>
              <w:rPr>
                <w:rFonts w:ascii="仿宋" w:eastAsia="仿宋" w:hAnsi="仿宋"/>
              </w:rPr>
            </w:pPr>
            <w:r w:rsidRPr="00FB03DC">
              <w:rPr>
                <w:rFonts w:ascii="仿宋" w:eastAsia="仿宋" w:hAnsi="仿宋"/>
              </w:rPr>
              <w:t>Huatai International Corporate Finance Limited（华泰国际融资有限公司）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F9FCED6"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D4505F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7ABB0E2" w14:textId="77777777" w:rsidR="00F31CD2" w:rsidRPr="00FB03DC" w:rsidRDefault="00A71D56">
            <w:pPr>
              <w:rPr>
                <w:rFonts w:ascii="仿宋" w:eastAsia="仿宋" w:hAnsi="仿宋"/>
              </w:rPr>
            </w:pPr>
            <w:r w:rsidRPr="00FB03DC">
              <w:rPr>
                <w:rFonts w:ascii="仿宋" w:eastAsia="仿宋" w:hAnsi="仿宋"/>
              </w:rPr>
              <w:t>Principle Solution Group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0AD8E9D"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AF006BC"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C01870D" w14:textId="77777777" w:rsidR="00F31CD2" w:rsidRPr="00FB03DC" w:rsidRDefault="00A71D56">
            <w:pPr>
              <w:rPr>
                <w:rFonts w:ascii="仿宋" w:eastAsia="仿宋" w:hAnsi="仿宋"/>
              </w:rPr>
            </w:pPr>
            <w:r w:rsidRPr="00FB03DC">
              <w:rPr>
                <w:rFonts w:ascii="仿宋" w:eastAsia="仿宋" w:hAnsi="仿宋"/>
              </w:rPr>
              <w:t>Pioneer Reward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1A6E6C5"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74166D0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53F14D1" w14:textId="77777777" w:rsidR="00F31CD2" w:rsidRPr="00FB03DC" w:rsidRDefault="00A71D56">
            <w:pPr>
              <w:rPr>
                <w:rFonts w:ascii="仿宋" w:eastAsia="仿宋" w:hAnsi="仿宋"/>
              </w:rPr>
            </w:pPr>
            <w:r w:rsidRPr="00FB03DC">
              <w:rPr>
                <w:rFonts w:ascii="仿宋" w:eastAsia="仿宋" w:hAnsi="仿宋"/>
              </w:rPr>
              <w:t>Huatai International Financial Products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00E6A71"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3D42F84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B62A39B" w14:textId="77777777" w:rsidR="00F31CD2" w:rsidRPr="00FB03DC" w:rsidRDefault="00A71D56">
            <w:pPr>
              <w:rPr>
                <w:rFonts w:ascii="仿宋" w:eastAsia="仿宋" w:hAnsi="仿宋"/>
              </w:rPr>
            </w:pPr>
            <w:r w:rsidRPr="00FB03DC">
              <w:rPr>
                <w:rFonts w:ascii="仿宋" w:eastAsia="仿宋" w:hAnsi="仿宋"/>
              </w:rPr>
              <w:t>Huatai Capital Investment Partners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22B2BFB"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34AF93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D3B8932" w14:textId="77777777" w:rsidR="00F31CD2" w:rsidRPr="00FB03DC" w:rsidRDefault="00A71D56">
            <w:pPr>
              <w:rPr>
                <w:rFonts w:ascii="仿宋" w:eastAsia="仿宋" w:hAnsi="仿宋"/>
              </w:rPr>
            </w:pPr>
            <w:r w:rsidRPr="00FB03DC">
              <w:rPr>
                <w:rFonts w:ascii="仿宋" w:eastAsia="仿宋" w:hAnsi="仿宋"/>
              </w:rPr>
              <w:t>Huatai Capital Management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00B0EFF"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54039FB"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E47B61C" w14:textId="77777777" w:rsidR="00F31CD2" w:rsidRPr="00FB03DC" w:rsidRDefault="00A71D56">
            <w:pPr>
              <w:rPr>
                <w:rFonts w:ascii="仿宋" w:eastAsia="仿宋" w:hAnsi="仿宋"/>
              </w:rPr>
            </w:pPr>
            <w:r w:rsidRPr="00FB03DC">
              <w:rPr>
                <w:rFonts w:ascii="仿宋" w:eastAsia="仿宋" w:hAnsi="仿宋"/>
              </w:rPr>
              <w:t>Huatai Value Management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10220C58"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5432AA0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BFCF388" w14:textId="77777777" w:rsidR="00F31CD2" w:rsidRPr="00FB03DC" w:rsidRDefault="00A71D56">
            <w:pPr>
              <w:rPr>
                <w:rFonts w:ascii="仿宋" w:eastAsia="仿宋" w:hAnsi="仿宋"/>
              </w:rPr>
            </w:pPr>
            <w:r w:rsidRPr="00FB03DC">
              <w:rPr>
                <w:rFonts w:ascii="仿宋" w:eastAsia="仿宋" w:hAnsi="仿宋"/>
              </w:rPr>
              <w:t>Huatai Principal Investment I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217555E"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B67876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6B18ED6" w14:textId="77777777" w:rsidR="00F31CD2" w:rsidRPr="00FB03DC" w:rsidRDefault="00A71D56">
            <w:pPr>
              <w:rPr>
                <w:rFonts w:ascii="仿宋" w:eastAsia="仿宋" w:hAnsi="仿宋"/>
              </w:rPr>
            </w:pPr>
            <w:r w:rsidRPr="00FB03DC">
              <w:rPr>
                <w:rFonts w:ascii="仿宋" w:eastAsia="仿宋" w:hAnsi="仿宋"/>
              </w:rPr>
              <w:t>Huatai Principal Investment Group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4C16C60"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EC3F6F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DC23CCD" w14:textId="77777777" w:rsidR="00F31CD2" w:rsidRPr="00FB03DC" w:rsidRDefault="00A71D56">
            <w:pPr>
              <w:rPr>
                <w:rFonts w:ascii="仿宋" w:eastAsia="仿宋" w:hAnsi="仿宋"/>
                <w:lang w:eastAsia="zh-CN"/>
              </w:rPr>
            </w:pPr>
            <w:r w:rsidRPr="00FB03DC">
              <w:rPr>
                <w:rFonts w:ascii="仿宋" w:eastAsia="仿宋" w:hAnsi="仿宋"/>
                <w:lang w:eastAsia="zh-CN"/>
              </w:rPr>
              <w:t>华泰资本管理 (香港) 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FA38220"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3544F09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EE7414B" w14:textId="77777777" w:rsidR="00F31CD2" w:rsidRPr="00FB03DC" w:rsidRDefault="00A71D56">
            <w:pPr>
              <w:rPr>
                <w:rFonts w:ascii="仿宋" w:eastAsia="仿宋" w:hAnsi="仿宋"/>
                <w:lang w:eastAsia="zh-CN"/>
              </w:rPr>
            </w:pPr>
            <w:r w:rsidRPr="00FB03DC">
              <w:rPr>
                <w:rFonts w:ascii="仿宋" w:eastAsia="仿宋" w:hAnsi="仿宋"/>
                <w:lang w:eastAsia="zh-CN"/>
              </w:rPr>
              <w:t>伊犁华泰瑞达股权投资管理有限公司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18C0BDFA"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6CB3B5D"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0CEC9B7" w14:textId="77777777" w:rsidR="00F31CD2" w:rsidRPr="00FB03DC" w:rsidRDefault="00A71D56">
            <w:pPr>
              <w:rPr>
                <w:rFonts w:ascii="仿宋" w:eastAsia="仿宋" w:hAnsi="仿宋"/>
                <w:lang w:eastAsia="zh-CN"/>
              </w:rPr>
            </w:pPr>
            <w:r w:rsidRPr="00FB03DC">
              <w:rPr>
                <w:rFonts w:ascii="仿宋" w:eastAsia="仿宋" w:hAnsi="仿宋"/>
                <w:lang w:eastAsia="zh-CN"/>
              </w:rPr>
              <w:t>伊犁华泰瑞达股权投资管理合伙企业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81D4AC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E66E71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DB15506" w14:textId="77777777" w:rsidR="00F31CD2" w:rsidRPr="00FB03DC" w:rsidRDefault="00A71D56">
            <w:pPr>
              <w:rPr>
                <w:rFonts w:ascii="仿宋" w:eastAsia="仿宋" w:hAnsi="仿宋"/>
                <w:lang w:eastAsia="zh-CN"/>
              </w:rPr>
            </w:pPr>
            <w:r w:rsidRPr="00FB03DC">
              <w:rPr>
                <w:rFonts w:ascii="仿宋" w:eastAsia="仿宋" w:hAnsi="仿宋"/>
                <w:lang w:eastAsia="zh-CN"/>
              </w:rPr>
              <w:lastRenderedPageBreak/>
              <w:t>伊犁苏新投资基金合伙企业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71792C9"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C27EED2"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CBB1392"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南京华泰瑞兴投资管理有限公司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FEAC22C"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A0736D5"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301CA27"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南京华泰瑞兴投资基金管理合伙企业 (有限合伙)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6B5082B"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F31860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1CF61B9" w14:textId="77777777" w:rsidR="00F31CD2" w:rsidRPr="00FB03DC" w:rsidRDefault="00A71D56">
            <w:pPr>
              <w:rPr>
                <w:rFonts w:ascii="仿宋" w:eastAsia="仿宋" w:hAnsi="仿宋"/>
              </w:rPr>
            </w:pPr>
            <w:r w:rsidRPr="00FB03DC">
              <w:rPr>
                <w:rFonts w:ascii="仿宋" w:eastAsia="仿宋" w:hAnsi="仿宋"/>
              </w:rPr>
              <w:t>Huatai Financial USA Inc.</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BE4AF9A"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274AB5B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9EFA7A3" w14:textId="77777777" w:rsidR="00F31CD2" w:rsidRPr="00FB03DC" w:rsidRDefault="00A71D56">
            <w:pPr>
              <w:rPr>
                <w:rFonts w:ascii="仿宋" w:eastAsia="仿宋" w:hAnsi="仿宋"/>
                <w:lang w:eastAsia="zh-CN"/>
              </w:rPr>
            </w:pPr>
            <w:r w:rsidRPr="00FB03DC">
              <w:rPr>
                <w:rFonts w:ascii="仿宋" w:eastAsia="仿宋" w:hAnsi="仿宋"/>
                <w:lang w:eastAsia="zh-CN"/>
              </w:rPr>
              <w:t>华泰 (香港) 期货有限公司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9FF0409"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7C6576A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82A359F" w14:textId="77777777" w:rsidR="00F31CD2" w:rsidRPr="00FB03DC" w:rsidRDefault="00A71D56">
            <w:pPr>
              <w:rPr>
                <w:rFonts w:ascii="仿宋" w:eastAsia="仿宋" w:hAnsi="仿宋"/>
                <w:lang w:eastAsia="zh-CN"/>
              </w:rPr>
            </w:pPr>
            <w:r w:rsidRPr="00FB03DC">
              <w:rPr>
                <w:rFonts w:ascii="仿宋" w:eastAsia="仿宋" w:hAnsi="仿宋"/>
                <w:lang w:eastAsia="zh-CN"/>
              </w:rPr>
              <w:t>华泰长城投资管理有限公司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658168B"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C4437D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B870D83" w14:textId="77777777" w:rsidR="00F31CD2" w:rsidRPr="00FB03DC" w:rsidRDefault="00A71D56">
            <w:pPr>
              <w:rPr>
                <w:rFonts w:ascii="仿宋" w:eastAsia="仿宋" w:hAnsi="仿宋"/>
              </w:rPr>
            </w:pPr>
            <w:r w:rsidRPr="00FB03DC">
              <w:rPr>
                <w:rFonts w:ascii="仿宋" w:eastAsia="仿宋" w:hAnsi="仿宋"/>
              </w:rPr>
              <w:t>Huatai International Investment Holdings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71E30D5"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4DACFCCA"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01F127E" w14:textId="77777777" w:rsidR="00F31CD2" w:rsidRPr="00FB03DC" w:rsidRDefault="00A71D56">
            <w:pPr>
              <w:rPr>
                <w:rFonts w:ascii="仿宋" w:eastAsia="仿宋" w:hAnsi="仿宋"/>
              </w:rPr>
            </w:pPr>
            <w:r w:rsidRPr="00FB03DC">
              <w:rPr>
                <w:rFonts w:ascii="仿宋" w:eastAsia="仿宋" w:hAnsi="仿宋"/>
              </w:rPr>
              <w:t>Huatai Securities USA Holding, Inc.</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3152804"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3A8001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06ABB56" w14:textId="77777777" w:rsidR="00F31CD2" w:rsidRPr="00FB03DC" w:rsidRDefault="00A71D56">
            <w:pPr>
              <w:rPr>
                <w:rFonts w:ascii="仿宋" w:eastAsia="仿宋" w:hAnsi="仿宋"/>
              </w:rPr>
            </w:pPr>
            <w:r w:rsidRPr="00FB03DC">
              <w:rPr>
                <w:rFonts w:ascii="仿宋" w:eastAsia="仿宋" w:hAnsi="仿宋"/>
              </w:rPr>
              <w:t>Huatai Securities (USA), Inc.</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19A17F94"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5CB473C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F1982CF" w14:textId="77777777" w:rsidR="00F31CD2" w:rsidRPr="00FB03DC" w:rsidRDefault="00A71D56">
            <w:pPr>
              <w:rPr>
                <w:rFonts w:ascii="仿宋" w:eastAsia="仿宋" w:hAnsi="仿宋"/>
                <w:lang w:eastAsia="zh-CN"/>
              </w:rPr>
            </w:pPr>
            <w:r w:rsidRPr="00FB03DC">
              <w:rPr>
                <w:rFonts w:ascii="仿宋" w:eastAsia="仿宋" w:hAnsi="仿宋"/>
                <w:lang w:eastAsia="zh-CN"/>
              </w:rPr>
              <w:t>泰保资本管理有限公司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0BC23C1"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021013A2"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1CBBE18" w14:textId="77777777" w:rsidR="00F31CD2" w:rsidRPr="00FB03DC" w:rsidRDefault="00A71D56">
            <w:pPr>
              <w:rPr>
                <w:rFonts w:ascii="仿宋" w:eastAsia="仿宋" w:hAnsi="仿宋"/>
              </w:rPr>
            </w:pPr>
            <w:r w:rsidRPr="00FB03DC">
              <w:rPr>
                <w:rFonts w:ascii="仿宋" w:eastAsia="仿宋" w:hAnsi="仿宋"/>
              </w:rPr>
              <w:t>Huatai Securities (Singapore) Pte.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04855CA"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11DA003C"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DCDDAE2" w14:textId="77777777" w:rsidR="00F31CD2" w:rsidRPr="00FB03DC" w:rsidRDefault="00A71D56">
            <w:pPr>
              <w:rPr>
                <w:rFonts w:ascii="仿宋" w:eastAsia="仿宋" w:hAnsi="仿宋"/>
              </w:rPr>
            </w:pPr>
            <w:r w:rsidRPr="00FB03DC">
              <w:rPr>
                <w:rFonts w:ascii="仿宋" w:eastAsia="仿宋" w:hAnsi="仿宋"/>
              </w:rPr>
              <w:t>HS Carbon Neutrality &amp; Energy Transition Investment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1D52F050" w14:textId="77777777" w:rsidR="00F31CD2" w:rsidRPr="00FB03DC" w:rsidRDefault="00A71D56">
            <w:pPr>
              <w:jc w:val="center"/>
              <w:rPr>
                <w:rFonts w:ascii="仿宋" w:eastAsia="仿宋" w:hAnsi="仿宋"/>
              </w:rPr>
            </w:pPr>
            <w:r w:rsidRPr="00FB03DC">
              <w:rPr>
                <w:rFonts w:ascii="仿宋" w:eastAsia="仿宋" w:hAnsi="仿宋"/>
              </w:rPr>
              <w:t>控股股东的子公司</w:t>
            </w:r>
          </w:p>
        </w:tc>
      </w:tr>
      <w:tr w:rsidR="00F31CD2" w:rsidRPr="00FB03DC" w14:paraId="63B0F41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347C919" w14:textId="77777777" w:rsidR="00F31CD2" w:rsidRPr="00FB03DC" w:rsidRDefault="00A71D56">
            <w:pPr>
              <w:rPr>
                <w:rFonts w:ascii="仿宋" w:eastAsia="仿宋" w:hAnsi="仿宋"/>
              </w:rPr>
            </w:pPr>
            <w:r w:rsidRPr="00FB03DC">
              <w:rPr>
                <w:rFonts w:ascii="仿宋" w:eastAsia="仿宋" w:hAnsi="仿宋"/>
              </w:rPr>
              <w:t>南方基金管理股份有限公司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3FAB2FA" w14:textId="77777777" w:rsidR="00F31CD2" w:rsidRPr="00FB03DC" w:rsidRDefault="00A71D56">
            <w:pPr>
              <w:jc w:val="center"/>
              <w:rPr>
                <w:rFonts w:ascii="仿宋" w:eastAsia="仿宋" w:hAnsi="仿宋"/>
                <w:lang w:eastAsia="zh-CN"/>
              </w:rPr>
            </w:pPr>
            <w:r w:rsidRPr="00FB03DC">
              <w:rPr>
                <w:rFonts w:ascii="仿宋" w:eastAsia="仿宋" w:hAnsi="仿宋"/>
                <w:lang w:eastAsia="zh-CN"/>
              </w:rPr>
              <w:t>控股股东的重要联营企业</w:t>
            </w:r>
          </w:p>
        </w:tc>
      </w:tr>
      <w:tr w:rsidR="00F31CD2" w:rsidRPr="00FB03DC" w14:paraId="6F85970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6900273" w14:textId="77777777" w:rsidR="00F31CD2" w:rsidRPr="00FB03DC" w:rsidRDefault="00A71D56">
            <w:pPr>
              <w:rPr>
                <w:rFonts w:ascii="仿宋" w:eastAsia="仿宋" w:hAnsi="仿宋"/>
                <w:lang w:eastAsia="zh-CN"/>
              </w:rPr>
            </w:pPr>
            <w:r w:rsidRPr="00FB03DC">
              <w:rPr>
                <w:rFonts w:ascii="仿宋" w:eastAsia="仿宋" w:hAnsi="仿宋" w:hint="eastAsia"/>
                <w:lang w:eastAsia="zh-CN"/>
              </w:rPr>
              <w:t>江苏银行股份有限公司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DBABA30" w14:textId="77777777" w:rsidR="00F31CD2" w:rsidRPr="00FB03DC" w:rsidRDefault="00A71D56">
            <w:pPr>
              <w:jc w:val="center"/>
              <w:rPr>
                <w:rFonts w:ascii="仿宋" w:eastAsia="仿宋" w:hAnsi="仿宋"/>
                <w:lang w:eastAsia="zh-CN"/>
              </w:rPr>
            </w:pPr>
            <w:r w:rsidRPr="00FB03DC">
              <w:rPr>
                <w:rFonts w:ascii="仿宋" w:eastAsia="仿宋" w:hAnsi="仿宋"/>
                <w:lang w:eastAsia="zh-CN"/>
              </w:rPr>
              <w:t>控股股东的重要联营企业</w:t>
            </w:r>
          </w:p>
        </w:tc>
      </w:tr>
      <w:tr w:rsidR="00F31CD2" w:rsidRPr="00FB03DC" w14:paraId="4A72A51A"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300E932" w14:textId="77777777" w:rsidR="00F31CD2" w:rsidRPr="00FB03DC" w:rsidRDefault="00A71D56">
            <w:pPr>
              <w:rPr>
                <w:rFonts w:ascii="仿宋" w:eastAsia="仿宋" w:hAnsi="仿宋"/>
                <w:lang w:eastAsia="zh-CN"/>
              </w:rPr>
            </w:pPr>
            <w:r w:rsidRPr="00FB03DC">
              <w:rPr>
                <w:rFonts w:ascii="仿宋" w:eastAsia="仿宋" w:hAnsi="仿宋"/>
                <w:lang w:eastAsia="zh-CN"/>
              </w:rPr>
              <w:t>华泰柏瑞基金管理有限公司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4FF1FC6"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0BBEEEE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B34BCCD" w14:textId="77777777" w:rsidR="00F31CD2" w:rsidRPr="00FB03DC" w:rsidRDefault="00A71D56">
            <w:pPr>
              <w:rPr>
                <w:rFonts w:ascii="仿宋" w:eastAsia="仿宋" w:hAnsi="仿宋"/>
                <w:lang w:eastAsia="zh-CN"/>
              </w:rPr>
            </w:pPr>
            <w:r w:rsidRPr="00FB03DC">
              <w:rPr>
                <w:rFonts w:ascii="仿宋" w:eastAsia="仿宋" w:hAnsi="仿宋"/>
                <w:lang w:eastAsia="zh-CN"/>
              </w:rPr>
              <w:t>华泰紫金(江苏)股权投资基金(有限合伙)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13BBC99"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3EC69F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6E106E4" w14:textId="77777777" w:rsidR="00F31CD2" w:rsidRPr="00FB03DC" w:rsidRDefault="00A71D56">
            <w:pPr>
              <w:rPr>
                <w:rFonts w:ascii="仿宋" w:eastAsia="仿宋" w:hAnsi="仿宋"/>
                <w:lang w:eastAsia="zh-CN"/>
              </w:rPr>
            </w:pPr>
            <w:r w:rsidRPr="00FB03DC">
              <w:rPr>
                <w:rFonts w:ascii="仿宋" w:eastAsia="仿宋" w:hAnsi="仿宋"/>
                <w:lang w:eastAsia="zh-CN"/>
              </w:rPr>
              <w:t>江苏工业和信息产业投资基金(有限合伙)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1D217E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022C8C7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FA9E93E"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南京华泰瑞联并购基金一号(有限合伙)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465D86C"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5021B8A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21573FF" w14:textId="77777777" w:rsidR="00F31CD2" w:rsidRPr="00FB03DC" w:rsidRDefault="00A71D56">
            <w:pPr>
              <w:rPr>
                <w:rFonts w:ascii="仿宋" w:eastAsia="仿宋" w:hAnsi="仿宋"/>
                <w:lang w:eastAsia="zh-CN"/>
              </w:rPr>
            </w:pPr>
            <w:r w:rsidRPr="00FB03DC">
              <w:rPr>
                <w:rFonts w:ascii="仿宋" w:eastAsia="仿宋" w:hAnsi="仿宋"/>
                <w:lang w:eastAsia="zh-CN"/>
              </w:rPr>
              <w:t>南京华泰大健康一号股权投资合伙企业(有限合伙)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C0FAB0D"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DD5856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8B6CECF" w14:textId="77777777" w:rsidR="00F31CD2" w:rsidRPr="00FB03DC" w:rsidRDefault="00A71D56">
            <w:pPr>
              <w:rPr>
                <w:rFonts w:ascii="仿宋" w:eastAsia="仿宋" w:hAnsi="仿宋"/>
                <w:lang w:eastAsia="zh-CN"/>
              </w:rPr>
            </w:pPr>
            <w:r w:rsidRPr="00FB03DC">
              <w:rPr>
                <w:rFonts w:ascii="仿宋" w:eastAsia="仿宋" w:hAnsi="仿宋"/>
                <w:lang w:eastAsia="zh-CN"/>
              </w:rPr>
              <w:t>苏银金融租赁股份有限公司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828BC88"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77B42C3"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36A70CA" w14:textId="77777777" w:rsidR="00F31CD2" w:rsidRPr="00FB03DC" w:rsidRDefault="00A71D56">
            <w:pPr>
              <w:rPr>
                <w:rFonts w:ascii="仿宋" w:eastAsia="仿宋" w:hAnsi="仿宋"/>
                <w:lang w:eastAsia="zh-CN"/>
              </w:rPr>
            </w:pPr>
            <w:r w:rsidRPr="00FB03DC">
              <w:rPr>
                <w:rFonts w:ascii="仿宋" w:eastAsia="仿宋" w:hAnsi="仿宋"/>
                <w:lang w:eastAsia="zh-CN"/>
              </w:rPr>
              <w:t>苏银理财有限责任公司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575E912"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644A98A"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EBD09E8" w14:textId="77777777" w:rsidR="00F31CD2" w:rsidRPr="00FB03DC" w:rsidRDefault="00A71D56">
            <w:pPr>
              <w:rPr>
                <w:rFonts w:ascii="仿宋" w:eastAsia="仿宋" w:hAnsi="仿宋"/>
                <w:lang w:eastAsia="zh-CN"/>
              </w:rPr>
            </w:pPr>
            <w:r w:rsidRPr="00FB03DC">
              <w:rPr>
                <w:rFonts w:ascii="仿宋" w:eastAsia="仿宋" w:hAnsi="仿宋"/>
                <w:lang w:eastAsia="zh-CN"/>
              </w:rPr>
              <w:t>苏银凯基消费金融有限公司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531E5A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D2CCE8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328D37F" w14:textId="77777777" w:rsidR="00F31CD2" w:rsidRPr="00FB03DC" w:rsidRDefault="00A71D56">
            <w:pPr>
              <w:rPr>
                <w:rFonts w:ascii="仿宋" w:eastAsia="仿宋" w:hAnsi="仿宋"/>
                <w:lang w:eastAsia="zh-CN"/>
              </w:rPr>
            </w:pPr>
            <w:r w:rsidRPr="00FB03DC">
              <w:rPr>
                <w:rFonts w:ascii="仿宋" w:eastAsia="仿宋" w:hAnsi="仿宋"/>
                <w:lang w:eastAsia="zh-CN"/>
              </w:rPr>
              <w:t>江苏丹阳苏银村镇银行有限责任公司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0468A1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5AB35755"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AFCDF86" w14:textId="77777777" w:rsidR="00F31CD2" w:rsidRPr="00FB03DC" w:rsidRDefault="00A71D56">
            <w:pPr>
              <w:rPr>
                <w:rFonts w:ascii="仿宋" w:eastAsia="仿宋" w:hAnsi="仿宋"/>
                <w:lang w:eastAsia="zh-CN"/>
              </w:rPr>
            </w:pPr>
            <w:r w:rsidRPr="00FB03DC">
              <w:rPr>
                <w:rFonts w:ascii="仿宋" w:eastAsia="仿宋" w:hAnsi="仿宋"/>
                <w:lang w:eastAsia="zh-CN"/>
              </w:rPr>
              <w:t>南方资本管理有限公司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217EB87"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00E9B1C4"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D2A480C" w14:textId="77777777" w:rsidR="00F31CD2" w:rsidRPr="00FB03DC" w:rsidRDefault="00A71D56">
            <w:pPr>
              <w:rPr>
                <w:rFonts w:ascii="仿宋" w:eastAsia="仿宋" w:hAnsi="仿宋"/>
                <w:lang w:eastAsia="zh-CN"/>
              </w:rPr>
            </w:pPr>
            <w:r w:rsidRPr="00FB03DC">
              <w:rPr>
                <w:rFonts w:ascii="仿宋" w:eastAsia="仿宋" w:hAnsi="仿宋"/>
                <w:lang w:eastAsia="zh-CN"/>
              </w:rPr>
              <w:t>南方东英资产管理有限公司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A1ACAF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40909F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055509F" w14:textId="77777777" w:rsidR="00F31CD2" w:rsidRPr="00FB03DC" w:rsidRDefault="00A71D56">
            <w:pPr>
              <w:rPr>
                <w:rFonts w:ascii="仿宋" w:eastAsia="仿宋" w:hAnsi="仿宋"/>
                <w:lang w:eastAsia="zh-CN"/>
              </w:rPr>
            </w:pPr>
            <w:r w:rsidRPr="00FB03DC">
              <w:rPr>
                <w:rFonts w:ascii="仿宋" w:eastAsia="仿宋" w:hAnsi="仿宋"/>
                <w:lang w:eastAsia="zh-CN"/>
              </w:rPr>
              <w:t>深圳南方股权投资基金管理有限公司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402A1E2"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6E92FD4"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9D04D65" w14:textId="77777777" w:rsidR="00F31CD2" w:rsidRPr="00FB03DC" w:rsidRDefault="00A71D56">
            <w:pPr>
              <w:rPr>
                <w:rFonts w:ascii="仿宋" w:eastAsia="仿宋" w:hAnsi="仿宋"/>
              </w:rPr>
            </w:pPr>
            <w:r w:rsidRPr="00FB03DC">
              <w:rPr>
                <w:rFonts w:ascii="仿宋" w:eastAsia="仿宋" w:hAnsi="仿宋"/>
              </w:rPr>
              <w:t>CSOP Indices Company Limited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735D2E9"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57E6CE4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ADCA32C" w14:textId="77777777" w:rsidR="00F31CD2" w:rsidRPr="00FB03DC" w:rsidRDefault="00A71D56">
            <w:pPr>
              <w:rPr>
                <w:rFonts w:ascii="仿宋" w:eastAsia="仿宋" w:hAnsi="仿宋"/>
              </w:rPr>
            </w:pPr>
            <w:r w:rsidRPr="00FB03DC">
              <w:rPr>
                <w:rFonts w:ascii="仿宋" w:eastAsia="仿宋" w:hAnsi="仿宋"/>
              </w:rPr>
              <w:t>CSOP Asset Management Pte. Ltd.</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D6C8994"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0DD8371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C836523" w14:textId="77777777" w:rsidR="00F31CD2" w:rsidRPr="00FB03DC" w:rsidRDefault="00A71D56">
            <w:pPr>
              <w:rPr>
                <w:rFonts w:ascii="仿宋" w:eastAsia="仿宋" w:hAnsi="仿宋"/>
                <w:lang w:eastAsia="zh-CN"/>
              </w:rPr>
            </w:pPr>
            <w:r w:rsidRPr="00FB03DC">
              <w:rPr>
                <w:rFonts w:ascii="仿宋" w:eastAsia="仿宋" w:hAnsi="仿宋"/>
                <w:lang w:eastAsia="zh-CN"/>
              </w:rPr>
              <w:t>南京创熠南方风正软件谷创业投资合伙企业（有限合伙）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7CBBB2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BEA76C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AC6385C" w14:textId="77777777" w:rsidR="00F31CD2" w:rsidRPr="00FB03DC" w:rsidRDefault="00A71D56">
            <w:pPr>
              <w:rPr>
                <w:rFonts w:ascii="仿宋" w:eastAsia="仿宋" w:hAnsi="仿宋"/>
                <w:lang w:eastAsia="zh-CN"/>
              </w:rPr>
            </w:pPr>
            <w:r w:rsidRPr="00FB03DC">
              <w:rPr>
                <w:rFonts w:ascii="仿宋" w:eastAsia="仿宋" w:hAnsi="仿宋"/>
                <w:lang w:eastAsia="zh-CN"/>
              </w:rPr>
              <w:t>江苏小微企业融资产品交易中心有限责任公司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16CF471"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A18D6D1"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CDBA76D" w14:textId="77777777" w:rsidR="00F31CD2" w:rsidRPr="00FB03DC" w:rsidRDefault="00A71D56">
            <w:pPr>
              <w:rPr>
                <w:rFonts w:ascii="仿宋" w:eastAsia="仿宋" w:hAnsi="仿宋"/>
                <w:lang w:eastAsia="zh-CN"/>
              </w:rPr>
            </w:pPr>
            <w:r w:rsidRPr="00FB03DC">
              <w:rPr>
                <w:rFonts w:ascii="仿宋" w:eastAsia="仿宋" w:hAnsi="仿宋"/>
                <w:lang w:eastAsia="zh-CN"/>
              </w:rPr>
              <w:t>江苏金联金融资产交易中心有限公司</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1B2F974"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75ADEC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5F5FD8C" w14:textId="77777777" w:rsidR="00F31CD2" w:rsidRPr="00FB03DC" w:rsidRDefault="00A71D56">
            <w:pPr>
              <w:rPr>
                <w:rFonts w:ascii="仿宋" w:eastAsia="仿宋" w:hAnsi="仿宋"/>
                <w:lang w:eastAsia="zh-CN"/>
              </w:rPr>
            </w:pPr>
            <w:r w:rsidRPr="00FB03DC">
              <w:rPr>
                <w:rFonts w:ascii="仿宋" w:eastAsia="仿宋" w:hAnsi="仿宋"/>
                <w:lang w:eastAsia="zh-CN"/>
              </w:rPr>
              <w:t>嘉兴锐联三号股权投资合伙企业(有限合伙)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90CB3CE"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0FF2620"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4210BD9" w14:textId="77777777" w:rsidR="00F31CD2" w:rsidRPr="00FB03DC" w:rsidRDefault="00A71D56">
            <w:pPr>
              <w:rPr>
                <w:rFonts w:ascii="仿宋" w:eastAsia="仿宋" w:hAnsi="仿宋"/>
                <w:lang w:eastAsia="zh-CN"/>
              </w:rPr>
            </w:pPr>
            <w:r w:rsidRPr="00FB03DC">
              <w:rPr>
                <w:rFonts w:ascii="仿宋" w:eastAsia="仿宋" w:hAnsi="仿宋"/>
                <w:lang w:eastAsia="zh-CN"/>
              </w:rPr>
              <w:t>南京瑞联一号投资中心（有限合伙）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2D06D54"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36F68FFB"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7668813" w14:textId="77777777" w:rsidR="00F31CD2" w:rsidRPr="00FB03DC" w:rsidRDefault="00A71D56">
            <w:pPr>
              <w:rPr>
                <w:rFonts w:ascii="仿宋" w:eastAsia="仿宋" w:hAnsi="仿宋"/>
                <w:lang w:eastAsia="zh-CN"/>
              </w:rPr>
            </w:pPr>
            <w:r w:rsidRPr="00FB03DC">
              <w:rPr>
                <w:rFonts w:ascii="仿宋" w:eastAsia="仿宋" w:hAnsi="仿宋"/>
                <w:lang w:eastAsia="zh-CN"/>
              </w:rPr>
              <w:t>江苏华泰瑞联并购基金(有限合伙)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37EEA7E"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8FDCC2E"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BFE7078"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南京华泰瑞联并购基金四号（有限合伙）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B2D6EB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5634BE41"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B8EEF28" w14:textId="77777777" w:rsidR="00F31CD2" w:rsidRPr="00FB03DC" w:rsidRDefault="00A71D56">
            <w:pPr>
              <w:rPr>
                <w:rFonts w:ascii="仿宋" w:eastAsia="仿宋" w:hAnsi="仿宋"/>
                <w:lang w:eastAsia="zh-CN"/>
              </w:rPr>
            </w:pPr>
            <w:r w:rsidRPr="00FB03DC">
              <w:rPr>
                <w:rFonts w:ascii="仿宋" w:eastAsia="仿宋" w:hAnsi="仿宋"/>
                <w:lang w:eastAsia="zh-CN"/>
              </w:rPr>
              <w:t>江苏华泰互联网产业投资基金(有限合伙)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7579A17A"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19A3754"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073A40C" w14:textId="77777777" w:rsidR="00F31CD2" w:rsidRPr="00FB03DC" w:rsidRDefault="00A71D56">
            <w:pPr>
              <w:rPr>
                <w:rFonts w:ascii="仿宋" w:eastAsia="仿宋" w:hAnsi="仿宋"/>
                <w:lang w:eastAsia="zh-CN"/>
              </w:rPr>
            </w:pPr>
            <w:r w:rsidRPr="00FB03DC">
              <w:rPr>
                <w:rFonts w:ascii="仿宋" w:eastAsia="仿宋" w:hAnsi="仿宋"/>
                <w:lang w:eastAsia="zh-CN"/>
              </w:rPr>
              <w:t>南京华泰紫金新兴产业基金合伙企业（有限合伙）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F69316F"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4C04E92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44980B6" w14:textId="77777777" w:rsidR="00F31CD2" w:rsidRPr="00FB03DC" w:rsidRDefault="00A71D56">
            <w:pPr>
              <w:rPr>
                <w:rFonts w:ascii="仿宋" w:eastAsia="仿宋" w:hAnsi="仿宋"/>
                <w:lang w:eastAsia="zh-CN"/>
              </w:rPr>
            </w:pPr>
            <w:r w:rsidRPr="00FB03DC">
              <w:rPr>
                <w:rFonts w:ascii="仿宋" w:eastAsia="仿宋" w:hAnsi="仿宋"/>
                <w:lang w:eastAsia="zh-CN"/>
              </w:rPr>
              <w:t>淮安华泰远宏科技创业投资合伙企业(有限合伙)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2DB8EDF"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CDDA89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371B62A" w14:textId="77777777" w:rsidR="00F31CD2" w:rsidRPr="00FB03DC" w:rsidRDefault="00A71D56">
            <w:pPr>
              <w:rPr>
                <w:rFonts w:ascii="仿宋" w:eastAsia="仿宋" w:hAnsi="仿宋"/>
                <w:lang w:eastAsia="zh-CN"/>
              </w:rPr>
            </w:pPr>
            <w:r w:rsidRPr="00FB03DC">
              <w:rPr>
                <w:rFonts w:ascii="仿宋" w:eastAsia="仿宋" w:hAnsi="仿宋"/>
                <w:lang w:eastAsia="zh-CN"/>
              </w:rPr>
              <w:t>深圳前海瑞联七号投资中心（有限合伙）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C665527"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38214EED"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E99603A" w14:textId="77777777" w:rsidR="00F31CD2" w:rsidRPr="00FB03DC" w:rsidRDefault="00A71D56">
            <w:pPr>
              <w:rPr>
                <w:rFonts w:ascii="仿宋" w:eastAsia="仿宋" w:hAnsi="仿宋"/>
                <w:lang w:eastAsia="zh-CN"/>
              </w:rPr>
            </w:pPr>
            <w:r w:rsidRPr="00FB03DC">
              <w:rPr>
                <w:rFonts w:ascii="仿宋" w:eastAsia="仿宋" w:hAnsi="仿宋"/>
                <w:lang w:eastAsia="zh-CN"/>
              </w:rPr>
              <w:t>南京华泰大健康二号股权投资合伙企业(有限合伙)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D0D73D3"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3AF6DCB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0DDBBE0" w14:textId="77777777" w:rsidR="00F31CD2" w:rsidRPr="00FB03DC" w:rsidRDefault="00A71D56">
            <w:pPr>
              <w:rPr>
                <w:rFonts w:ascii="仿宋" w:eastAsia="仿宋" w:hAnsi="仿宋"/>
                <w:lang w:eastAsia="zh-CN"/>
              </w:rPr>
            </w:pPr>
            <w:r w:rsidRPr="00FB03DC">
              <w:rPr>
                <w:rFonts w:ascii="仿宋" w:eastAsia="仿宋" w:hAnsi="仿宋"/>
                <w:lang w:eastAsia="zh-CN"/>
              </w:rPr>
              <w:t>南京华泰国信医疗投资合伙企业（有限合伙）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57D8228"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62377E46"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B7E74C8" w14:textId="77777777" w:rsidR="00F31CD2" w:rsidRPr="00FB03DC" w:rsidRDefault="00A71D56">
            <w:pPr>
              <w:rPr>
                <w:rFonts w:ascii="仿宋" w:eastAsia="仿宋" w:hAnsi="仿宋"/>
                <w:lang w:eastAsia="zh-CN"/>
              </w:rPr>
            </w:pPr>
            <w:r w:rsidRPr="00FB03DC">
              <w:rPr>
                <w:rFonts w:ascii="仿宋" w:eastAsia="仿宋" w:hAnsi="仿宋"/>
                <w:lang w:eastAsia="zh-CN"/>
              </w:rPr>
              <w:t>江苏紫金弘云健康产业投资合伙企业（有限合伙）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2D52F2C0"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E3294EF"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05F42B0F" w14:textId="77777777" w:rsidR="00F31CD2" w:rsidRPr="00FB03DC" w:rsidRDefault="00A71D56">
            <w:pPr>
              <w:rPr>
                <w:rFonts w:ascii="仿宋" w:eastAsia="仿宋" w:hAnsi="仿宋"/>
                <w:lang w:eastAsia="zh-CN"/>
              </w:rPr>
            </w:pPr>
            <w:r w:rsidRPr="00FB03DC">
              <w:rPr>
                <w:rFonts w:ascii="仿宋" w:eastAsia="仿宋" w:hAnsi="仿宋"/>
                <w:lang w:eastAsia="zh-CN"/>
              </w:rPr>
              <w:t>南京华泰瑞联并购基金二号（有限合伙）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32499F2"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CB248F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5885B42" w14:textId="77777777" w:rsidR="00F31CD2" w:rsidRPr="00FB03DC" w:rsidRDefault="00A71D56">
            <w:pPr>
              <w:rPr>
                <w:rFonts w:ascii="仿宋" w:eastAsia="仿宋" w:hAnsi="仿宋"/>
                <w:lang w:eastAsia="zh-CN"/>
              </w:rPr>
            </w:pPr>
            <w:r w:rsidRPr="00FB03DC">
              <w:rPr>
                <w:rFonts w:ascii="仿宋" w:eastAsia="仿宋" w:hAnsi="仿宋"/>
                <w:lang w:eastAsia="zh-CN"/>
              </w:rPr>
              <w:t>江苏华泰战略新兴产业投资基金(有限合伙)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B21D9EE"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22E7D5FA"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7EA60CD6" w14:textId="77777777" w:rsidR="00F31CD2" w:rsidRPr="00FB03DC" w:rsidRDefault="00A71D56">
            <w:pPr>
              <w:rPr>
                <w:rFonts w:ascii="仿宋" w:eastAsia="仿宋" w:hAnsi="仿宋"/>
                <w:lang w:eastAsia="zh-CN"/>
              </w:rPr>
            </w:pPr>
            <w:r w:rsidRPr="00FB03DC">
              <w:rPr>
                <w:rFonts w:ascii="仿宋" w:eastAsia="仿宋" w:hAnsi="仿宋"/>
                <w:lang w:eastAsia="zh-CN"/>
              </w:rPr>
              <w:t>华泰巨化产业投资基金（衢州）合伙企业（有限合伙）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347572B"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566DFF4C"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308AAFE" w14:textId="77777777" w:rsidR="00F31CD2" w:rsidRPr="00FB03DC" w:rsidRDefault="00A71D56">
            <w:pPr>
              <w:rPr>
                <w:rFonts w:ascii="仿宋" w:eastAsia="仿宋" w:hAnsi="仿宋"/>
                <w:lang w:eastAsia="zh-CN"/>
              </w:rPr>
            </w:pPr>
            <w:r w:rsidRPr="00FB03DC">
              <w:rPr>
                <w:rFonts w:ascii="仿宋" w:eastAsia="仿宋" w:hAnsi="仿宋"/>
                <w:lang w:eastAsia="zh-CN"/>
              </w:rPr>
              <w:t>南京华泰凤凰股权投资母基金（有限合伙）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E949D93"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D3147C9"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54E7D9DB" w14:textId="77777777" w:rsidR="00F31CD2" w:rsidRPr="00FB03DC" w:rsidRDefault="00A71D56">
            <w:pPr>
              <w:rPr>
                <w:rFonts w:ascii="仿宋" w:eastAsia="仿宋" w:hAnsi="仿宋"/>
                <w:lang w:eastAsia="zh-CN"/>
              </w:rPr>
            </w:pPr>
            <w:r w:rsidRPr="00FB03DC">
              <w:rPr>
                <w:rFonts w:ascii="仿宋" w:eastAsia="仿宋" w:hAnsi="仿宋"/>
                <w:lang w:eastAsia="zh-CN"/>
              </w:rPr>
              <w:lastRenderedPageBreak/>
              <w:t>南京华泰金斯瑞生物医药创业投资合伙企业（有限合伙）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5D9D78D4"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EDE33B4"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69BE400" w14:textId="77777777" w:rsidR="00F31CD2" w:rsidRPr="00FB03DC" w:rsidRDefault="00A71D56">
            <w:pPr>
              <w:rPr>
                <w:rFonts w:ascii="仿宋" w:eastAsia="仿宋" w:hAnsi="仿宋"/>
                <w:lang w:eastAsia="zh-CN"/>
              </w:rPr>
            </w:pPr>
            <w:r w:rsidRPr="00FB03DC">
              <w:rPr>
                <w:rFonts w:ascii="仿宋" w:eastAsia="仿宋" w:hAnsi="仿宋"/>
                <w:lang w:eastAsia="zh-CN"/>
              </w:rPr>
              <w:t>南京华泰洋河股权投资母基金（有限合伙）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586C91E"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0E4BF68B"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D7255E2" w14:textId="77777777" w:rsidR="00F31CD2" w:rsidRPr="00FB03DC" w:rsidRDefault="00A71D56">
            <w:pPr>
              <w:rPr>
                <w:rFonts w:ascii="仿宋" w:eastAsia="仿宋" w:hAnsi="仿宋"/>
                <w:lang w:eastAsia="zh-CN"/>
              </w:rPr>
            </w:pPr>
            <w:r w:rsidRPr="00FB03DC">
              <w:rPr>
                <w:rFonts w:ascii="仿宋" w:eastAsia="仿宋" w:hAnsi="仿宋"/>
                <w:lang w:eastAsia="zh-CN"/>
              </w:rPr>
              <w:t>重庆华泰渝富并购私募股权投资基金合伙企业（有限合伙）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3655A29B"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726BA90D"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133DEAFF" w14:textId="77777777" w:rsidR="00F31CD2" w:rsidRPr="00FB03DC" w:rsidRDefault="00A71D56">
            <w:pPr>
              <w:rPr>
                <w:rFonts w:ascii="仿宋" w:eastAsia="仿宋" w:hAnsi="仿宋"/>
                <w:lang w:eastAsia="zh-CN"/>
              </w:rPr>
            </w:pPr>
            <w:r w:rsidRPr="00FB03DC">
              <w:rPr>
                <w:rFonts w:ascii="仿宋" w:eastAsia="仿宋" w:hAnsi="仿宋"/>
                <w:lang w:eastAsia="zh-CN"/>
              </w:rPr>
              <w:t>宿迁华泰产发科技股权投资基金(有限合伙)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96CEA77"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1D911B21"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27413F0D" w14:textId="77777777" w:rsidR="00F31CD2" w:rsidRPr="00FB03DC" w:rsidRDefault="00A71D56">
            <w:pPr>
              <w:rPr>
                <w:rFonts w:ascii="仿宋" w:eastAsia="仿宋" w:hAnsi="仿宋"/>
                <w:lang w:eastAsia="zh-CN"/>
              </w:rPr>
            </w:pPr>
            <w:r w:rsidRPr="00FB03DC">
              <w:rPr>
                <w:rFonts w:ascii="仿宋" w:eastAsia="仿宋" w:hAnsi="仿宋"/>
                <w:lang w:eastAsia="zh-CN"/>
              </w:rPr>
              <w:t>南京华泰新工产业投资基金（有限合伙）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D1C9BC9" w14:textId="77777777" w:rsidR="00F31CD2" w:rsidRPr="00FB03DC" w:rsidRDefault="00A71D56">
            <w:pPr>
              <w:jc w:val="center"/>
              <w:rPr>
                <w:rFonts w:ascii="仿宋" w:eastAsia="仿宋" w:hAnsi="仿宋"/>
              </w:rPr>
            </w:pPr>
            <w:r w:rsidRPr="00FB03DC">
              <w:rPr>
                <w:rFonts w:ascii="仿宋" w:eastAsia="仿宋" w:hAnsi="仿宋"/>
              </w:rPr>
              <w:t>控股股东的联营企业</w:t>
            </w:r>
          </w:p>
        </w:tc>
      </w:tr>
      <w:tr w:rsidR="00F31CD2" w:rsidRPr="00FB03DC" w14:paraId="438479D8"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2CA81CD" w14:textId="77777777" w:rsidR="00F31CD2" w:rsidRPr="00FB03DC" w:rsidRDefault="00A71D56">
            <w:pPr>
              <w:rPr>
                <w:rFonts w:ascii="仿宋" w:eastAsia="仿宋" w:hAnsi="仿宋"/>
                <w:lang w:eastAsia="zh-CN"/>
              </w:rPr>
            </w:pPr>
            <w:r w:rsidRPr="00FB03DC">
              <w:rPr>
                <w:rFonts w:ascii="仿宋" w:eastAsia="仿宋" w:hAnsi="仿宋"/>
                <w:lang w:eastAsia="zh-CN"/>
              </w:rPr>
              <w:t>华泰招商（江苏）资本市场投资母基金（有限合伙）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DE273E3" w14:textId="77777777" w:rsidR="00F31CD2" w:rsidRPr="00FB03DC" w:rsidRDefault="00A71D56">
            <w:pPr>
              <w:jc w:val="center"/>
              <w:rPr>
                <w:rFonts w:ascii="仿宋" w:eastAsia="仿宋" w:hAnsi="仿宋"/>
              </w:rPr>
            </w:pPr>
            <w:r w:rsidRPr="00FB03DC">
              <w:rPr>
                <w:rFonts w:ascii="仿宋" w:eastAsia="仿宋" w:hAnsi="仿宋"/>
              </w:rPr>
              <w:t>控股股东的合营企业</w:t>
            </w:r>
          </w:p>
        </w:tc>
      </w:tr>
      <w:tr w:rsidR="00F31CD2" w:rsidRPr="00FB03DC" w14:paraId="374DB085"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4C433E04" w14:textId="77777777" w:rsidR="00F31CD2" w:rsidRPr="00FB03DC" w:rsidRDefault="00A71D56">
            <w:pPr>
              <w:rPr>
                <w:rFonts w:ascii="仿宋" w:eastAsia="仿宋" w:hAnsi="仿宋"/>
                <w:lang w:eastAsia="zh-CN"/>
              </w:rPr>
            </w:pPr>
            <w:r w:rsidRPr="00FB03DC">
              <w:rPr>
                <w:rFonts w:ascii="仿宋" w:eastAsia="仿宋" w:hAnsi="仿宋"/>
                <w:lang w:eastAsia="zh-CN"/>
              </w:rPr>
              <w:t>苏州华泰华芯太湖光子产业投资基金合伙企业(有限合伙)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4AAF0488" w14:textId="77777777" w:rsidR="00F31CD2" w:rsidRPr="00FB03DC" w:rsidRDefault="00A71D56">
            <w:pPr>
              <w:jc w:val="center"/>
              <w:rPr>
                <w:rFonts w:ascii="仿宋" w:eastAsia="仿宋" w:hAnsi="仿宋"/>
              </w:rPr>
            </w:pPr>
            <w:r w:rsidRPr="00FB03DC">
              <w:rPr>
                <w:rFonts w:ascii="仿宋" w:eastAsia="仿宋" w:hAnsi="仿宋"/>
              </w:rPr>
              <w:t>控股股东的合营企业</w:t>
            </w:r>
          </w:p>
        </w:tc>
      </w:tr>
      <w:tr w:rsidR="00F31CD2" w:rsidRPr="00FB03DC" w14:paraId="3899334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3A79B35C" w14:textId="77777777" w:rsidR="00F31CD2" w:rsidRPr="00FB03DC" w:rsidRDefault="00A71D56">
            <w:pPr>
              <w:rPr>
                <w:rFonts w:ascii="仿宋" w:eastAsia="仿宋" w:hAnsi="仿宋"/>
                <w:lang w:eastAsia="zh-CN"/>
              </w:rPr>
            </w:pPr>
            <w:r w:rsidRPr="00FB03DC">
              <w:rPr>
                <w:rFonts w:ascii="仿宋" w:eastAsia="仿宋" w:hAnsi="仿宋"/>
                <w:lang w:eastAsia="zh-CN"/>
              </w:rPr>
              <w:t>南通华泰智造科技产业投资合伙企业(有限合伙)</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69E2B07A" w14:textId="77777777" w:rsidR="00F31CD2" w:rsidRPr="00FB03DC" w:rsidRDefault="00A71D56">
            <w:pPr>
              <w:jc w:val="center"/>
              <w:rPr>
                <w:rFonts w:ascii="仿宋" w:eastAsia="仿宋" w:hAnsi="仿宋"/>
              </w:rPr>
            </w:pPr>
            <w:r w:rsidRPr="00FB03DC">
              <w:rPr>
                <w:rFonts w:ascii="仿宋" w:eastAsia="仿宋" w:hAnsi="仿宋"/>
              </w:rPr>
              <w:t>控股股东的合营企业</w:t>
            </w:r>
          </w:p>
        </w:tc>
      </w:tr>
      <w:tr w:rsidR="00F31CD2" w:rsidRPr="00FB03DC" w14:paraId="1CE81807" w14:textId="77777777">
        <w:trPr>
          <w:trHeight w:val="270"/>
          <w:jc w:val="center"/>
        </w:trPr>
        <w:tc>
          <w:tcPr>
            <w:tcW w:w="6680" w:type="dxa"/>
            <w:tcBorders>
              <w:top w:val="none" w:sz="4" w:space="0" w:color="000000"/>
              <w:left w:val="single" w:sz="4" w:space="0" w:color="000000"/>
              <w:bottom w:val="single" w:sz="4" w:space="0" w:color="000000"/>
              <w:right w:val="single" w:sz="4" w:space="0" w:color="000000"/>
            </w:tcBorders>
            <w:noWrap/>
            <w:vAlign w:val="center"/>
          </w:tcPr>
          <w:p w14:paraId="68510767" w14:textId="77777777" w:rsidR="00F31CD2" w:rsidRPr="00FB03DC" w:rsidRDefault="00A71D56">
            <w:pPr>
              <w:rPr>
                <w:rFonts w:ascii="仿宋" w:eastAsia="仿宋" w:hAnsi="仿宋"/>
              </w:rPr>
            </w:pPr>
            <w:r w:rsidRPr="00FB03DC">
              <w:rPr>
                <w:rFonts w:ascii="仿宋" w:eastAsia="仿宋" w:hAnsi="仿宋"/>
              </w:rPr>
              <w:t>HTCP CAPITAL LPF</w:t>
            </w:r>
          </w:p>
        </w:tc>
        <w:tc>
          <w:tcPr>
            <w:tcW w:w="2980" w:type="dxa"/>
            <w:tcBorders>
              <w:top w:val="none" w:sz="4" w:space="0" w:color="000000"/>
              <w:left w:val="none" w:sz="4" w:space="0" w:color="000000"/>
              <w:bottom w:val="single" w:sz="4" w:space="0" w:color="000000"/>
              <w:right w:val="single" w:sz="4" w:space="0" w:color="000000"/>
            </w:tcBorders>
            <w:noWrap/>
            <w:vAlign w:val="center"/>
          </w:tcPr>
          <w:p w14:paraId="0795E7BE" w14:textId="77777777" w:rsidR="00F31CD2" w:rsidRPr="00FB03DC" w:rsidRDefault="00A71D56">
            <w:pPr>
              <w:jc w:val="center"/>
              <w:rPr>
                <w:rFonts w:ascii="仿宋" w:eastAsia="仿宋" w:hAnsi="仿宋"/>
              </w:rPr>
            </w:pPr>
            <w:r w:rsidRPr="00FB03DC">
              <w:rPr>
                <w:rFonts w:ascii="仿宋" w:eastAsia="仿宋" w:hAnsi="仿宋"/>
              </w:rPr>
              <w:t>控股股东的合营企业</w:t>
            </w:r>
          </w:p>
        </w:tc>
      </w:tr>
    </w:tbl>
    <w:p w14:paraId="0EEE7A45" w14:textId="77777777" w:rsidR="00F31CD2" w:rsidRPr="00FB03DC" w:rsidRDefault="00A71D56">
      <w:pPr>
        <w:spacing w:line="360" w:lineRule="auto"/>
        <w:ind w:firstLine="422"/>
        <w:rPr>
          <w:rFonts w:ascii="仿宋" w:eastAsia="仿宋" w:hAnsi="仿宋"/>
          <w:sz w:val="24"/>
          <w:szCs w:val="24"/>
          <w:lang w:eastAsia="zh-CN"/>
        </w:rPr>
      </w:pPr>
      <w:r w:rsidRPr="00FB03DC">
        <w:rPr>
          <w:rFonts w:ascii="仿宋" w:eastAsia="仿宋" w:hAnsi="仿宋"/>
          <w:b/>
          <w:bCs/>
          <w:szCs w:val="21"/>
          <w:lang w:eastAsia="zh-CN"/>
        </w:rPr>
        <w:t>如有上述名单变更，管理人将按照最新关联方口径控制。</w:t>
      </w:r>
    </w:p>
    <w:p w14:paraId="6DD5659B" w14:textId="77777777" w:rsidR="00F31CD2" w:rsidRPr="00FB03DC" w:rsidRDefault="00F31CD2">
      <w:pPr>
        <w:rPr>
          <w:rFonts w:ascii="仿宋" w:eastAsia="仿宋" w:hAnsi="仿宋"/>
          <w:lang w:eastAsia="zh-CN"/>
        </w:rPr>
      </w:pPr>
    </w:p>
    <w:p w14:paraId="2EA7E285" w14:textId="77777777" w:rsidR="00F31CD2" w:rsidRPr="00FB03DC" w:rsidRDefault="00F31CD2">
      <w:pPr>
        <w:rPr>
          <w:rFonts w:ascii="仿宋" w:eastAsia="仿宋" w:hAnsi="仿宋"/>
          <w:lang w:eastAsia="zh-CN"/>
        </w:rPr>
      </w:pPr>
    </w:p>
    <w:p w14:paraId="79A9E1DA" w14:textId="77777777" w:rsidR="00F31CD2" w:rsidRPr="00FB03DC" w:rsidRDefault="00A71D56">
      <w:pPr>
        <w:pStyle w:val="2"/>
        <w:spacing w:line="360" w:lineRule="auto"/>
        <w:rPr>
          <w:rFonts w:ascii="仿宋" w:eastAsia="仿宋" w:hAnsi="仿宋"/>
          <w:lang w:eastAsia="zh-CN"/>
        </w:rPr>
      </w:pPr>
      <w:bookmarkStart w:id="560" w:name="_Toc23429"/>
      <w:bookmarkStart w:id="561" w:name="_Toc17436"/>
      <w:bookmarkStart w:id="562" w:name="_Toc11456"/>
      <w:r w:rsidRPr="00FB03DC">
        <w:rPr>
          <w:rFonts w:ascii="仿宋" w:eastAsia="仿宋" w:hAnsi="仿宋"/>
          <w:sz w:val="24"/>
          <w:szCs w:val="24"/>
          <w:lang w:eastAsia="zh-CN"/>
        </w:rPr>
        <w:br w:type="page"/>
      </w:r>
      <w:bookmarkStart w:id="563" w:name="_Toc159405391"/>
      <w:bookmarkStart w:id="564" w:name="_Toc160523223"/>
      <w:bookmarkStart w:id="565" w:name="_Toc190869469"/>
      <w:bookmarkStart w:id="566" w:name="_Toc166058126"/>
      <w:bookmarkStart w:id="567" w:name="_Toc241828969"/>
      <w:bookmarkStart w:id="568" w:name="_Toc317837032"/>
      <w:bookmarkStart w:id="569" w:name="_Toc217186375"/>
      <w:bookmarkStart w:id="570" w:name="_Toc217126025"/>
      <w:bookmarkStart w:id="571" w:name="_Toc296615142"/>
      <w:bookmarkEnd w:id="560"/>
      <w:bookmarkEnd w:id="561"/>
      <w:bookmarkEnd w:id="562"/>
    </w:p>
    <w:p w14:paraId="054A6AB9" w14:textId="192B21FA" w:rsidR="00F31CD2" w:rsidRPr="00FB03DC" w:rsidRDefault="00A71D56">
      <w:pPr>
        <w:pStyle w:val="aff0"/>
        <w:spacing w:before="78"/>
        <w:rPr>
          <w:rFonts w:ascii="仿宋" w:eastAsia="仿宋" w:hAnsi="仿宋"/>
          <w:lang w:eastAsia="zh-CN"/>
        </w:rPr>
      </w:pPr>
      <w:bookmarkStart w:id="572" w:name="_Toc198732028"/>
      <w:r w:rsidRPr="00FB03DC">
        <w:rPr>
          <w:rFonts w:ascii="仿宋" w:eastAsia="仿宋" w:hAnsi="仿宋"/>
          <w:lang w:eastAsia="zh-CN"/>
        </w:rPr>
        <w:lastRenderedPageBreak/>
        <w:t>附件</w:t>
      </w:r>
      <w:r w:rsidRPr="00FB03DC">
        <w:rPr>
          <w:rFonts w:ascii="仿宋" w:eastAsia="仿宋" w:hAnsi="仿宋" w:hint="eastAsia"/>
          <w:lang w:eastAsia="zh-CN"/>
        </w:rPr>
        <w:t>二</w:t>
      </w:r>
      <w:r w:rsidRPr="00FB03DC">
        <w:rPr>
          <w:rFonts w:ascii="仿宋" w:eastAsia="仿宋" w:hAnsi="仿宋"/>
          <w:lang w:eastAsia="zh-CN"/>
        </w:rPr>
        <w:t>：华泰</w:t>
      </w:r>
      <w:r w:rsidR="00FB03DC" w:rsidRPr="00FB03DC">
        <w:rPr>
          <w:rFonts w:ascii="仿宋" w:eastAsia="仿宋" w:hAnsi="仿宋"/>
          <w:lang w:eastAsia="zh-CN"/>
        </w:rPr>
        <w:t>银泰</w:t>
      </w:r>
      <w:r w:rsidR="00443F9C">
        <w:rPr>
          <w:rFonts w:ascii="仿宋" w:eastAsia="仿宋" w:hAnsi="仿宋"/>
          <w:lang w:eastAsia="zh-CN"/>
        </w:rPr>
        <w:t>精选广元6号</w:t>
      </w:r>
      <w:r w:rsidRPr="00FB03DC">
        <w:rPr>
          <w:rFonts w:ascii="仿宋" w:eastAsia="仿宋" w:hAnsi="仿宋"/>
          <w:lang w:eastAsia="zh-CN"/>
        </w:rPr>
        <w:t>集合资产管理计划风险揭示书</w:t>
      </w:r>
      <w:bookmarkEnd w:id="563"/>
      <w:bookmarkEnd w:id="564"/>
      <w:bookmarkEnd w:id="565"/>
      <w:bookmarkEnd w:id="566"/>
      <w:bookmarkEnd w:id="572"/>
    </w:p>
    <w:p w14:paraId="12ECFEDF" w14:textId="2A84C0BA" w:rsidR="00F31CD2" w:rsidRPr="00FB03DC" w:rsidRDefault="00A71D56">
      <w:pPr>
        <w:spacing w:line="360" w:lineRule="auto"/>
        <w:jc w:val="center"/>
        <w:rPr>
          <w:rFonts w:ascii="仿宋" w:eastAsia="仿宋" w:hAnsi="仿宋"/>
          <w:b/>
          <w:sz w:val="24"/>
          <w:szCs w:val="24"/>
          <w:lang w:eastAsia="zh-CN"/>
        </w:rPr>
      </w:pPr>
      <w:r w:rsidRPr="00FB03DC">
        <w:rPr>
          <w:rFonts w:ascii="仿宋" w:eastAsia="仿宋" w:hAnsi="仿宋"/>
          <w:b/>
          <w:sz w:val="24"/>
          <w:szCs w:val="24"/>
          <w:lang w:eastAsia="zh-CN"/>
        </w:rPr>
        <w:t>华泰</w:t>
      </w:r>
      <w:r w:rsidR="00FB03DC" w:rsidRPr="00FB03DC">
        <w:rPr>
          <w:rFonts w:ascii="仿宋" w:eastAsia="仿宋" w:hAnsi="仿宋"/>
          <w:b/>
          <w:sz w:val="24"/>
          <w:szCs w:val="24"/>
          <w:lang w:eastAsia="zh-CN"/>
        </w:rPr>
        <w:t>银泰</w:t>
      </w:r>
      <w:r w:rsidR="00443F9C">
        <w:rPr>
          <w:rFonts w:ascii="仿宋" w:eastAsia="仿宋" w:hAnsi="仿宋"/>
          <w:b/>
          <w:sz w:val="24"/>
          <w:szCs w:val="24"/>
          <w:lang w:eastAsia="zh-CN"/>
        </w:rPr>
        <w:t>精选广元6号</w:t>
      </w:r>
      <w:r w:rsidRPr="00FB03DC">
        <w:rPr>
          <w:rFonts w:ascii="仿宋" w:eastAsia="仿宋" w:hAnsi="仿宋"/>
          <w:b/>
          <w:sz w:val="24"/>
          <w:szCs w:val="24"/>
          <w:lang w:eastAsia="zh-CN"/>
        </w:rPr>
        <w:t>集合资产管理计划风险揭示书</w:t>
      </w:r>
      <w:bookmarkEnd w:id="567"/>
      <w:bookmarkEnd w:id="568"/>
      <w:bookmarkEnd w:id="569"/>
      <w:bookmarkEnd w:id="570"/>
      <w:bookmarkEnd w:id="571"/>
    </w:p>
    <w:p w14:paraId="28FA6550" w14:textId="77777777" w:rsidR="00F31CD2" w:rsidRPr="00FB03DC" w:rsidRDefault="00F31CD2">
      <w:pPr>
        <w:spacing w:line="360" w:lineRule="auto"/>
        <w:ind w:firstLine="402"/>
        <w:rPr>
          <w:rFonts w:ascii="仿宋" w:eastAsia="仿宋" w:hAnsi="仿宋"/>
          <w:b/>
          <w:sz w:val="20"/>
          <w:szCs w:val="21"/>
          <w:lang w:eastAsia="zh-CN"/>
        </w:rPr>
      </w:pPr>
    </w:p>
    <w:p w14:paraId="290D7FA9"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尊敬的投资者：</w:t>
      </w:r>
    </w:p>
    <w:p w14:paraId="05E748D2" w14:textId="1E03ABE1" w:rsidR="00F31CD2" w:rsidRPr="00FB03DC" w:rsidRDefault="00A71D56">
      <w:pPr>
        <w:tabs>
          <w:tab w:val="left" w:pos="3119"/>
        </w:tabs>
        <w:ind w:firstLine="400"/>
        <w:rPr>
          <w:rFonts w:ascii="仿宋" w:eastAsia="仿宋" w:hAnsi="仿宋"/>
          <w:sz w:val="20"/>
          <w:szCs w:val="24"/>
          <w:lang w:eastAsia="zh-CN"/>
        </w:rPr>
      </w:pPr>
      <w:r w:rsidRPr="00FB03DC">
        <w:rPr>
          <w:rFonts w:ascii="仿宋" w:eastAsia="仿宋" w:hAnsi="仿宋"/>
          <w:sz w:val="20"/>
          <w:szCs w:val="24"/>
          <w:lang w:eastAsia="zh-CN"/>
        </w:rPr>
        <w:t>感谢您/贵机构认购“华泰</w:t>
      </w:r>
      <w:r w:rsidR="00FB03DC" w:rsidRPr="00FB03DC">
        <w:rPr>
          <w:rFonts w:ascii="仿宋" w:eastAsia="仿宋" w:hAnsi="仿宋"/>
          <w:sz w:val="20"/>
          <w:szCs w:val="24"/>
          <w:lang w:eastAsia="zh-CN"/>
        </w:rPr>
        <w:t>银泰</w:t>
      </w:r>
      <w:r w:rsidR="00443F9C">
        <w:rPr>
          <w:rFonts w:ascii="仿宋" w:eastAsia="仿宋" w:hAnsi="仿宋"/>
          <w:sz w:val="20"/>
          <w:szCs w:val="24"/>
          <w:lang w:eastAsia="zh-CN"/>
        </w:rPr>
        <w:t>精选广元6号</w:t>
      </w:r>
      <w:r w:rsidRPr="00FB03DC">
        <w:rPr>
          <w:rFonts w:ascii="仿宋" w:eastAsia="仿宋" w:hAnsi="仿宋"/>
          <w:sz w:val="20"/>
          <w:szCs w:val="24"/>
          <w:lang w:eastAsia="zh-CN"/>
        </w:rPr>
        <w:t>集合资产管理计划”（以下简称“本计划”）！</w:t>
      </w:r>
    </w:p>
    <w:p w14:paraId="14E14C46"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投资有风险。当您/贵机构参与资产管理计划时，可能获得投资收益，但同时也面临着投资亏损的风险。您/贵机构在作出投资决策之前，请仔细阅读本风险揭示书和资产管理合同，充分认识本计划的风险收益特征和产品特性，认真考虑资产管理计划存在的各项风险因素，并充分考虑自身的风险承受能力，理性判断并谨慎作出投资决策。</w:t>
      </w:r>
    </w:p>
    <w:p w14:paraId="2237E4CF"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本集合计划属中低风险产品，适合合格投资者中的专业投资者和谨慎型及以上的普通投资者。</w:t>
      </w:r>
    </w:p>
    <w:p w14:paraId="5551A8B2"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根据有关法律法规，管理人华泰证券（上海）资产管理有限公司及投资者分别作出如下承诺、风险揭示及声明：</w:t>
      </w:r>
    </w:p>
    <w:p w14:paraId="38C1AA2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b/>
          <w:sz w:val="20"/>
          <w:szCs w:val="24"/>
          <w:lang w:eastAsia="zh-CN"/>
        </w:rPr>
        <w:t>一、管理人声明与承诺</w:t>
      </w:r>
    </w:p>
    <w:p w14:paraId="78A96CD0"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（一）管理人向投资者声明，中国证券投资基金业协会（以下简称“证券投资基金业协会”）为资产管理计划办理备案不构成对管理人投资能力、持续合规情况的认可；不作为对资产管理计划财产安全的保证。</w:t>
      </w:r>
    </w:p>
    <w:p w14:paraId="16C04ED1"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（二）管理人保证在投资者签署资产管理合同前已（或已委托销售机构）向投资者揭示了相关风险；已经了解投资者的风险偏好、风险认知能力和承受能力。</w:t>
      </w:r>
    </w:p>
    <w:p w14:paraId="6A9C6717"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（三）管理人承诺按照恪尽职守、诚实信用、谨慎勤勉的原则管理运用资产管理计划财产，不保证资产管理计划财产一定盈利，也不保证最低收益。</w:t>
      </w:r>
    </w:p>
    <w:p w14:paraId="0D2BBBE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b/>
          <w:sz w:val="20"/>
          <w:szCs w:val="24"/>
          <w:lang w:eastAsia="zh-CN"/>
        </w:rPr>
        <w:t>二、风险揭示</w:t>
      </w:r>
    </w:p>
    <w:p w14:paraId="61D4E2B0"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（一）特殊风险揭示</w:t>
      </w:r>
    </w:p>
    <w:p w14:paraId="3F095C3E"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本计划的特殊风险主要包括以下风险：</w:t>
      </w:r>
    </w:p>
    <w:p w14:paraId="65249C5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1、资产管理合同与协会合同指引不一致所涉风险</w:t>
      </w:r>
    </w:p>
    <w:p w14:paraId="488EFCC4"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本资产管理计划因投资或其他特殊需要，协会发布的《集合指引》部分具体要求对本资产管理计划投资者不适用，可能存在资产管理合同部分条款与《集合指引》不一致的情况。</w:t>
      </w:r>
    </w:p>
    <w:p w14:paraId="3083BD6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2、资产管理计划委托募集所涉风险（如有）</w:t>
      </w:r>
    </w:p>
    <w:p w14:paraId="4905D5D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本资产管理计划可能委托具备相关资质的销售机构进行募集，可能存在因销售机构系统运作故障、资金划付不及时或其他不可抗力原因造成的投资者认购/申购失败风险。</w:t>
      </w:r>
    </w:p>
    <w:p w14:paraId="7FEA30A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3、募集失败风险</w:t>
      </w:r>
    </w:p>
    <w:p w14:paraId="5659B82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本计划的成立需符合相关法律法规的规定，本计划可能存在不能满足成立条件从而无法成立的风险。</w:t>
      </w:r>
    </w:p>
    <w:p w14:paraId="4AF9CA3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管理人的责任承担方式：</w:t>
      </w:r>
    </w:p>
    <w:p w14:paraId="6BCE8B7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（1）以其固有财产承担因募集行为而产生的债务和费用；</w:t>
      </w:r>
    </w:p>
    <w:p w14:paraId="6DC97A5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（2）在资产管理计划募集期限届满（确认资产管理计划无法成立）后三十日内返还投资者已交纳的款项，并加计银行同期活期存款利息。</w:t>
      </w:r>
    </w:p>
    <w:p w14:paraId="656776A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4、资产管理计划未在协会完成备案手续或不予备案情形所涉风险；</w:t>
      </w:r>
    </w:p>
    <w:p w14:paraId="4D3EF7A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本资产管理计划成立后需在协会进行备案。</w:t>
      </w:r>
    </w:p>
    <w:p w14:paraId="03AF6A2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lastRenderedPageBreak/>
        <w:t>因此，即使本资管计划成立，并不意味着本计划必然能获得协会的备案。而该等备案过程可能会受到相应监管政策的影响，包括备案时间所需时间、能否通过备案都存在一定的不确定性。如果本计划在成立后无法获得协会的备案，则将直接影响本计划设立目的的实现。当出现无法通过协会备案的情形，管理人将有权决定提前终止本计划，由此直接影响投资者参与本计划的投资目的。</w:t>
      </w:r>
    </w:p>
    <w:p w14:paraId="7B87511F"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5、资产管理计划份额转让所涉风险；</w:t>
      </w:r>
    </w:p>
    <w:p w14:paraId="11400A00"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份额经管理人申请并开通份额转让事宜后允许通过证券交易所以及中国证监会认可的交易平台依法转让，存在因转让场所规则限制、投资者持有份额被司法冻结、投资者未满足资产管理合同最低参与金额要求或其他不可抗力的因素等造成的转让失败风险。</w:t>
      </w:r>
    </w:p>
    <w:p w14:paraId="60CC5FAA"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6、资产管理计划外包事项所涉风险；</w:t>
      </w:r>
    </w:p>
    <w:p w14:paraId="1B7EE96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估值核算事项交由外包服务机构华泰证券股份有限公司提供，可能存在因外包服务机构失去金融监管部门规定的资质要求、或不具备提供相关服务的条件和技能、或因管理不善、操作失误等，可能给资产投资者带来一定的风险。华泰证券股份有限公司是管理人关联方。</w:t>
      </w:r>
    </w:p>
    <w:p w14:paraId="6ECCFCCA"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7、采用电子签名合同管理方式所带来的风险（如适用）</w:t>
      </w:r>
    </w:p>
    <w:p w14:paraId="490AD28F"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集合计划可采用电子签名方式进行集合计划资产管理合同的签署、核对、收集、整理和保管，在运用电子签名方式进行集合计划合同管理过程中，由于系统故障、人员操作失误、相关机构之间衔接不畅等原因，可能导致投资者参与申请无法及时确认、投资者资料信息错误、投资者无法查询交易信息等情形，从而导致风险。</w:t>
      </w:r>
    </w:p>
    <w:p w14:paraId="3F3C977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8、自有资金参与退出风险</w:t>
      </w:r>
    </w:p>
    <w:p w14:paraId="128C3A3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鉴于本集合计划管理人在存续期自有资金的参与可能造成投资者收益稀释或者由于自有资金退出致使管理人被动变现集合计划资产导致集合计划净值受损，从而产生自有资金参与退出风险。同时，对于自有资金在存续期主动参与退出且需征询投资者意见的情形，管理人会为不同意的投资者统一做强制退出处理。为此，管理人提请投资者注意上述风险。</w:t>
      </w:r>
    </w:p>
    <w:p w14:paraId="28A2962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9、关联交易风险</w:t>
      </w:r>
    </w:p>
    <w:p w14:paraId="0067B3F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管理人遵循投资者利益优先和审慎原则，根据产品合同的约定，在实际投资操作中可能会投资于管理人、托管人及前述机构的控股股东、实际控制人或者其他关联方发行的证券或承销期内承销的证券、前述机构管理的公募证券投资基金、私募资管产品以及从事其他类型的关联交易，尽管管理人遵循投资者利益优先的原则、遵守相关法律法规的规定进行操作、防范利益冲突，但该等交易仍构成关联交易，存在利益冲突风险，可能影响投资者的利益。此外，管理人运用计划财产从事关联交易时可能依照相关法律法规、监管机构、自律组织的规定被限制相关权利的行使，进而可能影响受托财产的投资收益。投资者应密切关注关联交易的信息披露，知悉了解相关的投资信息。</w:t>
      </w:r>
    </w:p>
    <w:p w14:paraId="256F8AA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一般关联交易预授权风险及重大关联交易风险：</w:t>
      </w:r>
    </w:p>
    <w:p w14:paraId="432721E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根据本合同的约定，管理人以本计划资产从事一般关联交易的，无需就具体关联交易再行分别、逐笔取得投资者的同意，投资者签署本合同即视为已经充分理解并同意管理人从事该等关联交易，管理人仅需要事后及时告知投资者和托管人，并向中国证监会相关派出机构报告，故存在投资者在一般关联交易完成前未充分知晓具体交易情况的风险。</w:t>
      </w:r>
    </w:p>
    <w:p w14:paraId="4F4C7F1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管理人从事重大关联交易的，将事先通知投资者并征询投资者的意见，事后及时告知投资者以及托管人，但管理人以公告方式征询意见，投资者反馈的方式和时限均由管理人决定，可能发生投资者未及时查阅相关信息导致最终未及时反馈意见的风险。同时，若管理人经投资者同意后从事重大关联交易的，因交易金额超过本计划净资产的10%，可能存在利益冲突风险，影响投资者的利益。</w:t>
      </w:r>
    </w:p>
    <w:p w14:paraId="44B4B64D"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10、其他特殊风险</w:t>
      </w:r>
    </w:p>
    <w:p w14:paraId="63C2881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lastRenderedPageBreak/>
        <w:t>（1）所投资金融产品的特别风险</w:t>
      </w:r>
    </w:p>
    <w:p w14:paraId="38EC4F5F"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部分资产将配置于金融监管部门批准或备案发行的金融产品（包括公募证券投资基金及法律法规允许的其他金融产品等），投资上述金融产品可能因下列特定风险因素给本计划造成不利影响，请投资者知悉。</w:t>
      </w:r>
    </w:p>
    <w:p w14:paraId="5CADC800"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1）金融产品管理人风险</w:t>
      </w:r>
    </w:p>
    <w:p w14:paraId="11DE95B3"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金融产品管理人风险包括管理人经营风险和操作风险。经营风险是指因管理能力、财务状况、行业竞争、人员素质、内控等因素导致公司经营不善，极端情况下甚至破产倒闭，可能对其管理人的产品业绩造成不利影响。另外，对于约定了止损条款的金融产品，可能因管理人未及时操作导致产品损失扩大的风险。</w:t>
      </w:r>
    </w:p>
    <w:p w14:paraId="2321A48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2）金融产品投资风险</w:t>
      </w:r>
    </w:p>
    <w:p w14:paraId="5CB0D6B5"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本计划所投资的金融产品可能由于其管理人对市场判断失误、买入标的市场表现不佳、风险控制失效等原因造成产品净值的下降，从而造成本计划净值下降，最终导致本计划投资者资产损失；</w:t>
      </w:r>
    </w:p>
    <w:p w14:paraId="0729C28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3）策略模型风险</w:t>
      </w:r>
    </w:p>
    <w:p w14:paraId="6818C10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在实际运作中，因金融产品的投资经理变更导致模型无法有效运作，开发的策略或模型不再有效或者在运作过程中与产品期初投资策略和投资风格发生偏离，进而影响产品投资业绩。</w:t>
      </w:r>
    </w:p>
    <w:p w14:paraId="18B14F4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4）赎回金融产品面临的流动性风险</w:t>
      </w:r>
    </w:p>
    <w:p w14:paraId="653A4F2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因本计划投资者赎回或资产配置调整需要，管理人赎回金融产品时，可能触发所投资的金融产品大额赎回或巨额赎回条款，或所投资的金融产品处在封闭期，导致赎回资金延迟到账的风险。</w:t>
      </w:r>
    </w:p>
    <w:p w14:paraId="08FC2DA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5）投资金融产品可能面临双层收费的风险</w:t>
      </w:r>
    </w:p>
    <w:p w14:paraId="4D70B510"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投资者需要承担双层费用，即本计划费用及本计划所投资的金融产品自身需要承担费用。本计划所投资的金融产品自身需要承担费用包括金融产品的管理费、托管费、业绩报酬（如有）、认购费（如有）、赎回费（如有）等，以上费用在计提时将会扣减金融产品的资产净值，从而造成本计划净值下降。</w:t>
      </w:r>
    </w:p>
    <w:p w14:paraId="77DF0CA3"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6）投资金融产品的估值风险</w:t>
      </w:r>
    </w:p>
    <w:p w14:paraId="42F4C3A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计划的投资多个底层金融产品，每个金融产品的估值时间可能不一致，且披露时间可能不一致，本计划按照金融产品估值日最近的份额净值进行估值。在存续期间，本计划份额净值可能无法反映真实投资管理情况。</w:t>
      </w:r>
    </w:p>
    <w:p w14:paraId="430289A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此外，为消除底层金融产品计提业绩报酬对本计划资产净值的影响，本计划在估值方法上已采取适当的措施与安排，但仍不排除在本计划的封闭期内，由于无法在每个估值日及时准确获取金融产品预估业绩报酬或扣除预估业绩报酬后的净值，导致封闭期披露的本计划份额净值未充分体现底层金融产品计提业绩报酬的影响，当底层金融产品发生业绩报酬提取或在本计划开放日发生管理人根据金融产品约定的业绩报酬计提方法预估业绩报酬并调整本计划份额净值的情形时，可能造成本计划份额净值波动的风险。</w:t>
      </w:r>
    </w:p>
    <w:p w14:paraId="5367970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7）底层金融产品提取业绩报酬对产品净值造成下跌的风险</w:t>
      </w:r>
    </w:p>
    <w:p w14:paraId="481A76D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由于本计划投资多个金融产品，每个金融产品在业绩报酬计提方式、业绩报酬计提时间以及产品估值时间与本计划层面可能不一致，当底层金融产品提取业绩报酬后造成本计划净值下降、投资者持有本计划份额期间收益下降的风险。</w:t>
      </w:r>
    </w:p>
    <w:p w14:paraId="3A4EA50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（2）投资结构性存款的风险</w:t>
      </w:r>
    </w:p>
    <w:p w14:paraId="761E900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 xml:space="preserve">结构性存款是一种不同于存款的金融产品，具有一定投资风险，不保证收益。且属短期投资，所涉风险与一般长期投资不同。可能面临的风险主要包括（但不限于）： </w:t>
      </w:r>
    </w:p>
    <w:p w14:paraId="0D875D9E"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w:t>
      </w:r>
      <w:r w:rsidRPr="00FB03DC">
        <w:rPr>
          <w:rFonts w:ascii="仿宋" w:eastAsia="仿宋" w:hAnsi="仿宋" w:hint="eastAsia"/>
          <w:b/>
          <w:sz w:val="20"/>
          <w:szCs w:val="24"/>
          <w:lang w:eastAsia="zh-CN"/>
        </w:rPr>
        <w:tab/>
        <w:t>流动性风险</w:t>
      </w:r>
    </w:p>
    <w:p w14:paraId="1D1F359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lastRenderedPageBreak/>
        <w:t xml:space="preserve">存款期限内，结构性存款可能不能提前终止或赎回在存续期内如果投资者有流动性需求，投资者可能不能使用结构性存款的资金。  </w:t>
      </w:r>
    </w:p>
    <w:p w14:paraId="5156B3DF"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w:t>
      </w:r>
      <w:r w:rsidRPr="00FB03DC">
        <w:rPr>
          <w:rFonts w:ascii="仿宋" w:eastAsia="仿宋" w:hAnsi="仿宋" w:hint="eastAsia"/>
          <w:b/>
          <w:sz w:val="20"/>
          <w:szCs w:val="24"/>
          <w:lang w:eastAsia="zh-CN"/>
        </w:rPr>
        <w:tab/>
        <w:t>管理人风险</w:t>
      </w:r>
    </w:p>
    <w:p w14:paraId="063F54B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结构性存款管理人或存款投资资产相关服务机构受经验、技能因素的限制，或者上述主题处理事务不当等，可能导致投资者收益遭遇损失。</w:t>
      </w:r>
    </w:p>
    <w:p w14:paraId="46A0EC9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w:t>
      </w:r>
      <w:r w:rsidRPr="00FB03DC">
        <w:rPr>
          <w:rFonts w:ascii="仿宋" w:eastAsia="仿宋" w:hAnsi="仿宋" w:hint="eastAsia"/>
          <w:b/>
          <w:sz w:val="20"/>
          <w:szCs w:val="24"/>
          <w:lang w:eastAsia="zh-CN"/>
        </w:rPr>
        <w:tab/>
        <w:t>本金及收益波动的风险</w:t>
      </w:r>
    </w:p>
    <w:p w14:paraId="26A1DC23"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结构性存款的收益部分取决于某些可能发生波动的参数值的变化，并受市场多种要素的影响。且持有至到期日的保本结构性存款的收益不会为负值，但可能为零收益或显著低于普通储蓄或定期存款可能获得的收益。非保本结构性存款的收益可能为负值，且本金可能全部丧失。在预定到期日前收回结构性存款的情形下，存款银行所作的调整可能使收益为负。</w:t>
      </w:r>
    </w:p>
    <w:p w14:paraId="2A86FEC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w:t>
      </w:r>
      <w:r w:rsidRPr="00FB03DC">
        <w:rPr>
          <w:rFonts w:ascii="仿宋" w:eastAsia="仿宋" w:hAnsi="仿宋" w:hint="eastAsia"/>
          <w:b/>
          <w:sz w:val="20"/>
          <w:szCs w:val="24"/>
          <w:lang w:eastAsia="zh-CN"/>
        </w:rPr>
        <w:tab/>
        <w:t xml:space="preserve"> 存款不成立风险</w:t>
      </w:r>
    </w:p>
    <w:p w14:paraId="17E9373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在结构性存款起息日之前，国家宏观政策以及市场相关法规政策发生变化，或市场发生剧烈波动，都可能造成结构性存款不成立。</w:t>
      </w:r>
    </w:p>
    <w:p w14:paraId="68F81CC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5)</w:t>
      </w:r>
      <w:r w:rsidRPr="00FB03DC">
        <w:rPr>
          <w:rFonts w:ascii="仿宋" w:eastAsia="仿宋" w:hAnsi="仿宋" w:hint="eastAsia"/>
          <w:b/>
          <w:sz w:val="20"/>
          <w:szCs w:val="24"/>
          <w:lang w:eastAsia="zh-CN"/>
        </w:rPr>
        <w:tab/>
        <w:t>汇率风险</w:t>
      </w:r>
    </w:p>
    <w:p w14:paraId="117522C4"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汇率对市场作用的反应可能受到央行和其他政府部门的干预。政府可能在未事先预警的情况下施加汇率管制或货币措施，由此可能显著影响某货币的可兑换性或可流转性，对结构性存款产生预期之外的后果。</w:t>
      </w:r>
    </w:p>
    <w:p w14:paraId="55C3613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6)</w:t>
      </w:r>
      <w:r w:rsidRPr="00FB03DC">
        <w:rPr>
          <w:rFonts w:ascii="仿宋" w:eastAsia="仿宋" w:hAnsi="仿宋" w:hint="eastAsia"/>
          <w:b/>
          <w:sz w:val="20"/>
          <w:szCs w:val="24"/>
          <w:lang w:eastAsia="zh-CN"/>
        </w:rPr>
        <w:tab/>
        <w:t>利益冲突的风险</w:t>
      </w:r>
    </w:p>
    <w:p w14:paraId="437554A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结构性存款银行的现有的或将来的利益或关系可能导致与结存银行同投资人订立的结构性存款存在利益冲突。</w:t>
      </w:r>
    </w:p>
    <w:p w14:paraId="073E0E3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（3）投资信用联结票据的风险</w:t>
      </w:r>
    </w:p>
    <w:p w14:paraId="72B45BF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b/>
          <w:sz w:val="20"/>
          <w:szCs w:val="24"/>
          <w:lang w:eastAsia="zh-CN"/>
        </w:rPr>
        <w:t>本集合计划的投资范围包括信用联结票据。信用联结票据的投资可能面临流动性风险、偿付风险以及价格波动风险。流动性风险是信用联结票据在交易转让过程中因为无法找到交易对手或交易对手较少导致难以将其变现的风险。偿付风险是在信用联结票据的存续期内，由于不可控制的市场及环境变化，创设机构可能出现经营状况不佳或创设机构的现金流与预期发生一定的偏差，从而影响信用联结票据结算的风险。价格波动风险是由于创设机构或所受保护债券主体经营情况出现变化，导致信用评级机构调整对创设机构或所保护债券的信用级别，引起信用联结票据交易价格波动，从而影响投资者的利益的风险。</w:t>
      </w:r>
    </w:p>
    <w:p w14:paraId="0C39534D"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（4）通过第三方基金销售机构投资开放式基金的风险</w:t>
      </w:r>
    </w:p>
    <w:p w14:paraId="0E3D5D8F"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本资产管理计划可通过第三方基金销售机构投资开放式基金，管理人负责选择销售机构，并应确保在销售机构预留的备案回款账户为银行托管账户。托管人对于通过第三方基金销售机构投资开放式基金不承担任何风险。</w:t>
      </w:r>
    </w:p>
    <w:p w14:paraId="633AED5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由于通过第三方销售平台购买，可能会存在认（申）购、赎回（现金分红）基金时资金被挪用的风险；第三方销售平台对基金账户管理不当造成投资人持有基金份额不准确的风险；认（申）购款未能用于购买指定基金的风险；以及第三方基金销售平台无基金销售资质的风险。</w:t>
      </w:r>
    </w:p>
    <w:p w14:paraId="66B0443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（二）一般风险揭示</w:t>
      </w:r>
    </w:p>
    <w:p w14:paraId="1336373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1、本金损失风险</w:t>
      </w:r>
    </w:p>
    <w:p w14:paraId="21F02FA4"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管理人依照恪尽职守、诚实信用、谨慎勤勉的原则管理和运用资产管理计划财产，但不保证资产管理计划财产中的认（申）购资金本金不受损失，也不保证一定盈利以及最低收益。</w:t>
      </w:r>
    </w:p>
    <w:p w14:paraId="16605C14"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2、市场风险</w:t>
      </w:r>
    </w:p>
    <w:p w14:paraId="09B93945"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资产管理计划的投资品种价格因受经济因素、政治因素、投资心理和交易制度等各种因素影响而引起的波动，导致收益水平变化产生的风险。主要包括：政策风险、经济周期风险、利率风险、购买力风险、再投资风险等。</w:t>
      </w:r>
    </w:p>
    <w:p w14:paraId="21D6C2E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3、管理风险</w:t>
      </w:r>
    </w:p>
    <w:p w14:paraId="4700635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lastRenderedPageBreak/>
        <w:t>资产管理计划运作过程中，管理人依据资产管理合同约定管理和运用资产管理计划财产所产生的风险，由资产管理计划财产以及投资者承担。</w:t>
      </w:r>
    </w:p>
    <w:p w14:paraId="74F02D1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4、流动性风险</w:t>
      </w:r>
    </w:p>
    <w:p w14:paraId="3CFEAA7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资产管理计划因市场整体或投资品种流动性不足、应付可能出现的投资者巨额退出或者大额退出等原因，不能迅速转变成现金，或者转变成现金会对资产价格造成重大不利影响的风险。</w:t>
      </w:r>
    </w:p>
    <w:p w14:paraId="10DD77DC"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5、信用风险</w:t>
      </w:r>
    </w:p>
    <w:p w14:paraId="1B4BFF5A"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因债务人、交易对手或持仓金融头寸的发行人未能按时履约或者信用资质恶化，给资产管理计划带来损失的风险。</w:t>
      </w:r>
    </w:p>
    <w:p w14:paraId="4D8FDDA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6、税收风险</w:t>
      </w:r>
    </w:p>
    <w:p w14:paraId="23377E8D"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资产管理计划所适用的税收征管法律法规可能会由于国家相关税收政策调整而发生变化，投资者收益也可能因相关税收政策调整而受到影响。</w:t>
      </w:r>
    </w:p>
    <w:p w14:paraId="22FEBF1E"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资产管理计划运营过程中需要缴纳增值税应税的，将由受托财产承担并从受托财产中支付，按照税务机关的规定以管理人为增值税纳税人履行纳税义务，因此可能增加资产投资者的投资税费成本。</w:t>
      </w:r>
    </w:p>
    <w:p w14:paraId="21F697D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7、合规风险</w:t>
      </w:r>
    </w:p>
    <w:p w14:paraId="0C2C3148" w14:textId="3D8088C9"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在资产管理计划管理或运作过程中，违反国家法律、法规的规定，或者资产管理计划投资范围、投资比例等违反法规及《华泰</w:t>
      </w:r>
      <w:r w:rsidR="00FB03DC" w:rsidRPr="00FB03DC">
        <w:rPr>
          <w:rFonts w:ascii="仿宋" w:eastAsia="仿宋" w:hAnsi="仿宋" w:hint="eastAsia"/>
          <w:b/>
          <w:sz w:val="20"/>
          <w:szCs w:val="24"/>
          <w:lang w:eastAsia="zh-CN"/>
        </w:rPr>
        <w:t>银泰</w:t>
      </w:r>
      <w:r w:rsidR="00443F9C">
        <w:rPr>
          <w:rFonts w:ascii="仿宋" w:eastAsia="仿宋" w:hAnsi="仿宋" w:hint="eastAsia"/>
          <w:b/>
          <w:sz w:val="20"/>
          <w:szCs w:val="24"/>
          <w:lang w:eastAsia="zh-CN"/>
        </w:rPr>
        <w:t>精选广元6号</w:t>
      </w:r>
      <w:r w:rsidRPr="00FB03DC">
        <w:rPr>
          <w:rFonts w:ascii="仿宋" w:eastAsia="仿宋" w:hAnsi="仿宋" w:hint="eastAsia"/>
          <w:b/>
          <w:sz w:val="20"/>
          <w:szCs w:val="24"/>
          <w:lang w:eastAsia="zh-CN"/>
        </w:rPr>
        <w:t>集合资产管理计划资产管理合同》有关规定的风险。管理人可能因此被监管机构采取监管措施或被责令调整资产管理计划投资范围及比例，从而影响资产管理计划的具体运作和投资收益。</w:t>
      </w:r>
    </w:p>
    <w:p w14:paraId="166B5BA5"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8、无法履约风险</w:t>
      </w:r>
    </w:p>
    <w:p w14:paraId="2FA77D2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管理人因停业、解散、撤销、破产，或者被中国证监会撤销相关业务许可等原因不能履行职责，可能导致受托财产的损失，从而带来风险。</w:t>
      </w:r>
    </w:p>
    <w:p w14:paraId="4779A540"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9、适当性相关风险</w:t>
      </w:r>
    </w:p>
    <w:p w14:paraId="20C55ECB"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投资者有义务保证其提供的相关信息及材料真实、准确、完整。管理人及销售机构（如有）评定投资者的风险承受能力、作出适当性匹配意见系基于投资者提供的相关信息及证明材料真实、准确、完整的前提下作出；如投资者提供的信息及材料不真实、不准确或不完整，存在虚假记载、误导性陈述或者重大遗漏，可能会导致投资者的风险承受能力评定、适当性匹配意见存在偏差、与实际不符的风险，管理人及销售机构（如有）有权拒绝为投资者提供服务或拒绝接受投资者的交易申请、业务申请，相关风险、责任、损失由投资者自行承担。</w:t>
      </w:r>
    </w:p>
    <w:p w14:paraId="4ED263B8"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投资者知晓管理人及销售机构（如有）禁止其工作人员为影响评估结果在投资者填写基本信息表、风险承受能力评估问卷时进行提示、暗示、诱导。</w:t>
      </w:r>
    </w:p>
    <w:p w14:paraId="784858BD"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投资者在其信息发生重要变化、可能影响管理人及销售机构（如有）对其作出的投资者类别划分、风险承受能力认定时，应主动告知管理人及销售机构（如有），以便管理人及销售机构（如有）作出调整。若投资者未能及时有效告知管理人及销售机构（如有），则存在适当性匹配意见与实际不符的风险，进而可能产生应由投资者自行承担的相应风险、责任、损失。</w:t>
      </w:r>
    </w:p>
    <w:p w14:paraId="0A81552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投资者或产品的信息发生变化时，管理人及销售机构（如有）有权主动调整投资者的投资者分类、产品的风险等级以及适当性匹配意见。管理人及销售机构（如有）作出主动调整的，投资者的交易或者购买产品的资格可能受到影响，进而产生相应的风险。</w:t>
      </w:r>
    </w:p>
    <w:p w14:paraId="1EABA03E"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10、其他风险</w:t>
      </w:r>
    </w:p>
    <w:p w14:paraId="392F286A"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包括但不限于：</w:t>
      </w:r>
    </w:p>
    <w:p w14:paraId="612E45B2"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lastRenderedPageBreak/>
        <w:t>（1）技术风险。在本集合计划的日常交易中，可能因为技术系统的故障或者差错而影响交易的正常进行或者导致投资者的利益受到影响。这种技术风险可能来自本集合计划管理人、托管人、证券交易所以及证券份额登记机构等。</w:t>
      </w:r>
    </w:p>
    <w:p w14:paraId="473499AD"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（2）操作风险。本集合计划管理人、托管人、证券交易所以及证券份额登记机构等在业务操作过程中，因操作失误或违反操作规程而引起的风险。</w:t>
      </w:r>
    </w:p>
    <w:p w14:paraId="47F85DC9"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（3）因制度建设、人员配备以及内控制度建立等方面不完善而产生的风险。</w:t>
      </w:r>
    </w:p>
    <w:p w14:paraId="1E32BCFE"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（4）因人为因素而产生的风险、如内幕交易以及欺诈行为等产生的风险。</w:t>
      </w:r>
    </w:p>
    <w:p w14:paraId="1B890F0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（5）对主要业务人员如投资经理的依赖而可能产生的风险。</w:t>
      </w:r>
    </w:p>
    <w:p w14:paraId="74114BB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（6）因业务竞争压力可能产生的风险。</w:t>
      </w:r>
    </w:p>
    <w:p w14:paraId="569287B7"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（7）战争、自然灾害等不可抗力因素的出现，将会严重影响证券市场的运行，可能导致受托财产的损失，从而带来风险。</w:t>
      </w:r>
    </w:p>
    <w:p w14:paraId="4E6D6866"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hint="eastAsia"/>
          <w:b/>
          <w:sz w:val="20"/>
          <w:szCs w:val="24"/>
          <w:lang w:eastAsia="zh-CN"/>
        </w:rPr>
        <w:t>（8）其他意外导致的风险。</w:t>
      </w:r>
    </w:p>
    <w:p w14:paraId="564AE0A1" w14:textId="77777777" w:rsidR="00F31CD2" w:rsidRPr="00FB03DC" w:rsidRDefault="00A71D56">
      <w:pPr>
        <w:ind w:firstLine="402"/>
        <w:rPr>
          <w:rFonts w:ascii="仿宋" w:eastAsia="仿宋" w:hAnsi="仿宋"/>
          <w:b/>
          <w:sz w:val="20"/>
          <w:szCs w:val="24"/>
          <w:lang w:eastAsia="zh-CN"/>
        </w:rPr>
      </w:pPr>
      <w:r w:rsidRPr="00FB03DC">
        <w:rPr>
          <w:rFonts w:ascii="仿宋" w:eastAsia="仿宋" w:hAnsi="仿宋"/>
          <w:b/>
          <w:sz w:val="20"/>
          <w:szCs w:val="24"/>
          <w:lang w:eastAsia="zh-CN"/>
        </w:rPr>
        <w:t>三、投资者声明</w:t>
      </w:r>
    </w:p>
    <w:p w14:paraId="11985696"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作为本计划的投资者，本人/机构已充分了解并谨慎评估自身风险承受能力，自愿自行承担投资该计划所面临的风险。本人/机构作出以下陈述和声明，并确认（自然人投资者在每段段尾“【  】”内签名，机构投资者在本页、尾页盖章，加盖骑缝章）其内容的真实和正确：</w:t>
      </w:r>
    </w:p>
    <w:p w14:paraId="1C3E60A8"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1、本人/机构已仔细阅读资产管理业务相关法律文件和其他文件，充分理解相关权利、义务、本计划运作方式及风险收益特征，愿意承担由上述风险引致的全部后果。【       】</w:t>
      </w:r>
    </w:p>
    <w:p w14:paraId="200ECE4C"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2、本人/机构知晓，管理人、销售机构、托管人及相关机构不应当对资产管理计划财产的收益状况作出任何承诺或担保。【      】</w:t>
      </w:r>
    </w:p>
    <w:p w14:paraId="730CF51A"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3、本人/机构符合《证券期货经营机构私募资产管理计划运作管理规定》有关合格投资者的要求，并已按照管理人或销售机构的要求提供相关证明文件。【       】</w:t>
      </w:r>
    </w:p>
    <w:p w14:paraId="5323C8D3"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4、本人/机构已认真阅读并完全理解资产管理合同的所有内容，并愿意自行承担购买资产管理计划的法律责任。【      】</w:t>
      </w:r>
    </w:p>
    <w:p w14:paraId="1EDC3387"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5、本人/机构已认真阅读并完全理解资产管理合同 “当事人及权利义务”的所有内容，并愿意自行承担购买资产管理计划的法律责任。【      】</w:t>
      </w:r>
    </w:p>
    <w:p w14:paraId="00B1729A"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6、本人/机构已认真阅读并完全理解资产管理合同“资产管理计划的投资”的所有内容，并愿意自行承担购买资产管理计划的法律责任。【       】</w:t>
      </w:r>
    </w:p>
    <w:p w14:paraId="32862608"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7、本人/机构已认真阅读并完全理解资产管理合同“资产管理计划的费用与税收”中的所有内容。【       】</w:t>
      </w:r>
    </w:p>
    <w:p w14:paraId="5F6DE190"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8、本人/机构已认真阅读并完全理解资产管理合同 “争议的处理”中的所有内容。【       】</w:t>
      </w:r>
    </w:p>
    <w:p w14:paraId="157342CB"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9、本人/机构已经配合管理人或其销售机构提供了法律法规规定的信息资料及身份证明文件，以配合上述机构完成投资者适当性管理、非居民金融账户涉税信息尽职调查以及反洗钱等监管规定的工作。</w:t>
      </w:r>
    </w:p>
    <w:p w14:paraId="01D63014"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本人/机构承诺上述信息资料及身份证明文件真实、准确、完整、有效。【       】</w:t>
      </w:r>
    </w:p>
    <w:p w14:paraId="10FF29F0"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10、本人/机构知晓，证券投资基金业协会为资产管理计划办理备案不构成对管理人投资能力、持续合规情况的认可；不作为对资产管理计划财产安全的保证。【      】</w:t>
      </w:r>
    </w:p>
    <w:p w14:paraId="27F89849"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11、本人/机构承诺本次投资行为是为本人/机构购买（参与）资产管理计划。【       】</w:t>
      </w:r>
    </w:p>
    <w:p w14:paraId="06F6E690"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12、本人/机构承诺不以非法拆分转让为目的购买资产管理计划，不会突破合格投资者标准，将资产管理计划份额或其收益权进行非法拆分转让。【      】</w:t>
      </w:r>
    </w:p>
    <w:p w14:paraId="48F7E513"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13、本人/机构知悉本风险揭示书的揭示事项仅为列举性质，未能详尽列明投资者参与资产管理计划所面临的全部风险和可能导致投资者资产损失的所有因素。【       】</w:t>
      </w:r>
    </w:p>
    <w:p w14:paraId="691BDDAC" w14:textId="77777777" w:rsidR="00F31CD2" w:rsidRPr="00FB03DC" w:rsidRDefault="00F31CD2">
      <w:pPr>
        <w:ind w:firstLine="400"/>
        <w:rPr>
          <w:rFonts w:ascii="仿宋" w:eastAsia="仿宋" w:hAnsi="仿宋"/>
          <w:sz w:val="20"/>
          <w:szCs w:val="24"/>
          <w:lang w:eastAsia="zh-CN"/>
        </w:rPr>
      </w:pPr>
    </w:p>
    <w:p w14:paraId="6D13EC2B" w14:textId="48AB3B93" w:rsidR="00F31CD2" w:rsidRPr="00EC723A" w:rsidRDefault="00A71D56" w:rsidP="00EC723A">
      <w:pPr>
        <w:ind w:firstLine="425"/>
        <w:rPr>
          <w:rFonts w:ascii="仿宋" w:eastAsia="仿宋" w:hAnsi="仿宋" w:hint="eastAsia"/>
          <w:sz w:val="20"/>
          <w:szCs w:val="20"/>
          <w:lang w:eastAsia="zh-CN"/>
        </w:rPr>
      </w:pPr>
      <w:r w:rsidRPr="00FB03DC">
        <w:rPr>
          <w:rFonts w:ascii="仿宋" w:eastAsia="仿宋" w:hAnsi="仿宋"/>
          <w:sz w:val="20"/>
          <w:szCs w:val="24"/>
          <w:lang w:eastAsia="zh-CN"/>
        </w:rPr>
        <w:lastRenderedPageBreak/>
        <w:t>投资者（自然人签字或机构盖章）</w:t>
      </w:r>
      <w:r w:rsidRPr="00D304D3">
        <w:rPr>
          <w:rFonts w:ascii="仿宋" w:eastAsia="仿宋" w:hAnsi="仿宋"/>
          <w:sz w:val="20"/>
          <w:szCs w:val="20"/>
          <w:lang w:eastAsia="zh-CN"/>
        </w:rPr>
        <w:t>：</w:t>
      </w:r>
      <w:r w:rsidR="00EC723A" w:rsidRPr="00D304D3">
        <w:rPr>
          <w:rFonts w:ascii="仿宋" w:eastAsia="仿宋" w:hAnsi="仿宋"/>
          <w:sz w:val="20"/>
          <w:szCs w:val="20"/>
          <w:lang w:eastAsia="zh-CN"/>
        </w:rPr>
        <w:t xml:space="preserve"> </w:t>
      </w:r>
    </w:p>
    <w:p w14:paraId="305821E9" w14:textId="77777777" w:rsidR="00F31CD2" w:rsidRPr="00FB03DC" w:rsidRDefault="00F31CD2">
      <w:pPr>
        <w:ind w:firstLine="400"/>
        <w:rPr>
          <w:rFonts w:ascii="仿宋" w:eastAsia="仿宋" w:hAnsi="仿宋"/>
          <w:sz w:val="20"/>
          <w:szCs w:val="24"/>
          <w:lang w:eastAsia="zh-CN"/>
        </w:rPr>
      </w:pPr>
    </w:p>
    <w:p w14:paraId="4019BDE3"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日期：</w:t>
      </w:r>
    </w:p>
    <w:p w14:paraId="369689ED" w14:textId="77777777" w:rsidR="00F31CD2" w:rsidRPr="00FB03DC" w:rsidRDefault="00F31CD2">
      <w:pPr>
        <w:ind w:firstLine="400"/>
        <w:rPr>
          <w:rFonts w:ascii="仿宋" w:eastAsia="仿宋" w:hAnsi="仿宋"/>
          <w:sz w:val="20"/>
          <w:szCs w:val="24"/>
          <w:lang w:eastAsia="zh-CN"/>
        </w:rPr>
      </w:pPr>
    </w:p>
    <w:p w14:paraId="4836287B"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管理人（盖章）：</w:t>
      </w:r>
    </w:p>
    <w:p w14:paraId="60BBD94A" w14:textId="77777777" w:rsidR="00F31CD2" w:rsidRPr="00FB03DC" w:rsidRDefault="00F31CD2">
      <w:pPr>
        <w:ind w:firstLine="400"/>
        <w:rPr>
          <w:rFonts w:ascii="仿宋" w:eastAsia="仿宋" w:hAnsi="仿宋"/>
          <w:sz w:val="20"/>
          <w:szCs w:val="24"/>
          <w:lang w:eastAsia="zh-CN"/>
        </w:rPr>
      </w:pPr>
    </w:p>
    <w:p w14:paraId="218BC739"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 xml:space="preserve">日期： </w:t>
      </w:r>
    </w:p>
    <w:p w14:paraId="0A66994C" w14:textId="77777777" w:rsidR="00F31CD2" w:rsidRPr="00FB03DC" w:rsidRDefault="00F31CD2">
      <w:pPr>
        <w:ind w:firstLine="400"/>
        <w:rPr>
          <w:rFonts w:ascii="仿宋" w:eastAsia="仿宋" w:hAnsi="仿宋"/>
          <w:sz w:val="20"/>
          <w:szCs w:val="24"/>
          <w:lang w:eastAsia="zh-CN"/>
        </w:rPr>
      </w:pPr>
    </w:p>
    <w:p w14:paraId="1D13A5F2" w14:textId="77777777" w:rsidR="00F31CD2" w:rsidRPr="00FB03DC" w:rsidRDefault="00A71D56">
      <w:pPr>
        <w:ind w:firstLine="400"/>
        <w:rPr>
          <w:rFonts w:ascii="仿宋" w:eastAsia="仿宋" w:hAnsi="仿宋"/>
          <w:sz w:val="20"/>
          <w:szCs w:val="24"/>
          <w:lang w:eastAsia="zh-CN"/>
        </w:rPr>
      </w:pPr>
      <w:r w:rsidRPr="00FB03DC">
        <w:rPr>
          <w:rFonts w:ascii="仿宋" w:eastAsia="仿宋" w:hAnsi="仿宋"/>
          <w:sz w:val="20"/>
          <w:szCs w:val="24"/>
          <w:lang w:eastAsia="zh-CN"/>
        </w:rPr>
        <w:t>销售机构经办人（签字）：</w:t>
      </w:r>
    </w:p>
    <w:p w14:paraId="15D1E446" w14:textId="77777777" w:rsidR="00F31CD2" w:rsidRPr="00FB03DC" w:rsidRDefault="00F31CD2">
      <w:pPr>
        <w:ind w:firstLine="400"/>
        <w:rPr>
          <w:rFonts w:ascii="仿宋" w:eastAsia="仿宋" w:hAnsi="仿宋"/>
          <w:sz w:val="20"/>
          <w:szCs w:val="24"/>
          <w:lang w:eastAsia="zh-CN"/>
        </w:rPr>
      </w:pPr>
    </w:p>
    <w:p w14:paraId="302EFD1D" w14:textId="77777777" w:rsidR="00F31CD2" w:rsidRPr="00FB03DC" w:rsidRDefault="00A71D56">
      <w:pPr>
        <w:spacing w:line="360" w:lineRule="auto"/>
        <w:ind w:firstLine="400"/>
        <w:rPr>
          <w:rFonts w:ascii="仿宋" w:eastAsia="仿宋" w:hAnsi="仿宋"/>
          <w:sz w:val="24"/>
        </w:rPr>
      </w:pPr>
      <w:r w:rsidRPr="00FB03DC">
        <w:rPr>
          <w:rFonts w:ascii="仿宋" w:eastAsia="仿宋" w:hAnsi="仿宋"/>
          <w:sz w:val="20"/>
          <w:szCs w:val="24"/>
        </w:rPr>
        <w:t>日期：</w:t>
      </w:r>
    </w:p>
    <w:sectPr w:rsidR="00F31CD2" w:rsidRPr="00FB03DC">
      <w:footerReference w:type="default" r:id="rId7"/>
      <w:pgSz w:w="11906" w:h="16838"/>
      <w:pgMar w:top="1440" w:right="1800" w:bottom="1440" w:left="1800" w:header="851" w:footer="992" w:gutter="0"/>
      <w:cols w:space="720"/>
      <w:docGrid w:type="lines" w:linePitch="312"/>
    </w:sectPr>
  </w:body>
</w:document>
</file>

<file path=word/commentsIds.xml><?xml version="1.0" encoding="utf-8"?>
<w16cid:commentsIds xmlns:mc="http://schemas.openxmlformats.org/markup-compatibility/2006" xmlns:w16cid="http://schemas.microsoft.com/office/word/2016/wordml/cid" mc:Ignorable="w16cid">
  <w16cid:commentId w16cid:paraId="00000001" w16cid:durableId="30EB7AA0"/>
  <w16cid:commentId w16cid:paraId="00000002" w16cid:durableId="18D9A91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64B2DE" w14:textId="77777777" w:rsidR="00374BD4" w:rsidRDefault="00374BD4">
      <w:r>
        <w:separator/>
      </w:r>
    </w:p>
  </w:endnote>
  <w:endnote w:type="continuationSeparator" w:id="0">
    <w:p w14:paraId="3F0A66DB" w14:textId="77777777" w:rsidR="00374BD4" w:rsidRDefault="00374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Arial Unicode MS">
    <w:altName w:val="Malgun Gothic Semilight"/>
    <w:panose1 w:val="020B0604020202020204"/>
    <w:charset w:val="86"/>
    <w:family w:val="swiss"/>
    <w:pitch w:val="variable"/>
    <w:sig w:usb0="00000000" w:usb1="E9DFFFFF" w:usb2="0000003F" w:usb3="00000000" w:csb0="003F01FF" w:csb1="00000000"/>
  </w:font>
  <w:font w:name="幼圆">
    <w:panose1 w:val="02010509060101010101"/>
    <w:charset w:val="86"/>
    <w:family w:val="modern"/>
    <w:pitch w:val="fixed"/>
    <w:sig w:usb0="00000001" w:usb1="080E0000" w:usb2="00000010" w:usb3="00000000" w:csb0="00040000" w:csb1="00000000"/>
  </w:font>
  <w:font w:name="仿宋...销.">
    <w:altName w:val="仿宋"/>
    <w:charset w:val="00"/>
    <w:family w:val="auto"/>
    <w:pitch w:val="default"/>
  </w:font>
  <w:font w:name="仿宋">
    <w:panose1 w:val="02010609060101010101"/>
    <w:charset w:val="86"/>
    <w:family w:val="modern"/>
    <w:pitch w:val="fixed"/>
    <w:sig w:usb0="800002BF" w:usb1="38CF7CFA" w:usb2="00000016" w:usb3="00000000" w:csb0="00040001" w:csb1="00000000"/>
  </w:font>
  <w:font w:name="FangSong">
    <w:altName w:val="Consola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68928" w14:textId="759C73F0" w:rsidR="00F31CD2" w:rsidRDefault="00A71D56">
    <w:pPr>
      <w:pStyle w:val="af5"/>
      <w:jc w:val="center"/>
    </w:pPr>
    <w:r>
      <w:fldChar w:fldCharType="begin"/>
    </w:r>
    <w:r>
      <w:instrText>PAGE   \* MERGEFORMAT</w:instrText>
    </w:r>
    <w:r>
      <w:fldChar w:fldCharType="separate"/>
    </w:r>
    <w:r w:rsidR="00EC723A" w:rsidRPr="00EC723A">
      <w:rPr>
        <w:noProof/>
        <w:lang w:val="zh-CN"/>
      </w:rPr>
      <w:t>95</w:t>
    </w:r>
    <w:r>
      <w:fldChar w:fldCharType="end"/>
    </w:r>
  </w:p>
  <w:p w14:paraId="41B888B1" w14:textId="77777777" w:rsidR="00F31CD2" w:rsidRDefault="00F31CD2">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6B3082" w14:textId="77777777" w:rsidR="00374BD4" w:rsidRDefault="00374BD4">
      <w:r>
        <w:separator/>
      </w:r>
    </w:p>
  </w:footnote>
  <w:footnote w:type="continuationSeparator" w:id="0">
    <w:p w14:paraId="24018C73" w14:textId="77777777" w:rsidR="00374BD4" w:rsidRDefault="00374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46F47"/>
    <w:multiLevelType w:val="hybridMultilevel"/>
    <w:tmpl w:val="8654A9A0"/>
    <w:lvl w:ilvl="0" w:tplc="F6326800">
      <w:start w:val="9"/>
      <w:numFmt w:val="decimal"/>
      <w:suff w:val="nothing"/>
      <w:lvlText w:val="%1、"/>
      <w:lvlJc w:val="left"/>
    </w:lvl>
    <w:lvl w:ilvl="1" w:tplc="5E66FB66">
      <w:start w:val="1"/>
      <w:numFmt w:val="bullet"/>
      <w:lvlText w:val="o"/>
      <w:lvlJc w:val="left"/>
      <w:pPr>
        <w:ind w:left="840" w:hanging="420"/>
      </w:pPr>
      <w:rPr>
        <w:rFonts w:ascii="Courier New" w:hAnsi="Courier New" w:cs="Courier New" w:hint="default"/>
      </w:rPr>
    </w:lvl>
    <w:lvl w:ilvl="2" w:tplc="123ABBEA">
      <w:start w:val="1"/>
      <w:numFmt w:val="bullet"/>
      <w:lvlText w:val="§"/>
      <w:lvlJc w:val="left"/>
      <w:pPr>
        <w:ind w:left="1260" w:hanging="420"/>
      </w:pPr>
      <w:rPr>
        <w:rFonts w:ascii="Wingdings" w:hAnsi="Wingdings" w:cs="Wingdings" w:hint="default"/>
      </w:rPr>
    </w:lvl>
    <w:lvl w:ilvl="3" w:tplc="B546F37C">
      <w:start w:val="1"/>
      <w:numFmt w:val="bullet"/>
      <w:lvlText w:val="·"/>
      <w:lvlJc w:val="left"/>
      <w:pPr>
        <w:ind w:left="1680" w:hanging="420"/>
      </w:pPr>
      <w:rPr>
        <w:rFonts w:ascii="Symbol" w:hAnsi="Symbol" w:cs="Symbol" w:hint="default"/>
      </w:rPr>
    </w:lvl>
    <w:lvl w:ilvl="4" w:tplc="A08A6308">
      <w:start w:val="1"/>
      <w:numFmt w:val="bullet"/>
      <w:lvlText w:val="o"/>
      <w:lvlJc w:val="left"/>
      <w:pPr>
        <w:ind w:left="2100" w:hanging="420"/>
      </w:pPr>
      <w:rPr>
        <w:rFonts w:ascii="Courier New" w:hAnsi="Courier New" w:cs="Courier New" w:hint="default"/>
      </w:rPr>
    </w:lvl>
    <w:lvl w:ilvl="5" w:tplc="C8B2D9D4">
      <w:start w:val="1"/>
      <w:numFmt w:val="bullet"/>
      <w:lvlText w:val="§"/>
      <w:lvlJc w:val="left"/>
      <w:pPr>
        <w:ind w:left="2520" w:hanging="420"/>
      </w:pPr>
      <w:rPr>
        <w:rFonts w:ascii="Wingdings" w:hAnsi="Wingdings" w:cs="Wingdings" w:hint="default"/>
      </w:rPr>
    </w:lvl>
    <w:lvl w:ilvl="6" w:tplc="26329D68">
      <w:start w:val="1"/>
      <w:numFmt w:val="bullet"/>
      <w:lvlText w:val="·"/>
      <w:lvlJc w:val="left"/>
      <w:pPr>
        <w:ind w:left="2940" w:hanging="420"/>
      </w:pPr>
      <w:rPr>
        <w:rFonts w:ascii="Symbol" w:hAnsi="Symbol" w:cs="Symbol" w:hint="default"/>
      </w:rPr>
    </w:lvl>
    <w:lvl w:ilvl="7" w:tplc="3D485BA0">
      <w:start w:val="1"/>
      <w:numFmt w:val="bullet"/>
      <w:lvlText w:val="o"/>
      <w:lvlJc w:val="left"/>
      <w:pPr>
        <w:ind w:left="3360" w:hanging="420"/>
      </w:pPr>
      <w:rPr>
        <w:rFonts w:ascii="Courier New" w:hAnsi="Courier New" w:cs="Courier New" w:hint="default"/>
      </w:rPr>
    </w:lvl>
    <w:lvl w:ilvl="8" w:tplc="95DCBC1E">
      <w:start w:val="1"/>
      <w:numFmt w:val="bullet"/>
      <w:lvlText w:val="§"/>
      <w:lvlJc w:val="left"/>
      <w:pPr>
        <w:ind w:left="3780" w:hanging="420"/>
      </w:pPr>
      <w:rPr>
        <w:rFonts w:ascii="Wingdings" w:hAnsi="Wingdings" w:cs="Wingdings" w:hint="default"/>
      </w:rPr>
    </w:lvl>
  </w:abstractNum>
  <w:abstractNum w:abstractNumId="1" w15:restartNumberingAfterBreak="0">
    <w:nsid w:val="1EDE68E3"/>
    <w:multiLevelType w:val="hybridMultilevel"/>
    <w:tmpl w:val="1602A736"/>
    <w:lvl w:ilvl="0" w:tplc="422053AE">
      <w:start w:val="1"/>
      <w:numFmt w:val="decimal"/>
      <w:lvlText w:val="%1、"/>
      <w:lvlJc w:val="left"/>
      <w:pPr>
        <w:tabs>
          <w:tab w:val="left" w:pos="454"/>
        </w:tabs>
        <w:ind w:left="0" w:firstLine="454"/>
      </w:pPr>
      <w:rPr>
        <w:rFonts w:ascii="Times New Roman" w:eastAsia="宋体" w:hAnsi="Times New Roman"/>
        <w:b w:val="0"/>
        <w:i w:val="0"/>
        <w:sz w:val="24"/>
      </w:rPr>
    </w:lvl>
    <w:lvl w:ilvl="1" w:tplc="AE3EED6C">
      <w:start w:val="1"/>
      <w:numFmt w:val="decimal"/>
      <w:lvlText w:val="（%2）"/>
      <w:lvlJc w:val="left"/>
      <w:pPr>
        <w:tabs>
          <w:tab w:val="left" w:pos="386"/>
        </w:tabs>
        <w:ind w:left="0" w:firstLine="454"/>
      </w:pPr>
      <w:rPr>
        <w:rFonts w:ascii="宋体" w:eastAsia="宋体" w:hAnsi="Times New Roman"/>
        <w:b w:val="0"/>
        <w:i w:val="0"/>
        <w:sz w:val="24"/>
      </w:rPr>
    </w:lvl>
    <w:lvl w:ilvl="2" w:tplc="07ACCC08">
      <w:start w:val="1"/>
      <w:numFmt w:val="decimal"/>
      <w:pStyle w:val="3"/>
      <w:lvlText w:val="（%3）"/>
      <w:lvlJc w:val="left"/>
      <w:pPr>
        <w:tabs>
          <w:tab w:val="left" w:pos="454"/>
        </w:tabs>
        <w:ind w:left="0" w:firstLine="454"/>
      </w:pPr>
      <w:rPr>
        <w:rFonts w:ascii="Times New Roman" w:eastAsia="宋体" w:hAnsi="Times New Roman"/>
        <w:b w:val="0"/>
        <w:i w:val="0"/>
        <w:sz w:val="24"/>
        <w:lang w:val="en-US"/>
      </w:rPr>
    </w:lvl>
    <w:lvl w:ilvl="3" w:tplc="CC1E494E">
      <w:start w:val="1"/>
      <w:numFmt w:val="decimal"/>
      <w:pStyle w:val="4"/>
      <w:lvlText w:val="%4."/>
      <w:lvlJc w:val="left"/>
      <w:pPr>
        <w:tabs>
          <w:tab w:val="left" w:pos="2880"/>
        </w:tabs>
        <w:ind w:left="2880" w:hanging="360"/>
      </w:pPr>
    </w:lvl>
    <w:lvl w:ilvl="4" w:tplc="937EC0D6">
      <w:start w:val="1"/>
      <w:numFmt w:val="decimal"/>
      <w:pStyle w:val="5"/>
      <w:lvlText w:val="%5."/>
      <w:lvlJc w:val="left"/>
      <w:pPr>
        <w:tabs>
          <w:tab w:val="left" w:pos="3600"/>
        </w:tabs>
        <w:ind w:left="3600" w:hanging="360"/>
      </w:pPr>
    </w:lvl>
    <w:lvl w:ilvl="5" w:tplc="6D90C302">
      <w:start w:val="1"/>
      <w:numFmt w:val="decimal"/>
      <w:pStyle w:val="6"/>
      <w:lvlText w:val="%6."/>
      <w:lvlJc w:val="left"/>
      <w:pPr>
        <w:tabs>
          <w:tab w:val="left" w:pos="4320"/>
        </w:tabs>
        <w:ind w:left="4320" w:hanging="360"/>
      </w:pPr>
    </w:lvl>
    <w:lvl w:ilvl="6" w:tplc="B062534A">
      <w:start w:val="1"/>
      <w:numFmt w:val="decimal"/>
      <w:pStyle w:val="7"/>
      <w:lvlText w:val="%7."/>
      <w:lvlJc w:val="left"/>
      <w:pPr>
        <w:tabs>
          <w:tab w:val="left" w:pos="5040"/>
        </w:tabs>
        <w:ind w:left="5040" w:hanging="360"/>
      </w:pPr>
    </w:lvl>
    <w:lvl w:ilvl="7" w:tplc="8FA638A6">
      <w:start w:val="1"/>
      <w:numFmt w:val="decimal"/>
      <w:pStyle w:val="8"/>
      <w:lvlText w:val="%8."/>
      <w:lvlJc w:val="left"/>
      <w:pPr>
        <w:tabs>
          <w:tab w:val="left" w:pos="5760"/>
        </w:tabs>
        <w:ind w:left="5760" w:hanging="360"/>
      </w:pPr>
    </w:lvl>
    <w:lvl w:ilvl="8" w:tplc="8F0EB7EA">
      <w:start w:val="1"/>
      <w:numFmt w:val="decimal"/>
      <w:pStyle w:val="9"/>
      <w:lvlText w:val="%9."/>
      <w:lvlJc w:val="left"/>
      <w:pPr>
        <w:tabs>
          <w:tab w:val="left" w:pos="6480"/>
        </w:tabs>
        <w:ind w:left="6480" w:hanging="360"/>
      </w:pPr>
    </w:lvl>
  </w:abstractNum>
  <w:abstractNum w:abstractNumId="2" w15:restartNumberingAfterBreak="0">
    <w:nsid w:val="38F267DB"/>
    <w:multiLevelType w:val="hybridMultilevel"/>
    <w:tmpl w:val="1B12D4BC"/>
    <w:lvl w:ilvl="0" w:tplc="B0A89340">
      <w:start w:val="1"/>
      <w:numFmt w:val="decimal"/>
      <w:lvlText w:val="%1)"/>
      <w:lvlJc w:val="left"/>
      <w:pPr>
        <w:tabs>
          <w:tab w:val="left" w:pos="-840"/>
        </w:tabs>
        <w:ind w:left="60" w:hanging="420"/>
      </w:pPr>
    </w:lvl>
    <w:lvl w:ilvl="1" w:tplc="6AD04E9C">
      <w:start w:val="1"/>
      <w:numFmt w:val="lowerLetter"/>
      <w:lvlText w:val="%2)"/>
      <w:lvlJc w:val="left"/>
      <w:pPr>
        <w:tabs>
          <w:tab w:val="left" w:pos="-840"/>
        </w:tabs>
        <w:ind w:left="480" w:hanging="420"/>
      </w:pPr>
    </w:lvl>
    <w:lvl w:ilvl="2" w:tplc="466E4248">
      <w:start w:val="1"/>
      <w:numFmt w:val="lowerRoman"/>
      <w:lvlText w:val="%3."/>
      <w:lvlJc w:val="right"/>
      <w:pPr>
        <w:tabs>
          <w:tab w:val="left" w:pos="-840"/>
        </w:tabs>
        <w:ind w:left="900" w:hanging="420"/>
      </w:pPr>
    </w:lvl>
    <w:lvl w:ilvl="3" w:tplc="42D09E7E">
      <w:start w:val="1"/>
      <w:numFmt w:val="decimal"/>
      <w:lvlText w:val="%4."/>
      <w:lvlJc w:val="left"/>
      <w:pPr>
        <w:tabs>
          <w:tab w:val="left" w:pos="-840"/>
        </w:tabs>
        <w:ind w:left="1320" w:hanging="420"/>
      </w:pPr>
    </w:lvl>
    <w:lvl w:ilvl="4" w:tplc="D752E2C0">
      <w:start w:val="1"/>
      <w:numFmt w:val="lowerLetter"/>
      <w:lvlText w:val="%5)"/>
      <w:lvlJc w:val="left"/>
      <w:pPr>
        <w:tabs>
          <w:tab w:val="left" w:pos="-840"/>
        </w:tabs>
        <w:ind w:left="1740" w:hanging="420"/>
      </w:pPr>
    </w:lvl>
    <w:lvl w:ilvl="5" w:tplc="71FA0D38">
      <w:start w:val="1"/>
      <w:numFmt w:val="lowerRoman"/>
      <w:lvlText w:val="%6."/>
      <w:lvlJc w:val="right"/>
      <w:pPr>
        <w:tabs>
          <w:tab w:val="left" w:pos="-840"/>
        </w:tabs>
        <w:ind w:left="2160" w:hanging="420"/>
      </w:pPr>
    </w:lvl>
    <w:lvl w:ilvl="6" w:tplc="7DD4CB78">
      <w:start w:val="1"/>
      <w:numFmt w:val="decimal"/>
      <w:lvlText w:val="%7."/>
      <w:lvlJc w:val="left"/>
      <w:pPr>
        <w:tabs>
          <w:tab w:val="left" w:pos="-840"/>
        </w:tabs>
        <w:ind w:left="2580" w:hanging="420"/>
      </w:pPr>
    </w:lvl>
    <w:lvl w:ilvl="7" w:tplc="6E60BC82">
      <w:start w:val="1"/>
      <w:numFmt w:val="lowerLetter"/>
      <w:lvlText w:val="%8)"/>
      <w:lvlJc w:val="left"/>
      <w:pPr>
        <w:tabs>
          <w:tab w:val="left" w:pos="-840"/>
        </w:tabs>
        <w:ind w:left="3000" w:hanging="420"/>
      </w:pPr>
    </w:lvl>
    <w:lvl w:ilvl="8" w:tplc="53C66E1A">
      <w:start w:val="1"/>
      <w:numFmt w:val="lowerRoman"/>
      <w:lvlText w:val="%9."/>
      <w:lvlJc w:val="right"/>
      <w:pPr>
        <w:tabs>
          <w:tab w:val="left" w:pos="-840"/>
        </w:tabs>
        <w:ind w:left="34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CD2"/>
    <w:rsid w:val="000F7132"/>
    <w:rsid w:val="00176331"/>
    <w:rsid w:val="003312AC"/>
    <w:rsid w:val="00374BD4"/>
    <w:rsid w:val="00443F9C"/>
    <w:rsid w:val="004D21EB"/>
    <w:rsid w:val="0059014D"/>
    <w:rsid w:val="00825C5A"/>
    <w:rsid w:val="00A61908"/>
    <w:rsid w:val="00A71D56"/>
    <w:rsid w:val="00AD0741"/>
    <w:rsid w:val="00BF1203"/>
    <w:rsid w:val="00C02D55"/>
    <w:rsid w:val="00D304D3"/>
    <w:rsid w:val="00EC723A"/>
    <w:rsid w:val="00F31CD2"/>
    <w:rsid w:val="00FB03DC"/>
    <w:rsid w:val="00FF3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98DD1"/>
  <w15:docId w15:val="{20CFC1CF-27CA-4887-AEF0-3056D989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mbria" w:cs="Calibri"/>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3"/>
    <w:qFormat/>
    <w:rsid w:val="004D21EB"/>
    <w:rPr>
      <w:rFonts w:ascii="Arial" w:hAnsi="Arial" w:cs="Arial"/>
      <w:sz w:val="22"/>
      <w:lang w:eastAsia="en-US"/>
    </w:rPr>
  </w:style>
  <w:style w:type="paragraph" w:styleId="1">
    <w:name w:val="heading 1"/>
    <w:basedOn w:val="a"/>
    <w:next w:val="a"/>
    <w:link w:val="10"/>
    <w:qFormat/>
    <w:pPr>
      <w:keepNext/>
      <w:keepLines/>
      <w:spacing w:before="340" w:after="330" w:line="576" w:lineRule="auto"/>
      <w:outlineLvl w:val="0"/>
    </w:pPr>
    <w:rPr>
      <w:b/>
      <w:bCs/>
      <w:sz w:val="44"/>
      <w:szCs w:val="44"/>
    </w:rPr>
  </w:style>
  <w:style w:type="paragraph" w:styleId="2">
    <w:name w:val="heading 2"/>
    <w:basedOn w:val="a"/>
    <w:next w:val="a"/>
    <w:link w:val="20"/>
    <w:qFormat/>
    <w:pPr>
      <w:keepNext/>
      <w:keepLines/>
      <w:spacing w:before="260" w:after="260" w:line="410" w:lineRule="auto"/>
      <w:outlineLvl w:val="1"/>
    </w:pPr>
    <w:rPr>
      <w:rFonts w:eastAsia="黑体"/>
      <w:sz w:val="32"/>
      <w:szCs w:val="32"/>
    </w:rPr>
  </w:style>
  <w:style w:type="paragraph" w:styleId="3">
    <w:name w:val="heading 3"/>
    <w:basedOn w:val="a"/>
    <w:next w:val="a"/>
    <w:link w:val="30"/>
    <w:qFormat/>
    <w:pPr>
      <w:keepNext/>
      <w:keepLines/>
      <w:numPr>
        <w:ilvl w:val="2"/>
        <w:numId w:val="1"/>
      </w:numPr>
      <w:spacing w:before="260" w:after="260" w:line="412" w:lineRule="auto"/>
      <w:outlineLvl w:val="2"/>
    </w:pPr>
    <w:rPr>
      <w:rFonts w:ascii="Times New Roman" w:hAnsi="Times New Roman"/>
      <w:b/>
      <w:bCs/>
      <w:sz w:val="32"/>
      <w:szCs w:val="32"/>
    </w:rPr>
  </w:style>
  <w:style w:type="paragraph" w:styleId="4">
    <w:name w:val="heading 4"/>
    <w:basedOn w:val="a"/>
    <w:next w:val="a"/>
    <w:link w:val="40"/>
    <w:qFormat/>
    <w:pPr>
      <w:keepNext/>
      <w:keepLines/>
      <w:numPr>
        <w:ilvl w:val="3"/>
        <w:numId w:val="1"/>
      </w:numPr>
      <w:tabs>
        <w:tab w:val="left" w:pos="454"/>
      </w:tabs>
      <w:spacing w:before="280" w:after="290" w:line="372" w:lineRule="auto"/>
      <w:outlineLvl w:val="3"/>
    </w:pPr>
    <w:rPr>
      <w:rFonts w:eastAsia="黑体"/>
      <w:b/>
      <w:bCs/>
      <w:sz w:val="28"/>
      <w:szCs w:val="28"/>
    </w:rPr>
  </w:style>
  <w:style w:type="paragraph" w:styleId="5">
    <w:name w:val="heading 5"/>
    <w:basedOn w:val="a"/>
    <w:next w:val="a"/>
    <w:link w:val="50"/>
    <w:qFormat/>
    <w:pPr>
      <w:keepNext/>
      <w:keepLines/>
      <w:numPr>
        <w:ilvl w:val="4"/>
        <w:numId w:val="1"/>
      </w:numPr>
      <w:tabs>
        <w:tab w:val="left" w:pos="454"/>
      </w:tabs>
      <w:spacing w:before="280" w:after="290" w:line="372" w:lineRule="auto"/>
      <w:outlineLvl w:val="4"/>
    </w:pPr>
    <w:rPr>
      <w:rFonts w:ascii="Times New Roman" w:hAnsi="Times New Roman"/>
      <w:b/>
      <w:bCs/>
      <w:sz w:val="28"/>
      <w:szCs w:val="28"/>
    </w:rPr>
  </w:style>
  <w:style w:type="paragraph" w:styleId="6">
    <w:name w:val="heading 6"/>
    <w:basedOn w:val="a"/>
    <w:next w:val="a"/>
    <w:link w:val="60"/>
    <w:qFormat/>
    <w:pPr>
      <w:keepNext/>
      <w:keepLines/>
      <w:numPr>
        <w:ilvl w:val="5"/>
        <w:numId w:val="1"/>
      </w:numPr>
      <w:tabs>
        <w:tab w:val="left" w:pos="454"/>
      </w:tabs>
      <w:spacing w:before="240" w:after="64" w:line="316" w:lineRule="auto"/>
      <w:outlineLvl w:val="5"/>
    </w:pPr>
    <w:rPr>
      <w:rFonts w:eastAsia="黑体"/>
      <w:b/>
      <w:bCs/>
      <w:sz w:val="24"/>
      <w:szCs w:val="24"/>
    </w:rPr>
  </w:style>
  <w:style w:type="paragraph" w:styleId="7">
    <w:name w:val="heading 7"/>
    <w:basedOn w:val="a"/>
    <w:next w:val="a"/>
    <w:link w:val="70"/>
    <w:qFormat/>
    <w:pPr>
      <w:keepNext/>
      <w:keepLines/>
      <w:numPr>
        <w:ilvl w:val="6"/>
        <w:numId w:val="1"/>
      </w:numPr>
      <w:tabs>
        <w:tab w:val="left" w:pos="454"/>
      </w:tabs>
      <w:spacing w:before="240" w:after="64" w:line="316" w:lineRule="auto"/>
      <w:outlineLvl w:val="6"/>
    </w:pPr>
    <w:rPr>
      <w:rFonts w:ascii="Times New Roman" w:hAnsi="Times New Roman"/>
      <w:b/>
      <w:bCs/>
      <w:sz w:val="24"/>
      <w:szCs w:val="24"/>
    </w:rPr>
  </w:style>
  <w:style w:type="paragraph" w:styleId="8">
    <w:name w:val="heading 8"/>
    <w:basedOn w:val="a"/>
    <w:next w:val="a"/>
    <w:link w:val="80"/>
    <w:qFormat/>
    <w:pPr>
      <w:keepNext/>
      <w:keepLines/>
      <w:numPr>
        <w:ilvl w:val="7"/>
        <w:numId w:val="1"/>
      </w:numPr>
      <w:tabs>
        <w:tab w:val="left" w:pos="454"/>
      </w:tabs>
      <w:spacing w:before="240" w:after="64" w:line="316" w:lineRule="auto"/>
      <w:outlineLvl w:val="7"/>
    </w:pPr>
    <w:rPr>
      <w:rFonts w:eastAsia="黑体"/>
      <w:sz w:val="24"/>
      <w:szCs w:val="24"/>
    </w:rPr>
  </w:style>
  <w:style w:type="paragraph" w:styleId="9">
    <w:name w:val="heading 9"/>
    <w:basedOn w:val="a"/>
    <w:next w:val="a"/>
    <w:link w:val="90"/>
    <w:qFormat/>
    <w:pPr>
      <w:keepNext/>
      <w:keepLines/>
      <w:numPr>
        <w:ilvl w:val="8"/>
        <w:numId w:val="1"/>
      </w:numPr>
      <w:tabs>
        <w:tab w:val="left" w:pos="454"/>
      </w:tabs>
      <w:spacing w:before="240" w:after="64" w:line="316" w:lineRule="auto"/>
      <w:outlineLvl w:val="8"/>
    </w:pPr>
    <w:rPr>
      <w:rFonts w:eastAsia="黑体"/>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pPr>
        <w:snapToGrid/>
      </w:pPr>
      <w:rPr>
        <w:rFonts w:ascii="Arial" w:hAnsi="Arial"/>
        <w:b/>
        <w:color w:val="404040"/>
        <w:sz w:val="22"/>
      </w:rPr>
    </w:tblStylePr>
    <w:tblStylePr w:type="lastRow">
      <w:pPr>
        <w:snapToGrid/>
      </w:pPr>
      <w:rPr>
        <w:rFonts w:ascii="Arial" w:hAnsi="Arial"/>
        <w:b/>
        <w:color w:val="404040"/>
        <w:sz w:val="22"/>
      </w:r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tblPr/>
      <w:tcPr>
        <w:shd w:val="clear" w:color="auto" w:fill="F2F2F2" w:themeFill="text1" w:themeFillTint="0D"/>
      </w:tcPr>
    </w:tblStylePr>
    <w:tblStylePr w:type="band2Vert">
      <w:pPr>
        <w:snapToGrid/>
      </w:pPr>
    </w:tblStylePr>
    <w:tblStylePr w:type="band1Horz">
      <w:pPr>
        <w:snapToGrid/>
      </w:pPr>
      <w:tblPr/>
      <w:tcPr>
        <w:shd w:val="clear" w:color="auto" w:fill="F2F2F2" w:themeFill="text1" w:themeFillTint="0D"/>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pPr>
        <w:snapToGrid/>
      </w:pPr>
      <w:rPr>
        <w:rFonts w:ascii="Arial" w:hAnsi="Arial"/>
        <w:b/>
        <w:color w:val="404040"/>
        <w:sz w:val="22"/>
      </w:rPr>
      <w:tblPr/>
      <w:tcPr>
        <w:tcBorders>
          <w:top w:val="single" w:sz="4" w:space="0" w:color="000000" w:themeColor="text1"/>
          <w:bottom w:val="single" w:sz="4" w:space="0" w:color="000000" w:themeColor="text1"/>
        </w:tcBorders>
      </w:tcPr>
    </w:tblStylePr>
    <w:tblStylePr w:type="lastRow">
      <w:pPr>
        <w:snapToGrid/>
      </w:pPr>
      <w:rPr>
        <w:rFonts w:ascii="Arial" w:hAnsi="Arial"/>
        <w:b/>
        <w:color w:val="404040"/>
        <w:sz w:val="22"/>
      </w:r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tblPr/>
      <w:tcPr>
        <w:tcBorders>
          <w:left w:val="single" w:sz="4" w:space="0" w:color="000000" w:themeColor="text1"/>
          <w:right w:val="single" w:sz="4" w:space="0" w:color="000000" w:themeColor="text1"/>
        </w:tcBorders>
      </w:tcPr>
    </w:tblStylePr>
    <w:tblStylePr w:type="band2Vert">
      <w:pPr>
        <w:snapToGrid/>
      </w:pPr>
      <w:tblPr/>
      <w:tcPr>
        <w:tcBorders>
          <w:left w:val="single" w:sz="4" w:space="0" w:color="000000" w:themeColor="text1"/>
          <w:right w:val="single" w:sz="4" w:space="0" w:color="000000" w:themeColor="text1"/>
        </w:tcBorders>
      </w:tcPr>
    </w:tblStylePr>
    <w:tblStylePr w:type="band1Horz">
      <w:pPr>
        <w:snapToGrid/>
      </w:pPr>
      <w:tblPr/>
      <w:tcPr>
        <w:tcBorders>
          <w:top w:val="single" w:sz="4" w:space="0" w:color="000000" w:themeColor="text1"/>
          <w:bottom w:val="single" w:sz="4" w:space="0" w:color="000000" w:themeColor="text1"/>
        </w:tcBorders>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31">
    <w:name w:val="Plain Table 3"/>
    <w:basedOn w:val="a1"/>
    <w:uiPriority w:val="99"/>
    <w:tblPr>
      <w:tblStyleRowBandSize w:val="1"/>
      <w:tblStyleColBandSize w:val="1"/>
    </w:tblPr>
    <w:tblStylePr w:type="firstRow">
      <w:pPr>
        <w:snapToGrid/>
      </w:pPr>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pPr>
        <w:snapToGrid/>
      </w:pPr>
      <w:rPr>
        <w:b/>
        <w:caps/>
        <w:color w:val="404040"/>
      </w:rPr>
    </w:tblStylePr>
    <w:tblStylePr w:type="firstCol">
      <w:pPr>
        <w:snapToGrid/>
      </w:pPr>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pPr>
        <w:snapToGrid/>
      </w:pPr>
      <w:rPr>
        <w:b/>
        <w:caps/>
        <w:color w:val="404040"/>
      </w:rPr>
    </w:tblStylePr>
    <w:tblStylePr w:type="band1Vert">
      <w:pPr>
        <w:snapToGrid/>
      </w:pPr>
      <w:rPr>
        <w:rFonts w:ascii="Arial" w:hAnsi="Arial"/>
        <w:color w:val="404040"/>
        <w:sz w:val="22"/>
      </w:rPr>
      <w:tblPr/>
      <w:tcPr>
        <w:shd w:val="clear" w:color="auto" w:fill="F2F2F2" w:themeFill="text1" w:themeFillTint="0D"/>
      </w:tcPr>
    </w:tblStylePr>
    <w:tblStylePr w:type="band2Vert">
      <w:pPr>
        <w:snapToGrid/>
      </w:pPr>
    </w:tblStylePr>
    <w:tblStylePr w:type="band1Horz">
      <w:pPr>
        <w:snapToGrid/>
      </w:pPr>
      <w:rPr>
        <w:rFonts w:ascii="Arial" w:hAnsi="Arial"/>
        <w:color w:val="404040"/>
        <w:sz w:val="22"/>
      </w:rPr>
      <w:tblPr/>
      <w:tcPr>
        <w:shd w:val="clear" w:color="auto" w:fill="F2F2F2" w:themeFill="text1" w:themeFillTint="0D"/>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41">
    <w:name w:val="Plain Table 4"/>
    <w:basedOn w:val="a1"/>
    <w:uiPriority w:val="99"/>
    <w:tblPr>
      <w:tblStyleRowBandSize w:val="1"/>
      <w:tblStyleColBandSize w:val="1"/>
    </w:tblPr>
    <w:tblStylePr w:type="firstRow">
      <w:pPr>
        <w:snapToGrid/>
      </w:pPr>
      <w:rPr>
        <w:b/>
        <w:color w:val="404040"/>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Pr/>
      <w:tcPr>
        <w:shd w:val="clear" w:color="auto" w:fill="F2F2F2" w:themeFill="text1" w:themeFillTint="0D"/>
      </w:tcPr>
    </w:tblStylePr>
    <w:tblStylePr w:type="band2Vert">
      <w:pPr>
        <w:snapToGrid/>
      </w:pPr>
    </w:tblStylePr>
    <w:tblStylePr w:type="band1Horz">
      <w:pPr>
        <w:snapToGrid/>
      </w:pPr>
      <w:rPr>
        <w:rFonts w:ascii="Arial" w:hAnsi="Arial"/>
        <w:color w:val="404040"/>
        <w:sz w:val="22"/>
      </w:rPr>
      <w:tblPr/>
      <w:tcPr>
        <w:shd w:val="clear" w:color="auto" w:fill="F2F2F2" w:themeFill="text1" w:themeFillTint="0D"/>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51">
    <w:name w:val="Plain Table 5"/>
    <w:basedOn w:val="a1"/>
    <w:uiPriority w:val="99"/>
    <w:tblPr>
      <w:tblStyleRowBandSize w:val="1"/>
      <w:tblStyleColBandSize w:val="1"/>
    </w:tblPr>
    <w:tblStylePr w:type="firstRow">
      <w:pPr>
        <w:snapToGrid/>
      </w:pPr>
      <w:rPr>
        <w:i/>
        <w:color w:val="404040"/>
      </w:rPr>
      <w:tblPr/>
      <w:tcPr>
        <w:tcBorders>
          <w:left w:val="none" w:sz="4" w:space="0" w:color="000000"/>
          <w:bottom w:val="single" w:sz="4" w:space="0" w:color="404040"/>
          <w:right w:val="none" w:sz="4" w:space="0" w:color="000000"/>
        </w:tcBorders>
        <w:shd w:val="clear" w:color="auto" w:fill="FFFFFF"/>
      </w:tcPr>
    </w:tblStylePr>
    <w:tblStylePr w:type="lastRow">
      <w:pPr>
        <w:snapToGrid/>
      </w:pPr>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snapToGrid/>
        <w:jc w:val="right"/>
      </w:pPr>
      <w:rPr>
        <w:i/>
        <w:color w:val="404040"/>
      </w:rPr>
      <w:tblPr/>
      <w:tcPr>
        <w:tcBorders>
          <w:right w:val="single" w:sz="4" w:space="0" w:color="404040"/>
        </w:tcBorders>
        <w:shd w:val="clear" w:color="auto" w:fill="FFFFFF"/>
      </w:tcPr>
    </w:tblStylePr>
    <w:tblStylePr w:type="lastCol">
      <w:pPr>
        <w:snapToGrid/>
      </w:pPr>
      <w:rPr>
        <w:i/>
        <w:color w:val="404040"/>
      </w:rPr>
      <w:tblPr/>
      <w:tcPr>
        <w:tcBorders>
          <w:left w:val="single" w:sz="4" w:space="0" w:color="404040"/>
        </w:tcBorders>
        <w:shd w:val="clear" w:color="auto" w:fill="FFFFFF"/>
      </w:tcPr>
    </w:tblStylePr>
    <w:tblStylePr w:type="band1Vert">
      <w:pPr>
        <w:snapToGrid/>
      </w:pPr>
      <w:rPr>
        <w:rFonts w:ascii="Arial" w:hAnsi="Arial"/>
        <w:color w:val="404040"/>
        <w:sz w:val="22"/>
      </w:rPr>
      <w:tblPr/>
      <w:tcPr>
        <w:shd w:val="clear" w:color="auto" w:fill="F2F2F2" w:themeFill="text1" w:themeFillTint="0D"/>
      </w:tcPr>
    </w:tblStylePr>
    <w:tblStylePr w:type="band2Vert">
      <w:pPr>
        <w:snapToGrid/>
      </w:pPr>
    </w:tblStylePr>
    <w:tblStylePr w:type="band1Horz">
      <w:pPr>
        <w:snapToGrid/>
      </w:pPr>
      <w:rPr>
        <w:rFonts w:ascii="Arial" w:hAnsi="Arial"/>
        <w:color w:val="404040"/>
        <w:sz w:val="22"/>
      </w:rPr>
      <w:tblPr/>
      <w:tcPr>
        <w:shd w:val="clear" w:color="auto" w:fill="F2F2F2" w:themeFill="text1" w:themeFillTint="0D"/>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pPr>
        <w:snapToGrid/>
      </w:pPr>
      <w:rPr>
        <w:b/>
        <w:color w:val="404040"/>
      </w:rPr>
      <w:tblPr/>
      <w:tcPr>
        <w:tcBorders>
          <w:bottom w:val="single" w:sz="12" w:space="0" w:color="6A6A6A" w:themeColor="text1" w:themeTint="95"/>
        </w:tcBorders>
      </w:tc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tblStylePr>
    <w:tblStylePr w:type="band2Vert">
      <w:pPr>
        <w:snapToGrid/>
      </w:pPr>
    </w:tblStylePr>
    <w:tblStylePr w:type="band1Horz">
      <w:pPr>
        <w:snapToGrid/>
      </w:pPr>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pPr>
        <w:snapToGrid/>
      </w:pPr>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pPr>
        <w:snapToGrid/>
      </w:pPr>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Pr/>
      <w:tcPr>
        <w:shd w:val="clear" w:color="auto" w:fill="CBCBCB" w:themeFill="text1" w:themeFillTint="34"/>
      </w:tcPr>
    </w:tblStylePr>
    <w:tblStylePr w:type="band2Vert">
      <w:pPr>
        <w:snapToGrid/>
      </w:pPr>
    </w:tblStylePr>
    <w:tblStylePr w:type="band1Horz">
      <w:pPr>
        <w:snapToGrid/>
      </w:pPr>
      <w:rPr>
        <w:rFonts w:ascii="Arial" w:hAnsi="Arial"/>
        <w:color w:val="404040"/>
        <w:sz w:val="22"/>
      </w:rPr>
      <w:tblPr/>
      <w:tcPr>
        <w:shd w:val="clear" w:color="auto" w:fill="CBCBCB" w:themeFill="text1" w:themeFillTint="34"/>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pPr>
        <w:snapToGrid/>
      </w:pPr>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pPr>
        <w:snapToGrid/>
      </w:pPr>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snapToGrid/>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pPr>
        <w:snapToGrid/>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pPr>
        <w:snapToGrid/>
      </w:pPr>
      <w:rPr>
        <w:rFonts w:ascii="Arial" w:hAnsi="Arial"/>
        <w:color w:val="404040"/>
        <w:sz w:val="22"/>
      </w:rPr>
      <w:tblPr/>
      <w:tcPr>
        <w:shd w:val="clear" w:color="auto" w:fill="CBCBCB" w:themeFill="text1" w:themeFillTint="34"/>
      </w:tcPr>
    </w:tblStylePr>
    <w:tblStylePr w:type="band2Vert">
      <w:pPr>
        <w:snapToGrid/>
      </w:pPr>
    </w:tblStylePr>
    <w:tblStylePr w:type="band1Horz">
      <w:pPr>
        <w:snapToGrid/>
      </w:pPr>
      <w:rPr>
        <w:rFonts w:ascii="Arial" w:hAnsi="Arial"/>
        <w:color w:val="404040"/>
        <w:sz w:val="22"/>
      </w:rPr>
      <w:tblPr/>
      <w:tcPr>
        <w:shd w:val="clear" w:color="auto" w:fill="CBCBCB" w:themeFill="text1" w:themeFillTint="34"/>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pPr>
        <w:snapToGrid/>
      </w:pPr>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pPr>
        <w:snapToGrid/>
      </w:pPr>
      <w:rPr>
        <w:b/>
        <w:color w:val="404040"/>
      </w:rPr>
      <w:tblPr/>
      <w:tcPr>
        <w:tcBorders>
          <w:top w:val="single" w:sz="4" w:space="0" w:color="000000" w:themeColor="text1"/>
        </w:tcBorders>
      </w:tc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Pr/>
      <w:tcPr>
        <w:shd w:val="clear" w:color="auto" w:fill="CBCBCB" w:themeFill="text1" w:themeFillTint="34"/>
      </w:tcPr>
    </w:tblStylePr>
    <w:tblStylePr w:type="band2Vert">
      <w:pPr>
        <w:snapToGrid/>
      </w:pPr>
    </w:tblStylePr>
    <w:tblStylePr w:type="band1Horz">
      <w:pPr>
        <w:snapToGrid/>
      </w:pPr>
      <w:rPr>
        <w:rFonts w:ascii="Arial" w:hAnsi="Arial"/>
        <w:color w:val="404040"/>
        <w:sz w:val="22"/>
      </w:rPr>
      <w:tblPr/>
      <w:tcPr>
        <w:shd w:val="clear" w:color="auto" w:fill="CBCBCB" w:themeFill="text1" w:themeFillTint="34"/>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pPr>
        <w:snapToGrid/>
      </w:pPr>
      <w:rPr>
        <w:rFonts w:ascii="Arial" w:hAnsi="Arial"/>
        <w:b/>
        <w:color w:val="FFFFFF"/>
        <w:sz w:val="22"/>
      </w:rPr>
      <w:tblPr/>
      <w:tcPr>
        <w:shd w:val="clear" w:color="auto" w:fill="000000" w:themeFill="text1"/>
      </w:tcPr>
    </w:tblStylePr>
    <w:tblStylePr w:type="lastRow">
      <w:pPr>
        <w:snapToGrid/>
      </w:pPr>
      <w:rPr>
        <w:rFonts w:ascii="Arial" w:hAnsi="Arial"/>
        <w:b/>
        <w:color w:val="FFFFFF"/>
        <w:sz w:val="22"/>
      </w:rPr>
      <w:tblPr/>
      <w:tcPr>
        <w:tcBorders>
          <w:top w:val="single" w:sz="4" w:space="0" w:color="FFFFFF" w:themeColor="light1"/>
        </w:tcBorders>
        <w:shd w:val="clear" w:color="auto" w:fill="000000" w:themeFill="text1"/>
      </w:tcPr>
    </w:tblStylePr>
    <w:tblStylePr w:type="firstCol">
      <w:pPr>
        <w:snapToGrid/>
      </w:pPr>
      <w:rPr>
        <w:rFonts w:ascii="Arial" w:hAnsi="Arial"/>
        <w:b/>
        <w:color w:val="FFFFFF"/>
        <w:sz w:val="22"/>
      </w:rPr>
      <w:tblPr/>
      <w:tcPr>
        <w:shd w:val="clear" w:color="auto" w:fill="000000" w:themeFill="text1"/>
      </w:tcPr>
    </w:tblStylePr>
    <w:tblStylePr w:type="lastCol">
      <w:pPr>
        <w:snapToGrid/>
      </w:pPr>
      <w:rPr>
        <w:rFonts w:ascii="Arial" w:hAnsi="Arial"/>
        <w:b/>
        <w:color w:val="FFFFFF"/>
        <w:sz w:val="22"/>
      </w:rPr>
      <w:tblPr/>
      <w:tcPr>
        <w:shd w:val="clear" w:color="auto" w:fill="000000" w:themeFill="text1"/>
      </w:tcPr>
    </w:tblStylePr>
    <w:tblStylePr w:type="band1Vert">
      <w:pPr>
        <w:snapToGrid/>
      </w:pPr>
      <w:tblPr/>
      <w:tcPr>
        <w:shd w:val="clear" w:color="auto" w:fill="8A8A8A" w:themeFill="text1" w:themeFillTint="75"/>
      </w:tcPr>
    </w:tblStylePr>
    <w:tblStylePr w:type="band2Vert">
      <w:pPr>
        <w:snapToGrid/>
      </w:pPr>
    </w:tblStylePr>
    <w:tblStylePr w:type="band1Horz">
      <w:pPr>
        <w:snapToGrid/>
      </w:pPr>
      <w:tblPr/>
      <w:tcPr>
        <w:shd w:val="clear" w:color="auto" w:fill="8A8A8A" w:themeFill="text1" w:themeFillTint="75"/>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snapToGrid/>
      </w:pPr>
      <w:rPr>
        <w:b/>
        <w:color w:val="7F7F7F" w:themeColor="text1" w:themeTint="80" w:themeShade="95"/>
      </w:rPr>
      <w:tblPr/>
      <w:tcPr>
        <w:tcBorders>
          <w:bottom w:val="single" w:sz="12" w:space="0" w:color="7F7F7F" w:themeColor="text1" w:themeTint="80"/>
        </w:tcBorders>
      </w:tcPr>
    </w:tblStylePr>
    <w:tblStylePr w:type="lastRow">
      <w:pPr>
        <w:snapToGrid/>
      </w:pPr>
      <w:rPr>
        <w:b/>
        <w:color w:val="7F7F7F" w:themeColor="text1" w:themeTint="80" w:themeShade="95"/>
      </w:rPr>
    </w:tblStylePr>
    <w:tblStylePr w:type="firstCol">
      <w:pPr>
        <w:snapToGrid/>
      </w:pPr>
      <w:rPr>
        <w:b/>
        <w:color w:val="7F7F7F" w:themeColor="text1" w:themeTint="80" w:themeShade="95"/>
      </w:rPr>
    </w:tblStylePr>
    <w:tblStylePr w:type="lastCol">
      <w:pPr>
        <w:snapToGrid/>
      </w:pPr>
      <w:rPr>
        <w:b/>
        <w:color w:val="7F7F7F" w:themeColor="text1" w:themeTint="80" w:themeShade="95"/>
      </w:rPr>
    </w:tblStylePr>
    <w:tblStylePr w:type="band1Vert">
      <w:pPr>
        <w:snapToGrid/>
      </w:pPr>
      <w:tblPr/>
      <w:tcPr>
        <w:shd w:val="clear" w:color="auto" w:fill="CBCBCB" w:themeFill="text1" w:themeFillTint="34"/>
      </w:tcPr>
    </w:tblStylePr>
    <w:tblStylePr w:type="band2Vert">
      <w:pPr>
        <w:snapToGrid/>
      </w:pPr>
    </w:tblStylePr>
    <w:tblStylePr w:type="band1Horz">
      <w:pPr>
        <w:snapToGrid/>
      </w:pPr>
      <w:rPr>
        <w:rFonts w:ascii="Arial" w:hAnsi="Arial"/>
        <w:color w:val="7F7F7F" w:themeColor="text1" w:themeTint="80" w:themeShade="95"/>
        <w:sz w:val="22"/>
      </w:rPr>
      <w:tblPr/>
      <w:tcPr>
        <w:shd w:val="clear" w:color="auto" w:fill="CBCBCB" w:themeFill="text1" w:themeFillTint="34"/>
      </w:tcPr>
    </w:tblStylePr>
    <w:tblStylePr w:type="band2Horz">
      <w:pPr>
        <w:snapToGrid/>
      </w:pPr>
      <w:rPr>
        <w:rFonts w:ascii="Arial" w:hAnsi="Arial"/>
        <w:color w:val="7F7F7F" w:themeColor="text1" w:themeTint="80" w:themeShade="95"/>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snapToGrid/>
      </w:pPr>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pPr>
        <w:snapToGrid/>
      </w:pPr>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snapToGrid/>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pPr>
        <w:snapToGrid/>
      </w:pPr>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pPr>
        <w:snapToGrid/>
      </w:pPr>
      <w:tblPr/>
      <w:tcPr>
        <w:shd w:val="clear" w:color="auto" w:fill="F2F2F2" w:themeFill="text1" w:themeFillTint="0D"/>
      </w:tcPr>
    </w:tblStylePr>
    <w:tblStylePr w:type="band2Vert">
      <w:pPr>
        <w:snapToGrid/>
      </w:pPr>
    </w:tblStylePr>
    <w:tblStylePr w:type="band1Horz">
      <w:pPr>
        <w:snapToGrid/>
      </w:pPr>
      <w:rPr>
        <w:rFonts w:ascii="Arial" w:hAnsi="Arial"/>
        <w:color w:val="7F7F7F" w:themeColor="text1" w:themeTint="80" w:themeShade="95"/>
        <w:sz w:val="22"/>
      </w:rPr>
      <w:tblPr/>
      <w:tcPr>
        <w:shd w:val="clear" w:color="auto" w:fill="F2F2F2" w:themeFill="text1" w:themeFillTint="0D"/>
      </w:tcPr>
    </w:tblStylePr>
    <w:tblStylePr w:type="band2Horz">
      <w:pPr>
        <w:snapToGrid/>
      </w:pPr>
      <w:rPr>
        <w:rFonts w:ascii="Arial" w:hAnsi="Arial"/>
        <w:color w:val="7F7F7F" w:themeColor="text1" w:themeTint="80" w:themeShade="95"/>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13">
    <w:name w:val="List Table 1 Light"/>
    <w:basedOn w:val="a1"/>
    <w:uiPriority w:val="99"/>
    <w:tblPr>
      <w:tblStyleRowBandSize w:val="1"/>
      <w:tblStyleColBandSize w:val="1"/>
    </w:tblPr>
    <w:tblStylePr w:type="firstRow">
      <w:pPr>
        <w:snapToGrid/>
      </w:pPr>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pPr>
        <w:snapToGrid/>
      </w:pPr>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pPr>
        <w:snapToGrid/>
      </w:pPr>
      <w:rPr>
        <w:b/>
        <w:color w:val="404040"/>
      </w:rPr>
    </w:tblStylePr>
    <w:tblStylePr w:type="lastCol">
      <w:pPr>
        <w:snapToGrid/>
      </w:pPr>
      <w:rPr>
        <w:b/>
        <w:color w:val="404040"/>
      </w:rPr>
    </w:tblStylePr>
    <w:tblStylePr w:type="band1Vert">
      <w:pPr>
        <w:snapToGrid/>
      </w:pPr>
      <w:tblPr/>
      <w:tcPr>
        <w:shd w:val="clear" w:color="auto" w:fill="BFBFBF" w:themeFill="text1" w:themeFillTint="40"/>
      </w:tcPr>
    </w:tblStylePr>
    <w:tblStylePr w:type="band2Vert">
      <w:pPr>
        <w:snapToGrid/>
      </w:pPr>
    </w:tblStylePr>
    <w:tblStylePr w:type="band1Horz">
      <w:pPr>
        <w:snapToGrid/>
      </w:pPr>
      <w:tblPr/>
      <w:tcPr>
        <w:shd w:val="clear" w:color="auto" w:fill="BFBFBF" w:themeFill="text1" w:themeFillTint="40"/>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pPr>
        <w:snapToGrid/>
      </w:pPr>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pPr>
        <w:snapToGrid/>
      </w:pPr>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rPr>
        <w:rFonts w:ascii="Arial" w:hAnsi="Arial"/>
        <w:color w:val="404040"/>
        <w:sz w:val="22"/>
      </w:rPr>
      <w:tblPr/>
      <w:tcPr>
        <w:shd w:val="clear" w:color="auto" w:fill="BFBFBF" w:themeFill="text1" w:themeFillTint="40"/>
      </w:tcPr>
    </w:tblStylePr>
    <w:tblStylePr w:type="band2Vert">
      <w:pPr>
        <w:snapToGrid/>
      </w:pPr>
    </w:tblStylePr>
    <w:tblStylePr w:type="band1Horz">
      <w:pPr>
        <w:snapToGrid/>
      </w:pPr>
      <w:rPr>
        <w:rFonts w:ascii="Arial" w:hAnsi="Arial"/>
        <w:color w:val="404040"/>
        <w:sz w:val="22"/>
      </w:rPr>
      <w:tblPr/>
      <w:tcPr>
        <w:shd w:val="clear" w:color="auto" w:fill="BFBFBF" w:themeFill="text1" w:themeFillTint="40"/>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snapToGrid/>
      </w:pPr>
      <w:rPr>
        <w:rFonts w:ascii="Arial" w:hAnsi="Arial"/>
        <w:b/>
        <w:color w:val="FFFFFF"/>
        <w:sz w:val="22"/>
      </w:rPr>
      <w:tblPr/>
      <w:tcPr>
        <w:shd w:val="clear" w:color="auto" w:fill="000000" w:themeFill="text1"/>
      </w:tc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Pr/>
      <w:tcPr>
        <w:tcBorders>
          <w:left w:val="single" w:sz="4" w:space="0" w:color="000000" w:themeColor="text1"/>
          <w:right w:val="single" w:sz="4" w:space="0" w:color="000000" w:themeColor="text1"/>
        </w:tcBorders>
      </w:tcPr>
    </w:tblStylePr>
    <w:tblStylePr w:type="band2Vert">
      <w:pPr>
        <w:snapToGrid/>
      </w:pPr>
    </w:tblStylePr>
    <w:tblStylePr w:type="band1Horz">
      <w:pPr>
        <w:snapToGrid/>
      </w:pPr>
      <w:rPr>
        <w:rFonts w:ascii="Arial" w:hAnsi="Arial"/>
        <w:color w:val="404040"/>
        <w:sz w:val="22"/>
      </w:rPr>
      <w:tblPr/>
      <w:tcPr>
        <w:tcBorders>
          <w:top w:val="single" w:sz="4" w:space="0" w:color="000000" w:themeColor="text1"/>
          <w:bottom w:val="single" w:sz="4" w:space="0" w:color="000000" w:themeColor="text1"/>
        </w:tcBorders>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pPr>
        <w:snapToGrid/>
      </w:pPr>
      <w:rPr>
        <w:rFonts w:ascii="Arial" w:hAnsi="Arial"/>
        <w:b/>
        <w:color w:val="FFFFFF"/>
        <w:sz w:val="22"/>
      </w:rPr>
      <w:tblPr/>
      <w:tcPr>
        <w:shd w:val="clear" w:color="auto" w:fill="000000" w:themeFill="text1"/>
      </w:tc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Pr/>
      <w:tcPr>
        <w:shd w:val="clear" w:color="auto" w:fill="BFBFBF" w:themeFill="text1" w:themeFillTint="40"/>
      </w:tcPr>
    </w:tblStylePr>
    <w:tblStylePr w:type="band2Vert">
      <w:pPr>
        <w:snapToGrid/>
      </w:pPr>
    </w:tblStylePr>
    <w:tblStylePr w:type="band1Horz">
      <w:pPr>
        <w:snapToGrid/>
      </w:pPr>
      <w:rPr>
        <w:rFonts w:ascii="Arial" w:hAnsi="Arial"/>
        <w:color w:val="404040"/>
        <w:sz w:val="22"/>
      </w:rPr>
      <w:tblPr/>
      <w:tcPr>
        <w:shd w:val="clear" w:color="auto" w:fill="BFBFBF" w:themeFill="text1" w:themeFillTint="40"/>
      </w:tc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pPr>
        <w:snapToGrid/>
      </w:pPr>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pPr>
        <w:snapToGrid/>
      </w:pPr>
      <w:rPr>
        <w:rFonts w:ascii="Arial" w:hAnsi="Arial"/>
        <w:b/>
        <w:color w:val="FFFFFF" w:themeColor="light1"/>
        <w:sz w:val="22"/>
      </w:rPr>
    </w:tblStylePr>
    <w:tblStylePr w:type="firstCol">
      <w:pPr>
        <w:snapToGrid/>
      </w:pPr>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pPr>
        <w:snapToGrid/>
      </w:pPr>
      <w:tblPr/>
      <w:tcPr>
        <w:tcBorders>
          <w:left w:val="single" w:sz="4" w:space="0" w:color="FFFFFF" w:themeColor="light1"/>
          <w:right w:val="single" w:sz="32" w:space="0" w:color="7F7F7F" w:themeColor="text1" w:themeTint="80"/>
        </w:tcBorders>
      </w:tcPr>
    </w:tblStylePr>
    <w:tblStylePr w:type="band1Vert">
      <w:pPr>
        <w:snapToGrid/>
      </w:pPr>
      <w:tblPr/>
      <w:tcPr>
        <w:tcBorders>
          <w:left w:val="single" w:sz="4" w:space="0" w:color="FFFFFF" w:themeColor="light1"/>
          <w:right w:val="single" w:sz="4" w:space="0" w:color="FFFFFF" w:themeColor="light1"/>
        </w:tcBorders>
        <w:shd w:val="clear" w:color="auto" w:fill="7F7F7F" w:themeFill="text1" w:themeFillTint="80"/>
      </w:tcPr>
    </w:tblStylePr>
    <w:tblStylePr w:type="band2Vert">
      <w:pPr>
        <w:snapToGrid/>
      </w:pPr>
      <w:tblPr/>
      <w:tcPr>
        <w:tcBorders>
          <w:left w:val="single" w:sz="4" w:space="0" w:color="FFFFFF" w:themeColor="light1"/>
          <w:right w:val="single" w:sz="4" w:space="0" w:color="FFFFFF" w:themeColor="light1"/>
        </w:tcBorders>
      </w:tcPr>
    </w:tblStylePr>
    <w:tblStylePr w:type="band1Horz">
      <w:pPr>
        <w:snapToGrid/>
      </w:pPr>
      <w:tblPr/>
      <w:tcPr>
        <w:tcBorders>
          <w:top w:val="single" w:sz="4" w:space="0" w:color="FFFFFF" w:themeColor="light1"/>
          <w:bottom w:val="single" w:sz="4" w:space="0" w:color="FFFFFF" w:themeColor="light1"/>
        </w:tcBorders>
        <w:shd w:val="clear" w:color="auto" w:fill="7F7F7F" w:themeFill="text1" w:themeFillTint="80"/>
      </w:tcPr>
    </w:tblStylePr>
    <w:tblStylePr w:type="band2Horz">
      <w:pPr>
        <w:snapToGrid/>
      </w:pPr>
      <w:tblPr/>
      <w:tcPr>
        <w:tcBorders>
          <w:top w:val="single" w:sz="4" w:space="0" w:color="FFFFFF" w:themeColor="light1"/>
          <w:bottom w:val="single" w:sz="4" w:space="0" w:color="FFFFFF" w:themeColor="light1"/>
        </w:tcBorders>
        <w:shd w:val="clear" w:color="auto" w:fill="7F7F7F" w:themeFill="text1" w:themeFillTint="80"/>
      </w:tc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pPr>
        <w:snapToGrid/>
      </w:pPr>
      <w:rPr>
        <w:b/>
        <w:color w:val="000000" w:themeColor="text1"/>
      </w:rPr>
      <w:tblPr/>
      <w:tcPr>
        <w:tcBorders>
          <w:bottom w:val="single" w:sz="4" w:space="0" w:color="7F7F7F" w:themeColor="text1" w:themeTint="80"/>
        </w:tcBorders>
      </w:tcPr>
    </w:tblStylePr>
    <w:tblStylePr w:type="lastRow">
      <w:pPr>
        <w:snapToGrid/>
      </w:pPr>
      <w:rPr>
        <w:b/>
        <w:color w:val="000000" w:themeColor="text1"/>
      </w:rPr>
      <w:tblPr/>
      <w:tcPr>
        <w:tcBorders>
          <w:top w:val="single" w:sz="4" w:space="0" w:color="7F7F7F" w:themeColor="text1" w:themeTint="80"/>
        </w:tcBorders>
      </w:tcPr>
    </w:tblStylePr>
    <w:tblStylePr w:type="firstCol">
      <w:pPr>
        <w:snapToGrid/>
      </w:pPr>
      <w:rPr>
        <w:b/>
        <w:color w:val="000000" w:themeColor="text1"/>
      </w:rPr>
    </w:tblStylePr>
    <w:tblStylePr w:type="lastCol">
      <w:pPr>
        <w:snapToGrid/>
      </w:pPr>
      <w:rPr>
        <w:b/>
        <w:color w:val="000000" w:themeColor="text1"/>
      </w:rPr>
    </w:tblStylePr>
    <w:tblStylePr w:type="band1Vert">
      <w:pPr>
        <w:snapToGrid/>
      </w:pPr>
      <w:tblPr/>
      <w:tcPr>
        <w:shd w:val="clear" w:color="auto" w:fill="BFBFBF" w:themeFill="text1" w:themeFillTint="40"/>
      </w:tcPr>
    </w:tblStylePr>
    <w:tblStylePr w:type="band2Vert">
      <w:pPr>
        <w:snapToGrid/>
      </w:pPr>
    </w:tblStylePr>
    <w:tblStylePr w:type="band1Horz">
      <w:pPr>
        <w:snapToGrid/>
      </w:pPr>
      <w:rPr>
        <w:rFonts w:ascii="Arial" w:hAnsi="Arial"/>
        <w:color w:val="000000" w:themeColor="text1"/>
        <w:sz w:val="22"/>
      </w:rPr>
      <w:tblPr/>
      <w:tcPr>
        <w:shd w:val="clear" w:color="auto" w:fill="BFBFBF" w:themeFill="text1" w:themeFillTint="40"/>
      </w:tcPr>
    </w:tblStylePr>
    <w:tblStylePr w:type="band2Horz">
      <w:pPr>
        <w:snapToGrid/>
      </w:pPr>
      <w:rPr>
        <w:rFonts w:ascii="Arial" w:hAnsi="Arial"/>
        <w:color w:val="000000" w:themeColor="text1"/>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pPr>
        <w:snapToGrid/>
      </w:pPr>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pPr>
        <w:snapToGrid/>
      </w:pPr>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snapToGrid/>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pPr>
        <w:snapToGrid/>
      </w:pPr>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pPr>
        <w:snapToGrid/>
      </w:pPr>
      <w:tblPr/>
      <w:tcPr>
        <w:shd w:val="clear" w:color="auto" w:fill="BFBFBF" w:themeFill="text1" w:themeFillTint="40"/>
      </w:tcPr>
    </w:tblStylePr>
    <w:tblStylePr w:type="band2Vert">
      <w:pPr>
        <w:snapToGrid/>
      </w:pPr>
    </w:tblStylePr>
    <w:tblStylePr w:type="band1Horz">
      <w:pPr>
        <w:snapToGrid/>
      </w:pPr>
      <w:rPr>
        <w:rFonts w:ascii="Arial" w:hAnsi="Arial"/>
        <w:color w:val="7F7F7F" w:themeColor="text1" w:themeTint="80" w:themeShade="95"/>
        <w:sz w:val="22"/>
      </w:rPr>
      <w:tblPr/>
      <w:tcPr>
        <w:shd w:val="clear" w:color="auto" w:fill="BFBFBF" w:themeFill="text1" w:themeFillTint="40"/>
      </w:tcPr>
    </w:tblStylePr>
    <w:tblStylePr w:type="band2Horz">
      <w:pPr>
        <w:snapToGrid/>
      </w:pPr>
      <w:rPr>
        <w:rFonts w:ascii="Arial" w:hAnsi="Arial"/>
        <w:color w:val="7F7F7F" w:themeColor="text1" w:themeTint="80" w:themeShade="95"/>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paragraph" w:styleId="TOC">
    <w:name w:val="TOC Heading"/>
    <w:uiPriority w:val="39"/>
    <w:unhideWhenUsed/>
  </w:style>
  <w:style w:type="paragraph" w:styleId="73">
    <w:name w:val="toc 7"/>
    <w:next w:val="a"/>
    <w:uiPriority w:val="39"/>
    <w:qFormat/>
    <w:pPr>
      <w:spacing w:after="57"/>
      <w:ind w:left="1701"/>
    </w:pPr>
    <w:rPr>
      <w:rFonts w:ascii="Arial" w:hAnsi="Arial" w:cs="Arial"/>
      <w:sz w:val="22"/>
      <w:lang w:eastAsia="en-US"/>
    </w:rPr>
  </w:style>
  <w:style w:type="paragraph" w:styleId="a3">
    <w:name w:val="table of authorities"/>
    <w:basedOn w:val="a"/>
    <w:next w:val="a"/>
    <w:qFormat/>
    <w:pPr>
      <w:ind w:left="420"/>
    </w:pPr>
  </w:style>
  <w:style w:type="paragraph" w:styleId="a4">
    <w:name w:val="Normal Indent"/>
    <w:basedOn w:val="a"/>
    <w:link w:val="a5"/>
    <w:qFormat/>
    <w:pPr>
      <w:ind w:firstLine="420"/>
    </w:pPr>
    <w:rPr>
      <w:rFonts w:ascii="Times New Roman" w:hAnsi="Times New Roman"/>
      <w:sz w:val="20"/>
      <w:szCs w:val="20"/>
    </w:rPr>
  </w:style>
  <w:style w:type="paragraph" w:styleId="a6">
    <w:name w:val="caption"/>
    <w:next w:val="a"/>
    <w:uiPriority w:val="35"/>
    <w:qFormat/>
    <w:pPr>
      <w:spacing w:line="276" w:lineRule="auto"/>
    </w:pPr>
    <w:rPr>
      <w:rFonts w:ascii="Arial" w:hAnsi="Arial" w:cs="Arial"/>
      <w:b/>
      <w:bCs/>
      <w:color w:val="4F81BD"/>
      <w:sz w:val="18"/>
      <w:szCs w:val="18"/>
      <w:lang w:eastAsia="en-US"/>
    </w:rPr>
  </w:style>
  <w:style w:type="paragraph" w:styleId="a7">
    <w:name w:val="Document Map"/>
    <w:basedOn w:val="a"/>
    <w:link w:val="a8"/>
    <w:qFormat/>
    <w:rPr>
      <w:rFonts w:ascii="宋体" w:hAnsi="Times New Roman"/>
      <w:sz w:val="18"/>
      <w:szCs w:val="18"/>
    </w:rPr>
  </w:style>
  <w:style w:type="paragraph" w:styleId="a9">
    <w:name w:val="annotation text"/>
    <w:basedOn w:val="a"/>
    <w:link w:val="aa"/>
    <w:qFormat/>
    <w:rPr>
      <w:sz w:val="20"/>
      <w:szCs w:val="20"/>
    </w:rPr>
  </w:style>
  <w:style w:type="paragraph" w:styleId="ab">
    <w:name w:val="Body Text"/>
    <w:basedOn w:val="a"/>
    <w:next w:val="a"/>
    <w:link w:val="ac"/>
    <w:qFormat/>
    <w:pPr>
      <w:spacing w:after="120"/>
    </w:pPr>
  </w:style>
  <w:style w:type="paragraph" w:styleId="ad">
    <w:name w:val="Body Text Indent"/>
    <w:basedOn w:val="a"/>
    <w:link w:val="ae"/>
    <w:qFormat/>
    <w:pPr>
      <w:spacing w:line="360" w:lineRule="auto"/>
      <w:ind w:firstLine="480"/>
    </w:pPr>
    <w:rPr>
      <w:rFonts w:ascii="仿宋_GB2312" w:eastAsia="仿宋_GB2312" w:hAnsi="宋体"/>
      <w:sz w:val="28"/>
      <w:szCs w:val="20"/>
    </w:rPr>
  </w:style>
  <w:style w:type="paragraph" w:styleId="54">
    <w:name w:val="toc 5"/>
    <w:next w:val="a"/>
    <w:uiPriority w:val="39"/>
    <w:qFormat/>
    <w:pPr>
      <w:spacing w:after="57"/>
      <w:ind w:left="1134"/>
    </w:pPr>
    <w:rPr>
      <w:rFonts w:ascii="Arial" w:hAnsi="Arial" w:cs="Arial"/>
      <w:sz w:val="22"/>
      <w:lang w:eastAsia="en-US"/>
    </w:rPr>
  </w:style>
  <w:style w:type="paragraph" w:styleId="34">
    <w:name w:val="toc 3"/>
    <w:basedOn w:val="a"/>
    <w:next w:val="a"/>
    <w:uiPriority w:val="39"/>
    <w:qFormat/>
    <w:pPr>
      <w:ind w:left="840"/>
    </w:pPr>
  </w:style>
  <w:style w:type="paragraph" w:styleId="af">
    <w:name w:val="Plain Text"/>
    <w:basedOn w:val="a"/>
    <w:link w:val="af0"/>
    <w:qFormat/>
    <w:rPr>
      <w:rFonts w:ascii="宋体" w:hAnsi="Courier New"/>
      <w:sz w:val="20"/>
      <w:szCs w:val="20"/>
    </w:rPr>
  </w:style>
  <w:style w:type="paragraph" w:styleId="81">
    <w:name w:val="toc 8"/>
    <w:next w:val="a"/>
    <w:uiPriority w:val="39"/>
    <w:qFormat/>
    <w:pPr>
      <w:spacing w:after="57"/>
      <w:ind w:left="1984"/>
    </w:pPr>
    <w:rPr>
      <w:rFonts w:ascii="Arial" w:hAnsi="Arial" w:cs="Arial"/>
      <w:sz w:val="22"/>
      <w:lang w:eastAsia="en-US"/>
    </w:rPr>
  </w:style>
  <w:style w:type="paragraph" w:styleId="24">
    <w:name w:val="Body Text Indent 2"/>
    <w:basedOn w:val="a"/>
    <w:link w:val="25"/>
    <w:qFormat/>
    <w:pPr>
      <w:spacing w:line="400" w:lineRule="exact"/>
      <w:ind w:firstLine="420"/>
    </w:pPr>
    <w:rPr>
      <w:rFonts w:ascii="宋体" w:hAnsi="宋体"/>
      <w:color w:val="000000"/>
      <w:sz w:val="20"/>
      <w:szCs w:val="24"/>
    </w:rPr>
  </w:style>
  <w:style w:type="paragraph" w:styleId="af1">
    <w:name w:val="endnote text"/>
    <w:link w:val="af2"/>
    <w:uiPriority w:val="99"/>
    <w:qFormat/>
    <w:rPr>
      <w:rFonts w:ascii="Arial" w:hAnsi="Arial" w:cs="Arial"/>
      <w:sz w:val="22"/>
      <w:lang w:eastAsia="en-US"/>
    </w:rPr>
  </w:style>
  <w:style w:type="paragraph" w:styleId="af3">
    <w:name w:val="Balloon Text"/>
    <w:basedOn w:val="a"/>
    <w:link w:val="af4"/>
    <w:qFormat/>
    <w:rPr>
      <w:sz w:val="18"/>
      <w:szCs w:val="18"/>
    </w:rPr>
  </w:style>
  <w:style w:type="paragraph" w:styleId="af5">
    <w:name w:val="footer"/>
    <w:basedOn w:val="a"/>
    <w:link w:val="af6"/>
    <w:qFormat/>
    <w:pPr>
      <w:tabs>
        <w:tab w:val="center" w:pos="4153"/>
        <w:tab w:val="right" w:pos="8306"/>
      </w:tabs>
    </w:pPr>
    <w:rPr>
      <w:sz w:val="18"/>
      <w:szCs w:val="18"/>
    </w:rPr>
  </w:style>
  <w:style w:type="paragraph" w:styleId="af7">
    <w:name w:val="header"/>
    <w:basedOn w:val="a"/>
    <w:link w:val="af8"/>
    <w:qFormat/>
    <w:pPr>
      <w:pBdr>
        <w:bottom w:val="single" w:sz="6" w:space="1" w:color="000000"/>
      </w:pBdr>
      <w:tabs>
        <w:tab w:val="center" w:pos="4153"/>
        <w:tab w:val="right" w:pos="8306"/>
      </w:tabs>
      <w:jc w:val="center"/>
    </w:pPr>
    <w:rPr>
      <w:sz w:val="18"/>
      <w:szCs w:val="18"/>
    </w:rPr>
  </w:style>
  <w:style w:type="paragraph" w:styleId="14">
    <w:name w:val="toc 1"/>
    <w:basedOn w:val="a"/>
    <w:next w:val="a"/>
    <w:uiPriority w:val="39"/>
    <w:qFormat/>
    <w:pPr>
      <w:spacing w:before="120" w:after="120"/>
    </w:pPr>
    <w:rPr>
      <w:rFonts w:ascii="Times New Roman" w:hAnsi="Times New Roman"/>
      <w:b/>
      <w:bCs/>
      <w:caps/>
      <w:sz w:val="20"/>
      <w:szCs w:val="20"/>
    </w:rPr>
  </w:style>
  <w:style w:type="paragraph" w:styleId="44">
    <w:name w:val="toc 4"/>
    <w:next w:val="a"/>
    <w:uiPriority w:val="39"/>
    <w:qFormat/>
    <w:pPr>
      <w:spacing w:after="57"/>
      <w:ind w:left="850"/>
    </w:pPr>
    <w:rPr>
      <w:rFonts w:ascii="Arial" w:hAnsi="Arial" w:cs="Arial"/>
      <w:sz w:val="22"/>
      <w:lang w:eastAsia="en-US"/>
    </w:rPr>
  </w:style>
  <w:style w:type="paragraph" w:styleId="af9">
    <w:name w:val="Subtitle"/>
    <w:link w:val="afa"/>
    <w:uiPriority w:val="11"/>
    <w:qFormat/>
    <w:pPr>
      <w:spacing w:before="200" w:after="200"/>
    </w:pPr>
    <w:rPr>
      <w:rFonts w:ascii="Arial" w:hAnsi="Arial" w:cs="Arial"/>
      <w:sz w:val="24"/>
      <w:szCs w:val="24"/>
      <w:lang w:eastAsia="en-US"/>
    </w:rPr>
  </w:style>
  <w:style w:type="paragraph" w:styleId="afb">
    <w:name w:val="List"/>
    <w:basedOn w:val="a"/>
    <w:qFormat/>
    <w:pPr>
      <w:ind w:left="420" w:hanging="420"/>
    </w:pPr>
    <w:rPr>
      <w:rFonts w:ascii="Times New Roman" w:hAnsi="Times New Roman"/>
      <w:szCs w:val="20"/>
    </w:rPr>
  </w:style>
  <w:style w:type="paragraph" w:styleId="afc">
    <w:name w:val="footnote text"/>
    <w:link w:val="afd"/>
    <w:uiPriority w:val="99"/>
    <w:qFormat/>
    <w:pPr>
      <w:spacing w:after="40"/>
    </w:pPr>
    <w:rPr>
      <w:rFonts w:ascii="Arial" w:hAnsi="Arial" w:cs="Arial"/>
      <w:sz w:val="18"/>
      <w:lang w:eastAsia="en-US"/>
    </w:rPr>
  </w:style>
  <w:style w:type="paragraph" w:styleId="63">
    <w:name w:val="toc 6"/>
    <w:next w:val="a"/>
    <w:uiPriority w:val="39"/>
    <w:qFormat/>
    <w:pPr>
      <w:spacing w:after="57"/>
      <w:ind w:left="1417"/>
    </w:pPr>
    <w:rPr>
      <w:rFonts w:ascii="Arial" w:hAnsi="Arial" w:cs="Arial"/>
      <w:sz w:val="22"/>
      <w:lang w:eastAsia="en-US"/>
    </w:rPr>
  </w:style>
  <w:style w:type="paragraph" w:styleId="35">
    <w:name w:val="Body Text Indent 3"/>
    <w:basedOn w:val="a"/>
    <w:link w:val="36"/>
    <w:qFormat/>
    <w:pPr>
      <w:tabs>
        <w:tab w:val="left" w:pos="955"/>
        <w:tab w:val="left" w:pos="1146"/>
      </w:tabs>
      <w:ind w:firstLine="560"/>
    </w:pPr>
    <w:rPr>
      <w:rFonts w:ascii="Times New Roman" w:eastAsia="仿宋_GB2312" w:hAnsi="Times New Roman"/>
      <w:sz w:val="28"/>
      <w:szCs w:val="20"/>
    </w:rPr>
  </w:style>
  <w:style w:type="paragraph" w:styleId="afe">
    <w:name w:val="table of figures"/>
    <w:basedOn w:val="a"/>
    <w:next w:val="a"/>
    <w:qFormat/>
    <w:pPr>
      <w:ind w:left="200" w:hanging="200"/>
    </w:pPr>
    <w:rPr>
      <w:rFonts w:ascii="宋体" w:hAnsi="宋体"/>
      <w:szCs w:val="20"/>
    </w:rPr>
  </w:style>
  <w:style w:type="paragraph" w:styleId="26">
    <w:name w:val="toc 2"/>
    <w:basedOn w:val="a"/>
    <w:next w:val="a"/>
    <w:uiPriority w:val="39"/>
    <w:qFormat/>
    <w:pPr>
      <w:ind w:left="210"/>
    </w:pPr>
    <w:rPr>
      <w:rFonts w:ascii="Times New Roman" w:hAnsi="Times New Roman"/>
      <w:smallCaps/>
      <w:sz w:val="20"/>
      <w:szCs w:val="20"/>
    </w:rPr>
  </w:style>
  <w:style w:type="paragraph" w:styleId="91">
    <w:name w:val="toc 9"/>
    <w:next w:val="a"/>
    <w:uiPriority w:val="39"/>
    <w:qFormat/>
    <w:pPr>
      <w:spacing w:after="57"/>
      <w:ind w:left="2268"/>
    </w:pPr>
    <w:rPr>
      <w:rFonts w:ascii="Arial" w:hAnsi="Arial" w:cs="Arial"/>
      <w:sz w:val="22"/>
      <w:lang w:eastAsia="en-US"/>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sz w:val="24"/>
      <w:szCs w:val="24"/>
    </w:rPr>
  </w:style>
  <w:style w:type="paragraph" w:styleId="aff">
    <w:name w:val="Normal (Web)"/>
    <w:basedOn w:val="a"/>
    <w:qFormat/>
    <w:pPr>
      <w:spacing w:before="100" w:beforeAutospacing="1" w:after="100" w:afterAutospacing="1"/>
    </w:pPr>
    <w:rPr>
      <w:rFonts w:ascii="Arial Unicode MS" w:hAnsi="Arial Unicode MS"/>
      <w:sz w:val="24"/>
      <w:szCs w:val="24"/>
    </w:rPr>
  </w:style>
  <w:style w:type="paragraph" w:styleId="aff0">
    <w:name w:val="Title"/>
    <w:basedOn w:val="a"/>
    <w:link w:val="aff1"/>
    <w:qFormat/>
    <w:pPr>
      <w:outlineLvl w:val="0"/>
    </w:pPr>
    <w:rPr>
      <w:b/>
      <w:sz w:val="32"/>
      <w:szCs w:val="20"/>
    </w:rPr>
  </w:style>
  <w:style w:type="paragraph" w:styleId="aff2">
    <w:name w:val="annotation subject"/>
    <w:basedOn w:val="a9"/>
    <w:next w:val="a9"/>
    <w:link w:val="aff3"/>
    <w:qFormat/>
    <w:rPr>
      <w:b/>
      <w:bCs/>
    </w:rPr>
  </w:style>
  <w:style w:type="paragraph" w:styleId="27">
    <w:name w:val="Body Text First Indent 2"/>
    <w:basedOn w:val="ad"/>
    <w:next w:val="ab"/>
    <w:qFormat/>
    <w:pPr>
      <w:tabs>
        <w:tab w:val="left" w:pos="0"/>
        <w:tab w:val="left" w:pos="420"/>
      </w:tabs>
      <w:ind w:firstLine="200"/>
    </w:pPr>
    <w:rPr>
      <w:rFonts w:ascii="幼圆" w:eastAsia="幼圆"/>
      <w:bCs/>
      <w:color w:val="000000"/>
      <w:spacing w:val="20"/>
      <w:sz w:val="24"/>
    </w:rPr>
  </w:style>
  <w:style w:type="table" w:styleId="aff4">
    <w:name w:val="Table Grid"/>
    <w:basedOn w:val="a1"/>
    <w:qFormat/>
    <w:pPr>
      <w:widowControl w:val="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character" w:styleId="aff5">
    <w:name w:val="endnote reference"/>
    <w:uiPriority w:val="99"/>
    <w:qFormat/>
    <w:rPr>
      <w:vertAlign w:val="superscript"/>
    </w:rPr>
  </w:style>
  <w:style w:type="character" w:styleId="aff6">
    <w:name w:val="page number"/>
    <w:qFormat/>
  </w:style>
  <w:style w:type="character" w:styleId="aff7">
    <w:name w:val="FollowedHyperlink"/>
    <w:qFormat/>
    <w:rPr>
      <w:color w:val="800080"/>
      <w:u w:val="single"/>
    </w:rPr>
  </w:style>
  <w:style w:type="character" w:styleId="aff8">
    <w:name w:val="Hyperlink"/>
    <w:uiPriority w:val="99"/>
    <w:qFormat/>
    <w:rPr>
      <w:color w:val="0000FF"/>
      <w:u w:val="single"/>
    </w:rPr>
  </w:style>
  <w:style w:type="character" w:styleId="aff9">
    <w:name w:val="annotation reference"/>
    <w:qFormat/>
    <w:rPr>
      <w:sz w:val="21"/>
      <w:szCs w:val="21"/>
    </w:rPr>
  </w:style>
  <w:style w:type="character" w:styleId="affa">
    <w:name w:val="footnote reference"/>
    <w:uiPriority w:val="99"/>
    <w:qFormat/>
    <w:rPr>
      <w:vertAlign w:val="superscript"/>
    </w:rPr>
  </w:style>
  <w:style w:type="table" w:customStyle="1" w:styleId="110">
    <w:name w:val="无格式表格 11"/>
    <w:basedOn w:val="a1"/>
    <w:uiPriority w:val="59"/>
    <w:qFormat/>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pPr>
        <w:snapToGrid/>
      </w:pPr>
      <w:rPr>
        <w:rFonts w:ascii="Arial" w:hAnsi="Arial"/>
        <w:b/>
        <w:color w:val="404040"/>
        <w:sz w:val="22"/>
      </w:rPr>
    </w:tblStylePr>
    <w:tblStylePr w:type="lastRow">
      <w:pPr>
        <w:snapToGrid/>
      </w:pPr>
      <w:rPr>
        <w:rFonts w:ascii="Arial" w:hAnsi="Arial"/>
        <w:b/>
        <w:color w:val="404040"/>
        <w:sz w:val="22"/>
      </w:r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210">
    <w:name w:val="无格式表格 21"/>
    <w:basedOn w:val="a1"/>
    <w:uiPriority w:val="59"/>
    <w:qFormat/>
    <w:tblPr>
      <w:tblBorders>
        <w:top w:val="single" w:sz="4" w:space="0" w:color="000000"/>
        <w:left w:val="none" w:sz="4" w:space="0" w:color="000000"/>
        <w:bottom w:val="single" w:sz="4" w:space="0" w:color="000000"/>
        <w:right w:val="none" w:sz="4" w:space="0" w:color="000000"/>
      </w:tblBorders>
    </w:tblPr>
    <w:tblStylePr w:type="firstRow">
      <w:pPr>
        <w:snapToGrid/>
      </w:pPr>
      <w:rPr>
        <w:rFonts w:ascii="Arial" w:hAnsi="Arial"/>
        <w:b/>
        <w:color w:val="404040"/>
        <w:sz w:val="22"/>
      </w:rPr>
    </w:tblStylePr>
    <w:tblStylePr w:type="lastRow">
      <w:pPr>
        <w:snapToGrid/>
      </w:pPr>
      <w:rPr>
        <w:rFonts w:ascii="Arial" w:hAnsi="Arial"/>
        <w:b/>
        <w:color w:val="404040"/>
        <w:sz w:val="22"/>
      </w:r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310">
    <w:name w:val="无格式表格 31"/>
    <w:basedOn w:val="a1"/>
    <w:uiPriority w:val="99"/>
    <w:qFormat/>
    <w:tblPr>
      <w:tblCellMar>
        <w:left w:w="0" w:type="dxa"/>
        <w:right w:w="0" w:type="dxa"/>
      </w:tblCellMar>
    </w:tblPr>
    <w:tblStylePr w:type="firstRow">
      <w:pPr>
        <w:snapToGrid/>
      </w:pPr>
      <w:rPr>
        <w:b/>
        <w:caps/>
        <w:color w:val="404040"/>
      </w:rPr>
    </w:tblStylePr>
    <w:tblStylePr w:type="lastRow">
      <w:pPr>
        <w:snapToGrid/>
      </w:pPr>
      <w:rPr>
        <w:b/>
        <w:caps/>
        <w:color w:val="404040"/>
      </w:rPr>
    </w:tblStylePr>
    <w:tblStylePr w:type="firstCol">
      <w:pPr>
        <w:snapToGrid/>
      </w:pPr>
      <w:rPr>
        <w:b/>
        <w:caps/>
        <w:color w:val="404040"/>
      </w:rPr>
    </w:tblStylePr>
    <w:tblStylePr w:type="lastCol">
      <w:pPr>
        <w:snapToGrid/>
      </w:pPr>
      <w:rPr>
        <w:b/>
        <w:caps/>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410">
    <w:name w:val="无格式表格 41"/>
    <w:basedOn w:val="a1"/>
    <w:uiPriority w:val="99"/>
    <w:qFormat/>
    <w:tblPr>
      <w:tblCellMar>
        <w:left w:w="0" w:type="dxa"/>
        <w:right w:w="0" w:type="dxa"/>
      </w:tblCellMar>
    </w:tblPr>
    <w:tblStylePr w:type="firstRow">
      <w:pPr>
        <w:snapToGrid/>
      </w:pPr>
      <w:rPr>
        <w:b/>
        <w:color w:val="404040"/>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510">
    <w:name w:val="无格式表格 51"/>
    <w:basedOn w:val="a1"/>
    <w:uiPriority w:val="99"/>
    <w:qFormat/>
    <w:tblPr>
      <w:tblCellMar>
        <w:left w:w="0" w:type="dxa"/>
        <w:right w:w="0" w:type="dxa"/>
      </w:tblCellMar>
    </w:tblPr>
    <w:tblStylePr w:type="firstRow">
      <w:pPr>
        <w:snapToGrid/>
      </w:pPr>
      <w:rPr>
        <w:i/>
        <w:color w:val="404040"/>
      </w:rPr>
    </w:tblStylePr>
    <w:tblStylePr w:type="lastRow">
      <w:pPr>
        <w:snapToGrid/>
      </w:pPr>
      <w:rPr>
        <w:i/>
        <w:color w:val="404040"/>
      </w:rPr>
    </w:tblStylePr>
    <w:tblStylePr w:type="firstCol">
      <w:pPr>
        <w:snapToGrid/>
      </w:pPr>
      <w:rPr>
        <w:i/>
        <w:color w:val="404040"/>
      </w:rPr>
    </w:tblStylePr>
    <w:tblStylePr w:type="lastCol">
      <w:pPr>
        <w:snapToGrid/>
      </w:pPr>
      <w:rPr>
        <w:i/>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111">
    <w:name w:val="网格表 1 浅色1"/>
    <w:basedOn w:val="a1"/>
    <w:uiPriority w:val="99"/>
    <w:qFormat/>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left w:w="0" w:type="dxa"/>
        <w:right w:w="0" w:type="dxa"/>
      </w:tblCellMar>
    </w:tblPr>
    <w:tblStylePr w:type="firstRow">
      <w:pPr>
        <w:snapToGrid/>
      </w:pPr>
      <w:rPr>
        <w:b/>
        <w:color w:val="404040"/>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211">
    <w:name w:val="网格表 21"/>
    <w:basedOn w:val="a1"/>
    <w:uiPriority w:val="99"/>
    <w:qFormat/>
    <w:tblPr>
      <w:tblBorders>
        <w:bottom w:val="single" w:sz="4" w:space="0" w:color="6A6A6A"/>
        <w:insideH w:val="single" w:sz="4" w:space="0" w:color="6A6A6A"/>
        <w:insideV w:val="single" w:sz="4" w:space="0" w:color="6A6A6A"/>
      </w:tblBorders>
      <w:tblCellMar>
        <w:left w:w="0" w:type="dxa"/>
        <w:right w:w="0" w:type="dxa"/>
      </w:tblCellMar>
    </w:tblPr>
    <w:tblStylePr w:type="firstRow">
      <w:pPr>
        <w:snapToGrid/>
      </w:pPr>
      <w:rPr>
        <w:b/>
        <w:color w:val="404040"/>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311">
    <w:name w:val="网格表 31"/>
    <w:basedOn w:val="a1"/>
    <w:uiPriority w:val="99"/>
    <w:qFormat/>
    <w:tblPr>
      <w:tblBorders>
        <w:bottom w:val="single" w:sz="4" w:space="0" w:color="6A6A6A"/>
        <w:insideH w:val="single" w:sz="4" w:space="0" w:color="6A6A6A"/>
        <w:insideV w:val="single" w:sz="4" w:space="0" w:color="6A6A6A"/>
      </w:tblBorders>
      <w:tblCellMar>
        <w:left w:w="0" w:type="dxa"/>
        <w:right w:w="0" w:type="dxa"/>
      </w:tblCellMar>
    </w:tblPr>
    <w:tblStylePr w:type="firstRow">
      <w:pPr>
        <w:snapToGrid/>
      </w:pPr>
      <w:rPr>
        <w:b/>
        <w:color w:val="404040"/>
      </w:rPr>
    </w:tblStylePr>
    <w:tblStylePr w:type="lastRow">
      <w:pPr>
        <w:snapToGrid/>
      </w:pPr>
      <w:rPr>
        <w:b/>
        <w:color w:val="404040"/>
      </w:rPr>
    </w:tblStylePr>
    <w:tblStylePr w:type="firstCol">
      <w:pPr>
        <w:snapToGrid/>
      </w:pPr>
      <w:rPr>
        <w:i/>
        <w:color w:val="404040"/>
      </w:rPr>
    </w:tblStylePr>
    <w:tblStylePr w:type="lastCol">
      <w:pPr>
        <w:snapToGrid/>
      </w:pPr>
      <w:rPr>
        <w:i/>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411">
    <w:name w:val="网格表 41"/>
    <w:basedOn w:val="a1"/>
    <w:uiPriority w:val="59"/>
    <w:qFormat/>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left w:w="0" w:type="dxa"/>
        <w:right w:w="0" w:type="dxa"/>
      </w:tblCellMar>
    </w:tblPr>
    <w:tblStylePr w:type="firstRow">
      <w:pPr>
        <w:snapToGrid/>
      </w:pPr>
      <w:rPr>
        <w:rFonts w:ascii="Arial" w:hAnsi="Arial"/>
        <w:b/>
        <w:color w:val="FFFFFF"/>
        <w:sz w:val="22"/>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511">
    <w:name w:val="网格表 5 深色1"/>
    <w:basedOn w:val="a1"/>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blStylePr w:type="firstRow">
      <w:pPr>
        <w:snapToGrid/>
      </w:pPr>
      <w:rPr>
        <w:rFonts w:ascii="Arial" w:hAnsi="Arial"/>
        <w:b/>
        <w:color w:val="FFFFFF"/>
        <w:sz w:val="22"/>
      </w:rPr>
    </w:tblStylePr>
    <w:tblStylePr w:type="lastRow">
      <w:pPr>
        <w:snapToGrid/>
      </w:pPr>
      <w:rPr>
        <w:rFonts w:ascii="Arial" w:hAnsi="Arial"/>
        <w:b/>
        <w:color w:val="FFFFFF"/>
        <w:sz w:val="22"/>
      </w:rPr>
    </w:tblStylePr>
    <w:tblStylePr w:type="firstCol">
      <w:pPr>
        <w:snapToGrid/>
      </w:pPr>
      <w:rPr>
        <w:rFonts w:ascii="Arial" w:hAnsi="Arial"/>
        <w:b/>
        <w:color w:val="FFFFFF"/>
        <w:sz w:val="22"/>
      </w:rPr>
    </w:tblStylePr>
    <w:tblStylePr w:type="lastCol">
      <w:pPr>
        <w:snapToGrid/>
      </w:pPr>
      <w:rPr>
        <w:rFonts w:ascii="Arial" w:hAnsi="Arial"/>
        <w:b/>
        <w:color w:val="FFFFFF"/>
        <w:sz w:val="22"/>
      </w:r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610">
    <w:name w:val="网格表 6 彩色1"/>
    <w:basedOn w:val="a1"/>
    <w:uiPriority w:val="99"/>
    <w:qFormat/>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0" w:type="dxa"/>
        <w:right w:w="0" w:type="dxa"/>
      </w:tblCellMar>
    </w:tblPr>
    <w:tblStylePr w:type="firstRow">
      <w:pPr>
        <w:snapToGrid/>
      </w:pPr>
      <w:rPr>
        <w:b/>
        <w:color w:val="7F7F7F" w:themeColor="text1" w:themeTint="80"/>
      </w:rPr>
    </w:tblStylePr>
    <w:tblStylePr w:type="lastRow">
      <w:pPr>
        <w:snapToGrid/>
      </w:pPr>
      <w:rPr>
        <w:b/>
        <w:color w:val="7F7F7F" w:themeColor="text1" w:themeTint="80"/>
      </w:rPr>
    </w:tblStylePr>
    <w:tblStylePr w:type="firstCol">
      <w:pPr>
        <w:snapToGrid/>
      </w:pPr>
      <w:rPr>
        <w:b/>
        <w:color w:val="7F7F7F" w:themeColor="text1" w:themeTint="80"/>
      </w:rPr>
    </w:tblStylePr>
    <w:tblStylePr w:type="lastCol">
      <w:pPr>
        <w:snapToGrid/>
      </w:pPr>
      <w:rPr>
        <w:b/>
        <w:color w:val="7F7F7F" w:themeColor="text1" w:themeTint="80"/>
      </w:rPr>
    </w:tblStylePr>
    <w:tblStylePr w:type="band1Vert">
      <w:pPr>
        <w:snapToGrid/>
      </w:pPr>
    </w:tblStylePr>
    <w:tblStylePr w:type="band2Vert">
      <w:pPr>
        <w:snapToGrid/>
      </w:pPr>
    </w:tblStylePr>
    <w:tblStylePr w:type="band1Horz">
      <w:pPr>
        <w:snapToGrid/>
      </w:pPr>
      <w:rPr>
        <w:rFonts w:ascii="Arial" w:hAnsi="Arial"/>
        <w:color w:val="7F7F7F" w:themeColor="text1" w:themeTint="80"/>
        <w:sz w:val="22"/>
      </w:rPr>
    </w:tblStylePr>
    <w:tblStylePr w:type="band2Horz">
      <w:pPr>
        <w:snapToGrid/>
      </w:pPr>
      <w:rPr>
        <w:rFonts w:ascii="Arial" w:hAnsi="Arial"/>
        <w:color w:val="7F7F7F" w:themeColor="text1" w:themeTint="80"/>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710">
    <w:name w:val="网格表 7 彩色1"/>
    <w:basedOn w:val="a1"/>
    <w:uiPriority w:val="99"/>
    <w:qFormat/>
    <w:tblPr>
      <w:tblBorders>
        <w:bottom w:val="single" w:sz="4" w:space="0" w:color="7F7F7F"/>
        <w:right w:val="single" w:sz="4" w:space="0" w:color="7F7F7F"/>
        <w:insideH w:val="single" w:sz="4" w:space="0" w:color="7F7F7F"/>
        <w:insideV w:val="single" w:sz="4" w:space="0" w:color="7F7F7F"/>
      </w:tblBorders>
      <w:tblCellMar>
        <w:left w:w="0" w:type="dxa"/>
        <w:right w:w="0" w:type="dxa"/>
      </w:tblCellMar>
    </w:tblPr>
    <w:tblStylePr w:type="firstRow">
      <w:pPr>
        <w:snapToGrid/>
      </w:pPr>
      <w:rPr>
        <w:rFonts w:ascii="Arial" w:hAnsi="Arial"/>
        <w:b/>
        <w:color w:val="7F7F7F" w:themeColor="text1" w:themeTint="80"/>
        <w:sz w:val="22"/>
      </w:rPr>
    </w:tblStylePr>
    <w:tblStylePr w:type="lastRow">
      <w:pPr>
        <w:snapToGrid/>
      </w:pPr>
      <w:rPr>
        <w:rFonts w:ascii="Arial" w:hAnsi="Arial"/>
        <w:b/>
        <w:color w:val="7F7F7F" w:themeColor="text1" w:themeTint="80"/>
        <w:sz w:val="22"/>
      </w:rPr>
    </w:tblStylePr>
    <w:tblStylePr w:type="firstCol">
      <w:pPr>
        <w:snapToGrid/>
      </w:pPr>
      <w:rPr>
        <w:rFonts w:ascii="Arial" w:hAnsi="Arial"/>
        <w:i/>
        <w:color w:val="7F7F7F" w:themeColor="text1" w:themeTint="80"/>
        <w:sz w:val="22"/>
      </w:rPr>
    </w:tblStylePr>
    <w:tblStylePr w:type="lastCol">
      <w:pPr>
        <w:snapToGrid/>
      </w:pPr>
      <w:rPr>
        <w:rFonts w:ascii="Arial" w:hAnsi="Arial"/>
        <w:i/>
        <w:color w:val="7F7F7F" w:themeColor="text1" w:themeTint="80"/>
        <w:sz w:val="22"/>
      </w:rPr>
    </w:tblStylePr>
    <w:tblStylePr w:type="band1Vert">
      <w:pPr>
        <w:snapToGrid/>
      </w:pPr>
    </w:tblStylePr>
    <w:tblStylePr w:type="band2Vert">
      <w:pPr>
        <w:snapToGrid/>
      </w:pPr>
    </w:tblStylePr>
    <w:tblStylePr w:type="band1Horz">
      <w:pPr>
        <w:snapToGrid/>
      </w:pPr>
      <w:rPr>
        <w:rFonts w:ascii="Arial" w:hAnsi="Arial"/>
        <w:color w:val="7F7F7F" w:themeColor="text1" w:themeTint="80"/>
        <w:sz w:val="22"/>
      </w:rPr>
    </w:tblStylePr>
    <w:tblStylePr w:type="band2Horz">
      <w:pPr>
        <w:snapToGrid/>
      </w:pPr>
      <w:rPr>
        <w:rFonts w:ascii="Arial" w:hAnsi="Arial"/>
        <w:color w:val="7F7F7F" w:themeColor="text1" w:themeTint="80"/>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112">
    <w:name w:val="清单表 1 浅色1"/>
    <w:basedOn w:val="a1"/>
    <w:uiPriority w:val="99"/>
    <w:qFormat/>
    <w:tblPr>
      <w:tblCellMar>
        <w:left w:w="0" w:type="dxa"/>
        <w:right w:w="0" w:type="dxa"/>
      </w:tblCellMar>
    </w:tblPr>
    <w:tblStylePr w:type="firstRow">
      <w:pPr>
        <w:snapToGrid/>
      </w:pPr>
      <w:rPr>
        <w:b/>
        <w:color w:val="404040"/>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212">
    <w:name w:val="清单表 21"/>
    <w:basedOn w:val="a1"/>
    <w:uiPriority w:val="99"/>
    <w:qFormat/>
    <w:tblPr>
      <w:tblBorders>
        <w:top w:val="single" w:sz="4" w:space="0" w:color="6F6F6F"/>
        <w:bottom w:val="single" w:sz="4" w:space="0" w:color="6F6F6F"/>
        <w:insideH w:val="single" w:sz="4" w:space="0" w:color="6F6F6F"/>
      </w:tblBorders>
      <w:tblCellMar>
        <w:left w:w="0" w:type="dxa"/>
        <w:right w:w="0" w:type="dxa"/>
      </w:tblCellMar>
    </w:tblPr>
    <w:tblStylePr w:type="firstRow">
      <w:pPr>
        <w:snapToGrid/>
      </w:pPr>
      <w:rPr>
        <w:rFonts w:ascii="Arial" w:hAnsi="Arial"/>
        <w:b/>
        <w:color w:val="404040"/>
        <w:sz w:val="22"/>
      </w:rPr>
    </w:tblStylePr>
    <w:tblStylePr w:type="lastRow">
      <w:pPr>
        <w:snapToGrid/>
      </w:pPr>
      <w:rPr>
        <w:rFonts w:ascii="Arial" w:hAnsi="Arial"/>
        <w:b/>
        <w:color w:val="404040"/>
        <w:sz w:val="22"/>
      </w:rPr>
    </w:tblStylePr>
    <w:tblStylePr w:type="firstCol">
      <w:pPr>
        <w:snapToGrid/>
      </w:pPr>
      <w:rPr>
        <w:rFonts w:ascii="Arial" w:hAnsi="Arial"/>
        <w:b/>
        <w:color w:val="404040"/>
        <w:sz w:val="22"/>
      </w:rPr>
    </w:tblStylePr>
    <w:tblStylePr w:type="lastCol">
      <w:pPr>
        <w:snapToGrid/>
      </w:pPr>
      <w:rPr>
        <w:rFonts w:ascii="Arial" w:hAnsi="Arial"/>
        <w:b/>
        <w:color w:val="404040"/>
        <w:sz w:val="22"/>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312">
    <w:name w:val="清单表 31"/>
    <w:basedOn w:val="a1"/>
    <w:uiPriority w:val="99"/>
    <w:qFormat/>
    <w:tblPr>
      <w:tblBorders>
        <w:top w:val="single" w:sz="4" w:space="0" w:color="000000"/>
        <w:left w:val="single" w:sz="4" w:space="0" w:color="000000"/>
        <w:bottom w:val="single" w:sz="4" w:space="0" w:color="000000"/>
        <w:right w:val="single" w:sz="4" w:space="0" w:color="000000"/>
      </w:tblBorders>
      <w:tblCellMar>
        <w:left w:w="0" w:type="dxa"/>
        <w:right w:w="0" w:type="dxa"/>
      </w:tblCellMar>
    </w:tblPr>
    <w:tblStylePr w:type="firstRow">
      <w:pPr>
        <w:snapToGrid/>
      </w:pPr>
      <w:rPr>
        <w:rFonts w:ascii="Arial" w:hAnsi="Arial"/>
        <w:b/>
        <w:color w:val="FFFFFF"/>
        <w:sz w:val="22"/>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412">
    <w:name w:val="清单表 41"/>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tblBorders>
      <w:tblCellMar>
        <w:left w:w="0" w:type="dxa"/>
        <w:right w:w="0" w:type="dxa"/>
      </w:tblCellMar>
    </w:tblPr>
    <w:tblStylePr w:type="firstRow">
      <w:pPr>
        <w:snapToGrid/>
      </w:pPr>
      <w:rPr>
        <w:rFonts w:ascii="Arial" w:hAnsi="Arial"/>
        <w:b/>
        <w:color w:val="FFFFFF"/>
        <w:sz w:val="22"/>
      </w:rPr>
    </w:tblStylePr>
    <w:tblStylePr w:type="lastRow">
      <w:pPr>
        <w:snapToGrid/>
      </w:pPr>
      <w:rPr>
        <w:b/>
        <w:color w:val="404040"/>
      </w:rPr>
    </w:tblStylePr>
    <w:tblStylePr w:type="firstCol">
      <w:pPr>
        <w:snapToGrid/>
      </w:pPr>
      <w:rPr>
        <w:b/>
        <w:color w:val="404040"/>
      </w:rPr>
    </w:tblStylePr>
    <w:tblStylePr w:type="lastCol">
      <w:pPr>
        <w:snapToGrid/>
      </w:pPr>
      <w:rPr>
        <w:b/>
        <w:color w:val="404040"/>
      </w:rPr>
    </w:tblStylePr>
    <w:tblStylePr w:type="band1Vert">
      <w:pPr>
        <w:snapToGrid/>
      </w:pPr>
      <w:rPr>
        <w:rFonts w:ascii="Arial" w:hAnsi="Arial"/>
        <w:color w:val="404040"/>
        <w:sz w:val="22"/>
      </w:rPr>
    </w:tblStylePr>
    <w:tblStylePr w:type="band2Vert">
      <w:pPr>
        <w:snapToGrid/>
      </w:pPr>
    </w:tblStylePr>
    <w:tblStylePr w:type="band1Horz">
      <w:pPr>
        <w:snapToGrid/>
      </w:pPr>
      <w:rPr>
        <w:rFonts w:ascii="Arial" w:hAnsi="Arial"/>
        <w:color w:val="404040"/>
        <w:sz w:val="22"/>
      </w:r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512">
    <w:name w:val="清单表 5 深色1"/>
    <w:basedOn w:val="a1"/>
    <w:uiPriority w:val="99"/>
    <w:qFormat/>
    <w:tblPr>
      <w:tblBorders>
        <w:top w:val="single" w:sz="32" w:space="0" w:color="7F7F7F"/>
        <w:left w:val="single" w:sz="32" w:space="0" w:color="7F7F7F"/>
        <w:bottom w:val="single" w:sz="32" w:space="0" w:color="7F7F7F"/>
        <w:right w:val="single" w:sz="32" w:space="0" w:color="7F7F7F"/>
      </w:tblBorders>
      <w:tblCellMar>
        <w:left w:w="0" w:type="dxa"/>
        <w:right w:w="0" w:type="dxa"/>
      </w:tblCellMar>
    </w:tblPr>
    <w:tblStylePr w:type="firstRow">
      <w:pPr>
        <w:snapToGrid/>
      </w:pPr>
      <w:rPr>
        <w:rFonts w:ascii="Arial" w:hAnsi="Arial"/>
        <w:b/>
        <w:color w:val="FFFFFF" w:themeColor="light1"/>
        <w:sz w:val="22"/>
      </w:rPr>
    </w:tblStylePr>
    <w:tblStylePr w:type="lastRow">
      <w:pPr>
        <w:snapToGrid/>
      </w:pPr>
      <w:rPr>
        <w:rFonts w:ascii="Arial" w:hAnsi="Arial"/>
        <w:b/>
        <w:color w:val="FFFFFF" w:themeColor="light1"/>
        <w:sz w:val="22"/>
      </w:rPr>
    </w:tblStylePr>
    <w:tblStylePr w:type="firstCol">
      <w:pPr>
        <w:snapToGrid/>
      </w:pPr>
      <w:rPr>
        <w:rFonts w:ascii="Arial" w:hAnsi="Arial"/>
        <w:b/>
        <w:color w:val="FFFFFF" w:themeColor="light1"/>
        <w:sz w:val="22"/>
      </w:r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611">
    <w:name w:val="清单表 6 彩色1"/>
    <w:basedOn w:val="a1"/>
    <w:uiPriority w:val="99"/>
    <w:qFormat/>
    <w:tblPr>
      <w:tblBorders>
        <w:top w:val="single" w:sz="4" w:space="0" w:color="7F7F7F"/>
        <w:bottom w:val="single" w:sz="4" w:space="0" w:color="7F7F7F"/>
      </w:tblBorders>
      <w:tblCellMar>
        <w:left w:w="0" w:type="dxa"/>
        <w:right w:w="0" w:type="dxa"/>
      </w:tblCellMar>
    </w:tblPr>
    <w:tblStylePr w:type="firstRow">
      <w:pPr>
        <w:snapToGrid/>
      </w:pPr>
      <w:rPr>
        <w:b/>
        <w:color w:val="000000" w:themeColor="text1"/>
      </w:rPr>
    </w:tblStylePr>
    <w:tblStylePr w:type="lastRow">
      <w:pPr>
        <w:snapToGrid/>
      </w:pPr>
      <w:rPr>
        <w:b/>
        <w:color w:val="000000" w:themeColor="text1"/>
      </w:rPr>
    </w:tblStylePr>
    <w:tblStylePr w:type="firstCol">
      <w:pPr>
        <w:snapToGrid/>
      </w:pPr>
      <w:rPr>
        <w:b/>
        <w:color w:val="000000" w:themeColor="text1"/>
      </w:rPr>
    </w:tblStylePr>
    <w:tblStylePr w:type="lastCol">
      <w:pPr>
        <w:snapToGrid/>
      </w:pPr>
      <w:rPr>
        <w:b/>
        <w:color w:val="000000" w:themeColor="text1"/>
      </w:rPr>
    </w:tblStylePr>
    <w:tblStylePr w:type="band1Vert">
      <w:pPr>
        <w:snapToGrid/>
      </w:pPr>
    </w:tblStylePr>
    <w:tblStylePr w:type="band2Vert">
      <w:pPr>
        <w:snapToGrid/>
      </w:pPr>
    </w:tblStylePr>
    <w:tblStylePr w:type="band1Horz">
      <w:pPr>
        <w:snapToGrid/>
      </w:pPr>
      <w:rPr>
        <w:rFonts w:ascii="Arial" w:hAnsi="Arial"/>
        <w:color w:val="000000" w:themeColor="text1"/>
        <w:sz w:val="22"/>
      </w:rPr>
    </w:tblStylePr>
    <w:tblStylePr w:type="band2Horz">
      <w:pPr>
        <w:snapToGrid/>
      </w:pPr>
      <w:rPr>
        <w:rFonts w:ascii="Arial" w:hAnsi="Arial"/>
        <w:color w:val="000000" w:themeColor="text1"/>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711">
    <w:name w:val="清单表 7 彩色1"/>
    <w:basedOn w:val="a1"/>
    <w:uiPriority w:val="99"/>
    <w:qFormat/>
    <w:tblPr>
      <w:tblBorders>
        <w:right w:val="single" w:sz="4" w:space="0" w:color="7F7F7F"/>
      </w:tblBorders>
      <w:tblCellMar>
        <w:left w:w="0" w:type="dxa"/>
        <w:right w:w="0" w:type="dxa"/>
      </w:tblCellMar>
    </w:tblPr>
    <w:tblStylePr w:type="firstRow">
      <w:pPr>
        <w:snapToGrid/>
      </w:pPr>
      <w:rPr>
        <w:rFonts w:ascii="Arial" w:hAnsi="Arial"/>
        <w:i/>
        <w:color w:val="7F7F7F" w:themeColor="text1" w:themeTint="80"/>
        <w:sz w:val="22"/>
      </w:rPr>
    </w:tblStylePr>
    <w:tblStylePr w:type="lastRow">
      <w:pPr>
        <w:snapToGrid/>
      </w:pPr>
      <w:rPr>
        <w:rFonts w:ascii="Arial" w:hAnsi="Arial"/>
        <w:i/>
        <w:color w:val="7F7F7F" w:themeColor="text1" w:themeTint="80"/>
        <w:sz w:val="22"/>
      </w:rPr>
    </w:tblStylePr>
    <w:tblStylePr w:type="firstCol">
      <w:pPr>
        <w:snapToGrid/>
      </w:pPr>
      <w:rPr>
        <w:rFonts w:ascii="Arial" w:hAnsi="Arial"/>
        <w:i/>
        <w:color w:val="7F7F7F" w:themeColor="text1" w:themeTint="80"/>
        <w:sz w:val="22"/>
      </w:rPr>
    </w:tblStylePr>
    <w:tblStylePr w:type="lastCol">
      <w:pPr>
        <w:snapToGrid/>
      </w:pPr>
      <w:rPr>
        <w:rFonts w:ascii="Arial" w:hAnsi="Arial"/>
        <w:i/>
        <w:color w:val="7F7F7F" w:themeColor="text1" w:themeTint="80"/>
        <w:sz w:val="22"/>
      </w:rPr>
    </w:tblStylePr>
    <w:tblStylePr w:type="band1Vert">
      <w:pPr>
        <w:snapToGrid/>
      </w:pPr>
    </w:tblStylePr>
    <w:tblStylePr w:type="band2Vert">
      <w:pPr>
        <w:snapToGrid/>
      </w:pPr>
    </w:tblStylePr>
    <w:tblStylePr w:type="band1Horz">
      <w:pPr>
        <w:snapToGrid/>
      </w:pPr>
      <w:rPr>
        <w:rFonts w:ascii="Arial" w:hAnsi="Arial"/>
        <w:color w:val="7F7F7F" w:themeColor="text1" w:themeTint="80"/>
        <w:sz w:val="22"/>
      </w:rPr>
    </w:tblStylePr>
    <w:tblStylePr w:type="band2Horz">
      <w:pPr>
        <w:snapToGrid/>
      </w:pPr>
      <w:rPr>
        <w:rFonts w:ascii="Arial" w:hAnsi="Arial"/>
        <w:color w:val="7F7F7F" w:themeColor="text1" w:themeTint="80"/>
        <w:sz w:val="22"/>
      </w:rPr>
    </w:tblStylePr>
    <w:tblStylePr w:type="neCell">
      <w:pPr>
        <w:snapToGrid/>
      </w:pPr>
    </w:tblStylePr>
    <w:tblStylePr w:type="nwCell">
      <w:pPr>
        <w:snapToGrid/>
      </w:pPr>
    </w:tblStylePr>
    <w:tblStylePr w:type="seCell">
      <w:pPr>
        <w:snapToGrid/>
      </w:pPr>
    </w:tblStylePr>
    <w:tblStylePr w:type="swCell">
      <w:pPr>
        <w:snapToGrid/>
      </w:pPr>
    </w:tblStylePr>
  </w:style>
  <w:style w:type="paragraph" w:customStyle="1" w:styleId="TOC1">
    <w:name w:val="TOC 标题1"/>
    <w:uiPriority w:val="39"/>
    <w:unhideWhenUsed/>
    <w:qFormat/>
    <w:rPr>
      <w:sz w:val="22"/>
      <w:lang w:eastAsia="en-US"/>
    </w:rPr>
  </w:style>
  <w:style w:type="character" w:customStyle="1" w:styleId="30">
    <w:name w:val="标题 3 字符"/>
    <w:link w:val="3"/>
    <w:qFormat/>
    <w:rPr>
      <w:rFonts w:ascii="Times New Roman" w:eastAsia="宋体" w:hAnsi="Times New Roman"/>
      <w:b/>
      <w:bCs/>
      <w:sz w:val="32"/>
      <w:szCs w:val="32"/>
    </w:rPr>
  </w:style>
  <w:style w:type="character" w:customStyle="1" w:styleId="10">
    <w:name w:val="标题 1 字符"/>
    <w:link w:val="1"/>
    <w:qFormat/>
    <w:rPr>
      <w:rFonts w:ascii="Calibri" w:eastAsia="宋体" w:hAnsi="Calibri"/>
      <w:b/>
      <w:bCs/>
      <w:sz w:val="44"/>
      <w:szCs w:val="44"/>
    </w:rPr>
  </w:style>
  <w:style w:type="character" w:customStyle="1" w:styleId="20">
    <w:name w:val="标题 2 字符"/>
    <w:link w:val="2"/>
    <w:qFormat/>
    <w:rPr>
      <w:rFonts w:ascii="Arial" w:eastAsia="黑体" w:hAnsi="Arial"/>
      <w:sz w:val="32"/>
      <w:szCs w:val="32"/>
    </w:rPr>
  </w:style>
  <w:style w:type="character" w:customStyle="1" w:styleId="40">
    <w:name w:val="标题 4 字符"/>
    <w:link w:val="4"/>
    <w:qFormat/>
    <w:rPr>
      <w:rFonts w:ascii="Arial" w:eastAsia="黑体" w:hAnsi="Arial"/>
      <w:b/>
      <w:bCs/>
      <w:sz w:val="28"/>
      <w:szCs w:val="28"/>
    </w:rPr>
  </w:style>
  <w:style w:type="character" w:customStyle="1" w:styleId="50">
    <w:name w:val="标题 5 字符"/>
    <w:link w:val="5"/>
    <w:qFormat/>
    <w:rPr>
      <w:rFonts w:ascii="Times New Roman" w:eastAsia="宋体" w:hAnsi="Times New Roman"/>
      <w:b/>
      <w:bCs/>
      <w:sz w:val="28"/>
      <w:szCs w:val="28"/>
    </w:rPr>
  </w:style>
  <w:style w:type="character" w:customStyle="1" w:styleId="60">
    <w:name w:val="标题 6 字符"/>
    <w:link w:val="6"/>
    <w:qFormat/>
    <w:rPr>
      <w:rFonts w:ascii="Arial" w:eastAsia="黑体" w:hAnsi="Arial"/>
      <w:b/>
      <w:bCs/>
      <w:sz w:val="24"/>
      <w:szCs w:val="24"/>
    </w:rPr>
  </w:style>
  <w:style w:type="character" w:customStyle="1" w:styleId="70">
    <w:name w:val="标题 7 字符"/>
    <w:link w:val="7"/>
    <w:qFormat/>
    <w:rPr>
      <w:rFonts w:ascii="Times New Roman" w:eastAsia="宋体" w:hAnsi="Times New Roman"/>
      <w:b/>
      <w:bCs/>
      <w:sz w:val="24"/>
      <w:szCs w:val="24"/>
    </w:rPr>
  </w:style>
  <w:style w:type="character" w:customStyle="1" w:styleId="80">
    <w:name w:val="标题 8 字符"/>
    <w:link w:val="8"/>
    <w:qFormat/>
    <w:rPr>
      <w:rFonts w:ascii="Arial" w:eastAsia="黑体" w:hAnsi="Arial"/>
      <w:sz w:val="24"/>
      <w:szCs w:val="24"/>
    </w:rPr>
  </w:style>
  <w:style w:type="character" w:customStyle="1" w:styleId="90">
    <w:name w:val="标题 9 字符"/>
    <w:link w:val="9"/>
    <w:qFormat/>
    <w:rPr>
      <w:rFonts w:ascii="Arial" w:eastAsia="黑体" w:hAnsi="Arial"/>
      <w:sz w:val="20"/>
      <w:szCs w:val="21"/>
    </w:rPr>
  </w:style>
  <w:style w:type="character" w:customStyle="1" w:styleId="a5">
    <w:name w:val="正文缩进 字符"/>
    <w:link w:val="a4"/>
    <w:qFormat/>
    <w:rPr>
      <w:rFonts w:ascii="Times New Roman" w:eastAsia="宋体" w:hAnsi="Times New Roman"/>
      <w:sz w:val="20"/>
      <w:szCs w:val="20"/>
    </w:rPr>
  </w:style>
  <w:style w:type="character" w:customStyle="1" w:styleId="a8">
    <w:name w:val="文档结构图 字符"/>
    <w:link w:val="a7"/>
    <w:qFormat/>
    <w:rPr>
      <w:rFonts w:ascii="宋体" w:eastAsia="宋体" w:hAnsi="Times New Roman"/>
      <w:sz w:val="18"/>
      <w:szCs w:val="18"/>
    </w:rPr>
  </w:style>
  <w:style w:type="character" w:customStyle="1" w:styleId="aa">
    <w:name w:val="批注文字 字符"/>
    <w:link w:val="a9"/>
    <w:qFormat/>
    <w:rPr>
      <w:rFonts w:ascii="Calibri" w:eastAsia="宋体" w:hAnsi="Calibri"/>
      <w:sz w:val="20"/>
      <w:szCs w:val="20"/>
    </w:rPr>
  </w:style>
  <w:style w:type="character" w:customStyle="1" w:styleId="ac">
    <w:name w:val="正文文本 字符"/>
    <w:link w:val="ab"/>
    <w:qFormat/>
    <w:rPr>
      <w:rFonts w:ascii="Calibri" w:hAnsi="Calibri"/>
      <w:sz w:val="21"/>
      <w:szCs w:val="22"/>
    </w:rPr>
  </w:style>
  <w:style w:type="character" w:customStyle="1" w:styleId="ae">
    <w:name w:val="正文文本缩进 字符"/>
    <w:link w:val="ad"/>
    <w:qFormat/>
    <w:rPr>
      <w:rFonts w:ascii="仿宋_GB2312" w:eastAsia="仿宋_GB2312" w:hAnsi="宋体"/>
      <w:sz w:val="28"/>
      <w:szCs w:val="20"/>
    </w:rPr>
  </w:style>
  <w:style w:type="character" w:customStyle="1" w:styleId="af0">
    <w:name w:val="纯文本 字符"/>
    <w:link w:val="af"/>
    <w:qFormat/>
    <w:rPr>
      <w:rFonts w:ascii="宋体" w:eastAsia="宋体" w:hAnsi="Courier New"/>
      <w:sz w:val="20"/>
      <w:szCs w:val="20"/>
    </w:rPr>
  </w:style>
  <w:style w:type="character" w:customStyle="1" w:styleId="25">
    <w:name w:val="正文文本缩进 2 字符"/>
    <w:link w:val="24"/>
    <w:qFormat/>
    <w:rPr>
      <w:rFonts w:ascii="宋体" w:eastAsia="宋体" w:hAnsi="宋体"/>
      <w:color w:val="000000"/>
      <w:sz w:val="20"/>
      <w:szCs w:val="24"/>
    </w:rPr>
  </w:style>
  <w:style w:type="character" w:customStyle="1" w:styleId="af2">
    <w:name w:val="尾注文本 字符"/>
    <w:link w:val="af1"/>
    <w:uiPriority w:val="99"/>
    <w:qFormat/>
    <w:rPr>
      <w:sz w:val="20"/>
    </w:rPr>
  </w:style>
  <w:style w:type="character" w:customStyle="1" w:styleId="af4">
    <w:name w:val="批注框文本 字符"/>
    <w:link w:val="af3"/>
    <w:qFormat/>
    <w:rPr>
      <w:rFonts w:ascii="Calibri" w:eastAsia="宋体" w:hAnsi="Calibri"/>
      <w:sz w:val="18"/>
      <w:szCs w:val="18"/>
    </w:rPr>
  </w:style>
  <w:style w:type="character" w:customStyle="1" w:styleId="af6">
    <w:name w:val="页脚 字符"/>
    <w:link w:val="af5"/>
    <w:qFormat/>
    <w:rPr>
      <w:sz w:val="18"/>
      <w:szCs w:val="18"/>
    </w:rPr>
  </w:style>
  <w:style w:type="character" w:customStyle="1" w:styleId="af8">
    <w:name w:val="页眉 字符"/>
    <w:link w:val="af7"/>
    <w:qFormat/>
    <w:rPr>
      <w:sz w:val="18"/>
      <w:szCs w:val="18"/>
    </w:rPr>
  </w:style>
  <w:style w:type="character" w:customStyle="1" w:styleId="afa">
    <w:name w:val="副标题 字符"/>
    <w:link w:val="af9"/>
    <w:uiPriority w:val="11"/>
    <w:qFormat/>
    <w:rPr>
      <w:sz w:val="24"/>
      <w:szCs w:val="24"/>
    </w:rPr>
  </w:style>
  <w:style w:type="character" w:customStyle="1" w:styleId="afd">
    <w:name w:val="脚注文本 字符"/>
    <w:link w:val="afc"/>
    <w:uiPriority w:val="99"/>
    <w:qFormat/>
    <w:rPr>
      <w:sz w:val="18"/>
    </w:rPr>
  </w:style>
  <w:style w:type="character" w:customStyle="1" w:styleId="36">
    <w:name w:val="正文文本缩进 3 字符"/>
    <w:link w:val="35"/>
    <w:qFormat/>
    <w:rPr>
      <w:rFonts w:ascii="Times New Roman" w:eastAsia="仿宋_GB2312" w:hAnsi="Times New Roman"/>
      <w:sz w:val="28"/>
      <w:szCs w:val="20"/>
    </w:rPr>
  </w:style>
  <w:style w:type="character" w:customStyle="1" w:styleId="HTML0">
    <w:name w:val="HTML 预设格式 字符"/>
    <w:link w:val="HTML"/>
    <w:qFormat/>
    <w:rPr>
      <w:rFonts w:ascii="宋体" w:hAnsi="宋体"/>
      <w:sz w:val="24"/>
      <w:szCs w:val="24"/>
    </w:rPr>
  </w:style>
  <w:style w:type="character" w:customStyle="1" w:styleId="aff1">
    <w:name w:val="标题 字符"/>
    <w:link w:val="aff0"/>
    <w:qFormat/>
    <w:rPr>
      <w:rFonts w:ascii="Arial" w:eastAsia="宋体" w:hAnsi="Arial"/>
      <w:b/>
      <w:sz w:val="32"/>
      <w:szCs w:val="20"/>
    </w:rPr>
  </w:style>
  <w:style w:type="character" w:customStyle="1" w:styleId="aff3">
    <w:name w:val="批注主题 字符"/>
    <w:link w:val="aff2"/>
    <w:qFormat/>
    <w:rPr>
      <w:rFonts w:ascii="Calibri" w:eastAsia="宋体" w:hAnsi="Calibri"/>
      <w:b/>
      <w:bCs/>
      <w:sz w:val="20"/>
      <w:szCs w:val="20"/>
    </w:rPr>
  </w:style>
  <w:style w:type="character" w:customStyle="1" w:styleId="Heading1Char">
    <w:name w:val="Heading 1 Char"/>
    <w:basedOn w:val="a0"/>
    <w:uiPriority w:val="9"/>
    <w:qFormat/>
    <w:rPr>
      <w:rFonts w:ascii="Arial" w:hAnsi="Arial" w:cs="Arial"/>
      <w:sz w:val="40"/>
      <w:szCs w:val="40"/>
    </w:rPr>
  </w:style>
  <w:style w:type="character" w:customStyle="1" w:styleId="Heading2Char">
    <w:name w:val="Heading 2 Char"/>
    <w:basedOn w:val="a0"/>
    <w:uiPriority w:val="9"/>
    <w:qFormat/>
    <w:rPr>
      <w:rFonts w:ascii="Arial" w:hAnsi="Arial" w:cs="Arial"/>
      <w:sz w:val="34"/>
    </w:rPr>
  </w:style>
  <w:style w:type="character" w:customStyle="1" w:styleId="Heading3Char">
    <w:name w:val="Heading 3 Char"/>
    <w:basedOn w:val="a0"/>
    <w:uiPriority w:val="9"/>
    <w:qFormat/>
    <w:rPr>
      <w:rFonts w:ascii="Arial" w:hAnsi="Arial" w:cs="Arial"/>
      <w:sz w:val="30"/>
      <w:szCs w:val="30"/>
    </w:rPr>
  </w:style>
  <w:style w:type="character" w:customStyle="1" w:styleId="Heading4Char">
    <w:name w:val="Heading 4 Char"/>
    <w:basedOn w:val="a0"/>
    <w:uiPriority w:val="9"/>
    <w:qFormat/>
    <w:rPr>
      <w:rFonts w:ascii="Arial" w:hAnsi="Arial" w:cs="Arial"/>
      <w:b/>
      <w:bCs/>
      <w:sz w:val="26"/>
      <w:szCs w:val="26"/>
    </w:rPr>
  </w:style>
  <w:style w:type="character" w:customStyle="1" w:styleId="Heading5Char">
    <w:name w:val="Heading 5 Char"/>
    <w:basedOn w:val="a0"/>
    <w:uiPriority w:val="9"/>
    <w:qFormat/>
    <w:rPr>
      <w:rFonts w:ascii="Arial" w:hAnsi="Arial" w:cs="Arial"/>
      <w:b/>
      <w:bCs/>
      <w:sz w:val="24"/>
      <w:szCs w:val="24"/>
    </w:rPr>
  </w:style>
  <w:style w:type="character" w:customStyle="1" w:styleId="Heading6Char">
    <w:name w:val="Heading 6 Char"/>
    <w:basedOn w:val="a0"/>
    <w:uiPriority w:val="9"/>
    <w:qFormat/>
    <w:rPr>
      <w:rFonts w:ascii="Arial" w:hAnsi="Arial" w:cs="Arial"/>
      <w:b/>
      <w:bCs/>
      <w:sz w:val="22"/>
      <w:szCs w:val="22"/>
    </w:rPr>
  </w:style>
  <w:style w:type="character" w:customStyle="1" w:styleId="Heading7Char">
    <w:name w:val="Heading 7 Char"/>
    <w:basedOn w:val="a0"/>
    <w:uiPriority w:val="9"/>
    <w:qFormat/>
    <w:rPr>
      <w:rFonts w:ascii="Arial" w:hAnsi="Arial" w:cs="Arial"/>
      <w:b/>
      <w:bCs/>
      <w:i/>
      <w:iCs/>
      <w:sz w:val="22"/>
      <w:szCs w:val="22"/>
    </w:rPr>
  </w:style>
  <w:style w:type="character" w:customStyle="1" w:styleId="Heading8Char">
    <w:name w:val="Heading 8 Char"/>
    <w:basedOn w:val="a0"/>
    <w:uiPriority w:val="9"/>
    <w:qFormat/>
    <w:rPr>
      <w:rFonts w:ascii="Arial" w:hAnsi="Arial" w:cs="Arial"/>
      <w:i/>
      <w:iCs/>
      <w:sz w:val="22"/>
      <w:szCs w:val="22"/>
    </w:rPr>
  </w:style>
  <w:style w:type="character" w:customStyle="1" w:styleId="Heading9Char">
    <w:name w:val="Heading 9 Char"/>
    <w:basedOn w:val="a0"/>
    <w:uiPriority w:val="9"/>
    <w:qFormat/>
    <w:rPr>
      <w:rFonts w:ascii="Arial" w:hAnsi="Arial" w:cs="Arial"/>
      <w:i/>
      <w:iCs/>
      <w:sz w:val="21"/>
      <w:szCs w:val="21"/>
    </w:rPr>
  </w:style>
  <w:style w:type="character" w:customStyle="1" w:styleId="TitleChar">
    <w:name w:val="Title Char"/>
    <w:basedOn w:val="a0"/>
    <w:uiPriority w:val="10"/>
    <w:qFormat/>
    <w:rPr>
      <w:sz w:val="48"/>
      <w:szCs w:val="48"/>
    </w:rPr>
  </w:style>
  <w:style w:type="character" w:customStyle="1" w:styleId="SubtitleChar">
    <w:name w:val="Subtitle Char"/>
    <w:basedOn w:val="a0"/>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Heading1Char681faa94-09c6-46f2-88f0-545bcd150ea7">
    <w:name w:val="Heading 1 Char_681faa94-09c6-46f2-88f0-545bcd150ea7"/>
    <w:uiPriority w:val="9"/>
    <w:qFormat/>
    <w:rPr>
      <w:rFonts w:ascii="Arial" w:hAnsi="Arial" w:cs="Arial"/>
      <w:sz w:val="40"/>
      <w:szCs w:val="40"/>
    </w:rPr>
  </w:style>
  <w:style w:type="character" w:customStyle="1" w:styleId="Heading2Char5ff03bd6-bff1-4429-aa2c-5b40f7e7f5fa">
    <w:name w:val="Heading 2 Char_5ff03bd6-bff1-4429-aa2c-5b40f7e7f5fa"/>
    <w:uiPriority w:val="9"/>
    <w:qFormat/>
    <w:rPr>
      <w:rFonts w:ascii="Arial" w:hAnsi="Arial" w:cs="Arial"/>
      <w:sz w:val="34"/>
    </w:rPr>
  </w:style>
  <w:style w:type="character" w:customStyle="1" w:styleId="Heading3Charf24f3462-1be9-4021-802f-e50d6dcb762b">
    <w:name w:val="Heading 3 Char_f24f3462-1be9-4021-802f-e50d6dcb762b"/>
    <w:uiPriority w:val="9"/>
    <w:qFormat/>
    <w:rPr>
      <w:rFonts w:ascii="Arial" w:hAnsi="Arial" w:cs="Arial"/>
      <w:sz w:val="30"/>
      <w:szCs w:val="30"/>
    </w:rPr>
  </w:style>
  <w:style w:type="character" w:customStyle="1" w:styleId="Heading4Charfb6f09a8-5cea-4e90-a8b0-bc5436585e22">
    <w:name w:val="Heading 4 Char_fb6f09a8-5cea-4e90-a8b0-bc5436585e22"/>
    <w:uiPriority w:val="9"/>
    <w:qFormat/>
    <w:rPr>
      <w:rFonts w:ascii="Arial" w:hAnsi="Arial" w:cs="Arial"/>
      <w:b/>
      <w:bCs/>
      <w:sz w:val="26"/>
      <w:szCs w:val="26"/>
    </w:rPr>
  </w:style>
  <w:style w:type="character" w:customStyle="1" w:styleId="Heading5Chardf522799-f38b-4257-a1bc-c9fa6a162cd6">
    <w:name w:val="Heading 5 Char_df522799-f38b-4257-a1bc-c9fa6a162cd6"/>
    <w:uiPriority w:val="9"/>
    <w:qFormat/>
    <w:rPr>
      <w:rFonts w:ascii="Arial" w:hAnsi="Arial" w:cs="Arial"/>
      <w:b/>
      <w:bCs/>
      <w:sz w:val="24"/>
      <w:szCs w:val="24"/>
    </w:rPr>
  </w:style>
  <w:style w:type="character" w:customStyle="1" w:styleId="Heading6Char73646599-e475-4c74-8d25-fa01b1dd800f">
    <w:name w:val="Heading 6 Char_73646599-e475-4c74-8d25-fa01b1dd800f"/>
    <w:uiPriority w:val="9"/>
    <w:qFormat/>
    <w:rPr>
      <w:rFonts w:ascii="Arial" w:hAnsi="Arial" w:cs="Arial"/>
      <w:b/>
      <w:bCs/>
      <w:sz w:val="22"/>
      <w:szCs w:val="22"/>
    </w:rPr>
  </w:style>
  <w:style w:type="character" w:customStyle="1" w:styleId="Heading7Charca5d6cc6-26a9-43b0-9387-8ab9b2b562fa">
    <w:name w:val="Heading 7 Char_ca5d6cc6-26a9-43b0-9387-8ab9b2b562fa"/>
    <w:uiPriority w:val="9"/>
    <w:qFormat/>
    <w:rPr>
      <w:rFonts w:ascii="Arial" w:hAnsi="Arial" w:cs="Arial"/>
      <w:b/>
      <w:bCs/>
      <w:i/>
      <w:iCs/>
      <w:sz w:val="22"/>
      <w:szCs w:val="22"/>
    </w:rPr>
  </w:style>
  <w:style w:type="character" w:customStyle="1" w:styleId="Heading8Charaa576176-132b-4c87-9f11-6c121e254154">
    <w:name w:val="Heading 8 Char_aa576176-132b-4c87-9f11-6c121e254154"/>
    <w:uiPriority w:val="9"/>
    <w:qFormat/>
    <w:rPr>
      <w:rFonts w:ascii="Arial" w:hAnsi="Arial" w:cs="Arial"/>
      <w:i/>
      <w:iCs/>
      <w:sz w:val="22"/>
      <w:szCs w:val="22"/>
    </w:rPr>
  </w:style>
  <w:style w:type="character" w:customStyle="1" w:styleId="Heading9Char5fcfab15-87b3-4707-b2cb-d48cfd1e33ce">
    <w:name w:val="Heading 9 Char_5fcfab15-87b3-4707-b2cb-d48cfd1e33ce"/>
    <w:uiPriority w:val="9"/>
    <w:qFormat/>
    <w:rPr>
      <w:rFonts w:ascii="Arial" w:hAnsi="Arial" w:cs="Arial"/>
      <w:i/>
      <w:iCs/>
      <w:sz w:val="21"/>
      <w:szCs w:val="21"/>
    </w:rPr>
  </w:style>
  <w:style w:type="paragraph" w:styleId="affb">
    <w:name w:val="List Paragraph"/>
    <w:basedOn w:val="a"/>
    <w:qFormat/>
    <w:pPr>
      <w:ind w:firstLine="420"/>
    </w:pPr>
  </w:style>
  <w:style w:type="paragraph" w:styleId="affc">
    <w:name w:val="No Spacing"/>
    <w:uiPriority w:val="1"/>
    <w:qFormat/>
    <w:rPr>
      <w:rFonts w:ascii="Arial" w:hAnsi="Arial" w:cs="Arial"/>
      <w:sz w:val="22"/>
      <w:lang w:eastAsia="en-US"/>
    </w:rPr>
  </w:style>
  <w:style w:type="character" w:customStyle="1" w:styleId="TitleCharab88f52b-2d82-43b1-9c1c-9e93ac7d41d2">
    <w:name w:val="Title Char_ab88f52b-2d82-43b1-9c1c-9e93ac7d41d2"/>
    <w:uiPriority w:val="10"/>
    <w:qFormat/>
    <w:rPr>
      <w:sz w:val="48"/>
      <w:szCs w:val="48"/>
    </w:rPr>
  </w:style>
  <w:style w:type="paragraph" w:styleId="affd">
    <w:name w:val="Quote"/>
    <w:link w:val="affe"/>
    <w:uiPriority w:val="29"/>
    <w:qFormat/>
    <w:pPr>
      <w:ind w:left="720" w:right="720"/>
    </w:pPr>
    <w:rPr>
      <w:rFonts w:ascii="Arial" w:hAnsi="Arial" w:cs="Arial"/>
      <w:i/>
      <w:sz w:val="22"/>
      <w:lang w:eastAsia="en-US"/>
    </w:rPr>
  </w:style>
  <w:style w:type="character" w:customStyle="1" w:styleId="affe">
    <w:name w:val="引用 字符"/>
    <w:link w:val="affd"/>
    <w:uiPriority w:val="29"/>
    <w:qFormat/>
    <w:rPr>
      <w:i/>
    </w:rPr>
  </w:style>
  <w:style w:type="paragraph" w:styleId="afff">
    <w:name w:val="Intense Quote"/>
    <w:link w:val="afff0"/>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rFonts w:ascii="Arial" w:hAnsi="Arial" w:cs="Arial"/>
      <w:i/>
      <w:sz w:val="22"/>
      <w:lang w:eastAsia="en-US"/>
    </w:rPr>
  </w:style>
  <w:style w:type="character" w:customStyle="1" w:styleId="afff0">
    <w:name w:val="明显引用 字符"/>
    <w:link w:val="afff"/>
    <w:uiPriority w:val="30"/>
    <w:qFormat/>
    <w:rPr>
      <w:i/>
    </w:rPr>
  </w:style>
  <w:style w:type="character" w:customStyle="1" w:styleId="HeaderCharb215d116-d7da-4bee-9977-7584d12bf982">
    <w:name w:val="Header Char_b215d116-d7da-4bee-9977-7584d12bf982"/>
    <w:uiPriority w:val="99"/>
    <w:qFormat/>
  </w:style>
  <w:style w:type="character" w:customStyle="1" w:styleId="FooterChar08025a32-29e0-4362-99c8-009b73abbf2f">
    <w:name w:val="Footer Char_08025a32-29e0-4362-99c8-009b73abbf2f"/>
    <w:uiPriority w:val="99"/>
    <w:qFormat/>
  </w:style>
  <w:style w:type="character" w:customStyle="1" w:styleId="CaptionChar">
    <w:name w:val="Caption Char"/>
    <w:uiPriority w:val="99"/>
    <w:qFormat/>
  </w:style>
  <w:style w:type="table" w:customStyle="1" w:styleId="TableGridLight">
    <w:name w:val="Table Grid Light"/>
    <w:uiPriority w:val="59"/>
    <w:qFormat/>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1">
    <w:name w:val="Grid Table 1 Light - Accent 1"/>
    <w:uiPriority w:val="99"/>
    <w:qFormat/>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2">
    <w:name w:val="Grid Table 1 Light - Accent 2"/>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3">
    <w:name w:val="Grid Table 1 Light - Accent 3"/>
    <w:uiPriority w:val="99"/>
    <w:qFormat/>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4">
    <w:name w:val="Grid Table 1 Light - Accent 4"/>
    <w:uiPriority w:val="99"/>
    <w:qFormat/>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5">
    <w:name w:val="Grid Table 1 Light - Accent 5"/>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1Light-Accent6">
    <w:name w:val="Grid Table 1 Light - Accent 6"/>
    <w:uiPriority w:val="99"/>
    <w:qFormat/>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1">
    <w:name w:val="Grid Table 2 - Accent 1"/>
    <w:uiPriority w:val="99"/>
    <w:qFormat/>
    <w:tblPr>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2">
    <w:name w:val="Grid Table 2 - Accent 2"/>
    <w:uiPriority w:val="99"/>
    <w:qFormat/>
    <w:tblPr>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3">
    <w:name w:val="Grid Table 2 - Accent 3"/>
    <w:uiPriority w:val="99"/>
    <w:qFormat/>
    <w:tblPr>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4">
    <w:name w:val="Grid Table 2 - Accent 4"/>
    <w:uiPriority w:val="99"/>
    <w:qFormat/>
    <w:tblPr>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5">
    <w:name w:val="Grid Table 2 - Accent 5"/>
    <w:uiPriority w:val="99"/>
    <w:qFormat/>
    <w:tblPr>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2-Accent6">
    <w:name w:val="Grid Table 2 - Accent 6"/>
    <w:uiPriority w:val="99"/>
    <w:qFormat/>
    <w:tblPr>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1">
    <w:name w:val="Grid Table 3 - Accent 1"/>
    <w:uiPriority w:val="99"/>
    <w:qFormat/>
    <w:tblPr>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2">
    <w:name w:val="Grid Table 3 - Accent 2"/>
    <w:uiPriority w:val="99"/>
    <w:qFormat/>
    <w:tblPr>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3">
    <w:name w:val="Grid Table 3 - Accent 3"/>
    <w:uiPriority w:val="99"/>
    <w:qFormat/>
    <w:tblPr>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4">
    <w:name w:val="Grid Table 3 - Accent 4"/>
    <w:uiPriority w:val="99"/>
    <w:qFormat/>
    <w:tblPr>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5">
    <w:name w:val="Grid Table 3 - Accent 5"/>
    <w:uiPriority w:val="99"/>
    <w:qFormat/>
    <w:tblPr>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3-Accent6">
    <w:name w:val="Grid Table 3 - Accent 6"/>
    <w:uiPriority w:val="99"/>
    <w:qFormat/>
    <w:tblPr>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1">
    <w:name w:val="Grid Table 4 - Accent 1"/>
    <w:uiPriority w:val="59"/>
    <w:qFormat/>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2">
    <w:name w:val="Grid Table 4 - Accent 2"/>
    <w:uiPriority w:val="59"/>
    <w:qFormat/>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3">
    <w:name w:val="Grid Table 4 - Accent 3"/>
    <w:uiPriority w:val="59"/>
    <w:qFormat/>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4">
    <w:name w:val="Grid Table 4 - Accent 4"/>
    <w:uiPriority w:val="59"/>
    <w:qFormat/>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5">
    <w:name w:val="Grid Table 4 - Accent 5"/>
    <w:uiPriority w:val="59"/>
    <w:qFormat/>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4-Accent6">
    <w:name w:val="Grid Table 4 - Accent 6"/>
    <w:uiPriority w:val="59"/>
    <w:qFormat/>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1">
    <w:name w:val="Grid Table 5 Dark- Accent 1"/>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2">
    <w:name w:val="Grid Table 5 Dark - Accent 2"/>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3">
    <w:name w:val="Grid Table 5 Dark - Accent 3"/>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4">
    <w:name w:val="Grid Table 5 Dark- Accent 4"/>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5">
    <w:name w:val="Grid Table 5 Dark - Accent 5"/>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5Dark-Accent6">
    <w:name w:val="Grid Table 5 Dark - Accent 6"/>
    <w:uiPriority w:val="99"/>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1">
    <w:name w:val="Grid Table 6 Colorful - Accent 1"/>
    <w:uiPriority w:val="99"/>
    <w:qFormat/>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2">
    <w:name w:val="Grid Table 6 Colorful - Accent 2"/>
    <w:uiPriority w:val="99"/>
    <w:qFormat/>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3">
    <w:name w:val="Grid Table 6 Colorful - Accent 3"/>
    <w:uiPriority w:val="99"/>
    <w:qFormat/>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4">
    <w:name w:val="Grid Table 6 Colorful - Accent 4"/>
    <w:uiPriority w:val="99"/>
    <w:qFormat/>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5">
    <w:name w:val="Grid Table 6 Colorful - Accent 5"/>
    <w:uiPriority w:val="99"/>
    <w:qFormat/>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6Colorful-Accent6">
    <w:name w:val="Grid Table 6 Colorful - Accent 6"/>
    <w:uiPriority w:val="99"/>
    <w:qFormat/>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1">
    <w:name w:val="Grid Table 7 Colorful - Accent 1"/>
    <w:uiPriority w:val="99"/>
    <w:qFormat/>
    <w:tblPr>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2">
    <w:name w:val="Grid Table 7 Colorful - Accent 2"/>
    <w:uiPriority w:val="99"/>
    <w:qFormat/>
    <w:tblPr>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3">
    <w:name w:val="Grid Table 7 Colorful - Accent 3"/>
    <w:uiPriority w:val="99"/>
    <w:qFormat/>
    <w:tblPr>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4">
    <w:name w:val="Grid Table 7 Colorful - Accent 4"/>
    <w:uiPriority w:val="99"/>
    <w:qFormat/>
    <w:tblPr>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5">
    <w:name w:val="Grid Table 7 Colorful - Accent 5"/>
    <w:uiPriority w:val="99"/>
    <w:qFormat/>
    <w:tblPr>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GridTable7Colorful-Accent6">
    <w:name w:val="Grid Table 7 Colorful - Accent 6"/>
    <w:uiPriority w:val="99"/>
    <w:qFormat/>
    <w:tblPr>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1">
    <w:name w:val="List Table 1 Light - Accent 1"/>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2">
    <w:name w:val="List Table 1 Light - Accent 2"/>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3">
    <w:name w:val="List Table 1 Light - Accent 3"/>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4">
    <w:name w:val="List Table 1 Light - Accent 4"/>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5">
    <w:name w:val="List Table 1 Light - Accent 5"/>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1Light-Accent6">
    <w:name w:val="List Table 1 Light - Accent 6"/>
    <w:uiPriority w:val="99"/>
    <w:qFormat/>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1">
    <w:name w:val="List Table 2 - Accent 1"/>
    <w:uiPriority w:val="99"/>
    <w:qFormat/>
    <w:tblPr>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2">
    <w:name w:val="List Table 2 - Accent 2"/>
    <w:uiPriority w:val="99"/>
    <w:qFormat/>
    <w:tblPr>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3">
    <w:name w:val="List Table 2 - Accent 3"/>
    <w:uiPriority w:val="99"/>
    <w:qFormat/>
    <w:tblPr>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4">
    <w:name w:val="List Table 2 - Accent 4"/>
    <w:uiPriority w:val="99"/>
    <w:qFormat/>
    <w:tblPr>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5">
    <w:name w:val="List Table 2 - Accent 5"/>
    <w:uiPriority w:val="99"/>
    <w:qFormat/>
    <w:tblPr>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2-Accent6">
    <w:name w:val="List Table 2 - Accent 6"/>
    <w:uiPriority w:val="99"/>
    <w:qFormat/>
    <w:tblPr>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1">
    <w:name w:val="List Table 3 - Accent 1"/>
    <w:uiPriority w:val="99"/>
    <w:qFormat/>
    <w:tblPr>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2">
    <w:name w:val="List Table 3 - Accent 2"/>
    <w:uiPriority w:val="99"/>
    <w:qFormat/>
    <w:tblPr>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3">
    <w:name w:val="List Table 3 - Accent 3"/>
    <w:uiPriority w:val="99"/>
    <w:qFormat/>
    <w:tblPr>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4">
    <w:name w:val="List Table 3 - Accent 4"/>
    <w:uiPriority w:val="99"/>
    <w:qFormat/>
    <w:tblPr>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5">
    <w:name w:val="List Table 3 - Accent 5"/>
    <w:uiPriority w:val="99"/>
    <w:qFormat/>
    <w:tblPr>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3-Accent6">
    <w:name w:val="List Table 3 - Accent 6"/>
    <w:uiPriority w:val="99"/>
    <w:qFormat/>
    <w:tblPr>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1">
    <w:name w:val="List Table 4 - Accent 1"/>
    <w:uiPriority w:val="99"/>
    <w:qFormat/>
    <w:tblPr>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2">
    <w:name w:val="List Table 4 - Accent 2"/>
    <w:uiPriority w:val="99"/>
    <w:qFormat/>
    <w:tblPr>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3">
    <w:name w:val="List Table 4 - Accent 3"/>
    <w:uiPriority w:val="99"/>
    <w:qFormat/>
    <w:tblPr>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4">
    <w:name w:val="List Table 4 - Accent 4"/>
    <w:uiPriority w:val="99"/>
    <w:qFormat/>
    <w:tblPr>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5">
    <w:name w:val="List Table 4 - Accent 5"/>
    <w:uiPriority w:val="99"/>
    <w:qFormat/>
    <w:tblPr>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4-Accent6">
    <w:name w:val="List Table 4 - Accent 6"/>
    <w:uiPriority w:val="99"/>
    <w:qFormat/>
    <w:tblPr>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1">
    <w:name w:val="List Table 5 Dark - Accent 1"/>
    <w:uiPriority w:val="99"/>
    <w:qFormat/>
    <w:tblPr>
      <w:tblBorders>
        <w:top w:val="single" w:sz="32" w:space="0" w:color="4F81BD"/>
        <w:left w:val="single" w:sz="32" w:space="0" w:color="4F81BD"/>
        <w:bottom w:val="single" w:sz="32" w:space="0" w:color="4F81BD"/>
        <w:right w:val="single" w:sz="32" w:space="0" w:color="4F81B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2">
    <w:name w:val="List Table 5 Dark - Accent 2"/>
    <w:uiPriority w:val="99"/>
    <w:qFormat/>
    <w:tblPr>
      <w:tblBorders>
        <w:top w:val="single" w:sz="32" w:space="0" w:color="D99695"/>
        <w:left w:val="single" w:sz="32" w:space="0" w:color="D99695"/>
        <w:bottom w:val="single" w:sz="32" w:space="0" w:color="D99695"/>
        <w:right w:val="single" w:sz="32"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3">
    <w:name w:val="List Table 5 Dark - Accent 3"/>
    <w:uiPriority w:val="99"/>
    <w:qFormat/>
    <w:tblPr>
      <w:tblBorders>
        <w:top w:val="single" w:sz="32" w:space="0" w:color="C3D69B"/>
        <w:left w:val="single" w:sz="32" w:space="0" w:color="C3D69B"/>
        <w:bottom w:val="single" w:sz="32" w:space="0" w:color="C3D69B"/>
        <w:right w:val="single" w:sz="32" w:space="0" w:color="C3D69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4">
    <w:name w:val="List Table 5 Dark - Accent 4"/>
    <w:uiPriority w:val="99"/>
    <w:qFormat/>
    <w:tblPr>
      <w:tblBorders>
        <w:top w:val="single" w:sz="32" w:space="0" w:color="B2A1C6"/>
        <w:left w:val="single" w:sz="32" w:space="0" w:color="B2A1C6"/>
        <w:bottom w:val="single" w:sz="32" w:space="0" w:color="B2A1C6"/>
        <w:right w:val="single" w:sz="32"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5">
    <w:name w:val="List Table 5 Dark - Accent 5"/>
    <w:uiPriority w:val="99"/>
    <w:qFormat/>
    <w:tblPr>
      <w:tblBorders>
        <w:top w:val="single" w:sz="32" w:space="0" w:color="92CCDC"/>
        <w:left w:val="single" w:sz="32" w:space="0" w:color="92CCDC"/>
        <w:bottom w:val="single" w:sz="32" w:space="0" w:color="92CCDC"/>
        <w:right w:val="single" w:sz="32" w:space="0" w:color="92CCDC"/>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5Dark-Accent6">
    <w:name w:val="List Table 5 Dark - Accent 6"/>
    <w:uiPriority w:val="99"/>
    <w:qFormat/>
    <w:tblPr>
      <w:tblBorders>
        <w:top w:val="single" w:sz="32" w:space="0" w:color="FAC090"/>
        <w:left w:val="single" w:sz="32" w:space="0" w:color="FAC090"/>
        <w:bottom w:val="single" w:sz="32" w:space="0" w:color="FAC090"/>
        <w:right w:val="single" w:sz="32" w:space="0" w:color="FAC090"/>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1">
    <w:name w:val="List Table 6 Colorful - Accent 1"/>
    <w:uiPriority w:val="99"/>
    <w:qFormat/>
    <w:tblPr>
      <w:tblBorders>
        <w:top w:val="single" w:sz="4" w:space="0" w:color="4F81BD"/>
        <w:bottom w:val="single" w:sz="4" w:space="0" w:color="4F81B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2">
    <w:name w:val="List Table 6 Colorful - Accent 2"/>
    <w:uiPriority w:val="99"/>
    <w:qFormat/>
    <w:tblPr>
      <w:tblBorders>
        <w:top w:val="single" w:sz="4" w:space="0" w:color="D99695"/>
        <w:bottom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3">
    <w:name w:val="List Table 6 Colorful - Accent 3"/>
    <w:uiPriority w:val="99"/>
    <w:qFormat/>
    <w:tblPr>
      <w:tblBorders>
        <w:top w:val="single" w:sz="4" w:space="0" w:color="C3D69B"/>
        <w:bottom w:val="single" w:sz="4" w:space="0" w:color="C3D69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4">
    <w:name w:val="List Table 6 Colorful - Accent 4"/>
    <w:uiPriority w:val="99"/>
    <w:qFormat/>
    <w:tblPr>
      <w:tblBorders>
        <w:top w:val="single" w:sz="4" w:space="0" w:color="B2A1C6"/>
        <w:bottom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5">
    <w:name w:val="List Table 6 Colorful - Accent 5"/>
    <w:uiPriority w:val="99"/>
    <w:qFormat/>
    <w:tblPr>
      <w:tblBorders>
        <w:top w:val="single" w:sz="4" w:space="0" w:color="92CCDC"/>
        <w:bottom w:val="single" w:sz="4" w:space="0" w:color="92CCDC"/>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6Colorful-Accent6">
    <w:name w:val="List Table 6 Colorful - Accent 6"/>
    <w:uiPriority w:val="99"/>
    <w:qFormat/>
    <w:tblPr>
      <w:tblBorders>
        <w:top w:val="single" w:sz="4" w:space="0" w:color="FAC090"/>
        <w:bottom w:val="single" w:sz="4" w:space="0" w:color="FAC090"/>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1">
    <w:name w:val="List Table 7 Colorful - Accent 1"/>
    <w:uiPriority w:val="99"/>
    <w:qFormat/>
    <w:tblPr>
      <w:tblBorders>
        <w:right w:val="single" w:sz="4" w:space="0" w:color="4F81BD"/>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2">
    <w:name w:val="List Table 7 Colorful - Accent 2"/>
    <w:uiPriority w:val="99"/>
    <w:qFormat/>
    <w:tblPr>
      <w:tblBorders>
        <w:right w:val="single" w:sz="4" w:space="0" w:color="D99695"/>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3">
    <w:name w:val="List Table 7 Colorful - Accent 3"/>
    <w:uiPriority w:val="99"/>
    <w:qFormat/>
    <w:tblPr>
      <w:tblBorders>
        <w:right w:val="single" w:sz="4" w:space="0" w:color="C3D69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4">
    <w:name w:val="List Table 7 Colorful - Accent 4"/>
    <w:uiPriority w:val="99"/>
    <w:qFormat/>
    <w:tblPr>
      <w:tblBorders>
        <w:right w:val="single" w:sz="4" w:space="0" w:color="B2A1C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5">
    <w:name w:val="List Table 7 Colorful - Accent 5"/>
    <w:uiPriority w:val="99"/>
    <w:qFormat/>
    <w:tblPr>
      <w:tblBorders>
        <w:right w:val="single" w:sz="4" w:space="0" w:color="92CCDC"/>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stTable7Colorful-Accent6">
    <w:name w:val="List Table 7 Colorful - Accent 6"/>
    <w:uiPriority w:val="99"/>
    <w:qFormat/>
    <w:tblPr>
      <w:tblBorders>
        <w:right w:val="single" w:sz="4" w:space="0" w:color="FAC090"/>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
    <w:name w:val="Lined - Accent"/>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1">
    <w:name w:val="Lined - Accent 1"/>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2">
    <w:name w:val="Lined - Accent 2"/>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3">
    <w:name w:val="Lined - Accent 3"/>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4">
    <w:name w:val="Lined - Accent 4"/>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5">
    <w:name w:val="Lined - Accent 5"/>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Lined-Accent6">
    <w:name w:val="Lined - Accent 6"/>
    <w:uiPriority w:val="99"/>
    <w:qFormat/>
    <w:rPr>
      <w:color w:val="404040"/>
      <w:szCs w:val="20"/>
    </w:rPr>
    <w:tblPr>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
    <w:name w:val="Bordered &amp; Lined - Accent"/>
    <w:uiPriority w:val="99"/>
    <w:qFormat/>
    <w:rPr>
      <w:color w:val="404040"/>
      <w:szCs w:val="2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1">
    <w:name w:val="Bordered &amp; Lined - Accent 1"/>
    <w:uiPriority w:val="99"/>
    <w:qFormat/>
    <w:rPr>
      <w:color w:val="404040"/>
      <w:szCs w:val="20"/>
    </w:rPr>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2">
    <w:name w:val="Bordered &amp; Lined - Accent 2"/>
    <w:uiPriority w:val="99"/>
    <w:qFormat/>
    <w:rPr>
      <w:color w:val="404040"/>
      <w:szCs w:val="20"/>
    </w:rPr>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3">
    <w:name w:val="Bordered &amp; Lined - Accent 3"/>
    <w:uiPriority w:val="99"/>
    <w:qFormat/>
    <w:rPr>
      <w:color w:val="404040"/>
      <w:szCs w:val="20"/>
    </w:rPr>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4">
    <w:name w:val="Bordered &amp; Lined - Accent 4"/>
    <w:uiPriority w:val="99"/>
    <w:qFormat/>
    <w:rPr>
      <w:color w:val="404040"/>
      <w:szCs w:val="20"/>
    </w:rPr>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5">
    <w:name w:val="Bordered &amp; Lined - Accent 5"/>
    <w:uiPriority w:val="99"/>
    <w:qFormat/>
    <w:rPr>
      <w:color w:val="404040"/>
      <w:szCs w:val="20"/>
    </w:rPr>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Lined-Accent6">
    <w:name w:val="Bordered &amp; Lined - Accent 6"/>
    <w:uiPriority w:val="99"/>
    <w:qFormat/>
    <w:rPr>
      <w:color w:val="404040"/>
      <w:szCs w:val="20"/>
    </w:rPr>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
    <w:name w:val="Bordered"/>
    <w:uiPriority w:val="99"/>
    <w:qFormat/>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1">
    <w:name w:val="Bordered - Accent 1"/>
    <w:uiPriority w:val="99"/>
    <w:qFormat/>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2">
    <w:name w:val="Bordered - Accent 2"/>
    <w:uiPriority w:val="99"/>
    <w:qFormat/>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3">
    <w:name w:val="Bordered - Accent 3"/>
    <w:uiPriority w:val="99"/>
    <w:qFormat/>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4">
    <w:name w:val="Bordered - Accent 4"/>
    <w:uiPriority w:val="99"/>
    <w:qFormat/>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5">
    <w:name w:val="Bordered - Accent 5"/>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table" w:customStyle="1" w:styleId="Bordered-Accent6">
    <w:name w:val="Bordered - Accent 6"/>
    <w:uiPriority w:val="99"/>
    <w:qFormat/>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pPr>
        <w:snapToGrid/>
      </w:pPr>
    </w:tblStylePr>
    <w:tblStylePr w:type="lastRow">
      <w:pPr>
        <w:snapToGrid/>
      </w:pPr>
    </w:tblStylePr>
    <w:tblStylePr w:type="firstCol">
      <w:pPr>
        <w:snapToGrid/>
      </w:pPr>
    </w:tblStylePr>
    <w:tblStylePr w:type="lastCol">
      <w:pPr>
        <w:snapToGrid/>
      </w:pPr>
    </w:tblStylePr>
    <w:tblStylePr w:type="band1Vert">
      <w:pPr>
        <w:snapToGrid/>
      </w:pPr>
    </w:tblStylePr>
    <w:tblStylePr w:type="band2Vert">
      <w:pPr>
        <w:snapToGrid/>
      </w:pPr>
    </w:tblStylePr>
    <w:tblStylePr w:type="band1Horz">
      <w:pPr>
        <w:snapToGrid/>
      </w:pPr>
    </w:tblStylePr>
    <w:tblStylePr w:type="band2Horz">
      <w:pPr>
        <w:snapToGrid/>
      </w:pPr>
    </w:tblStylePr>
    <w:tblStylePr w:type="neCell">
      <w:pPr>
        <w:snapToGrid/>
      </w:pPr>
    </w:tblStylePr>
    <w:tblStylePr w:type="nwCell">
      <w:pPr>
        <w:snapToGrid/>
      </w:pPr>
    </w:tblStylePr>
    <w:tblStylePr w:type="seCell">
      <w:pPr>
        <w:snapToGrid/>
      </w:pPr>
    </w:tblStylePr>
    <w:tblStylePr w:type="swCell">
      <w:pPr>
        <w:snapToGrid/>
      </w:pPr>
    </w:tblStylePr>
  </w:style>
  <w:style w:type="paragraph" w:customStyle="1" w:styleId="TOC11">
    <w:name w:val="TOC 标题11"/>
    <w:uiPriority w:val="39"/>
    <w:qFormat/>
    <w:rPr>
      <w:rFonts w:ascii="Arial" w:hAnsi="Arial" w:cs="Arial"/>
      <w:sz w:val="22"/>
      <w:lang w:eastAsia="en-US"/>
    </w:rPr>
  </w:style>
  <w:style w:type="character" w:customStyle="1" w:styleId="2Char1">
    <w:name w:val="标题 2 Char1"/>
    <w:qFormat/>
    <w:rPr>
      <w:rFonts w:ascii="Cambria" w:eastAsia="宋体" w:hAnsi="Cambria"/>
      <w:b/>
      <w:bCs/>
      <w:sz w:val="32"/>
      <w:szCs w:val="32"/>
    </w:rPr>
  </w:style>
  <w:style w:type="character" w:customStyle="1" w:styleId="Char">
    <w:name w:val="批注框文本 Char"/>
    <w:qFormat/>
    <w:rPr>
      <w:rFonts w:ascii="Calibri" w:eastAsia="宋体" w:hAnsi="Calibri"/>
      <w:sz w:val="18"/>
      <w:szCs w:val="18"/>
    </w:rPr>
  </w:style>
  <w:style w:type="character" w:customStyle="1" w:styleId="Char1">
    <w:name w:val="纯文本 Char1"/>
    <w:qFormat/>
    <w:rPr>
      <w:rFonts w:ascii="宋体" w:eastAsia="宋体" w:hAnsi="Courier New"/>
      <w:szCs w:val="21"/>
    </w:rPr>
  </w:style>
  <w:style w:type="character" w:customStyle="1" w:styleId="Char0">
    <w:name w:val="批注文字 Char"/>
    <w:qFormat/>
    <w:rPr>
      <w:rFonts w:ascii="Calibri" w:eastAsia="宋体" w:hAnsi="Calibri"/>
    </w:rPr>
  </w:style>
  <w:style w:type="character" w:customStyle="1" w:styleId="font1">
    <w:name w:val="font1"/>
    <w:qFormat/>
  </w:style>
  <w:style w:type="character" w:customStyle="1" w:styleId="a10">
    <w:name w:val="a1"/>
    <w:qFormat/>
    <w:rPr>
      <w:color w:val="990000"/>
      <w:sz w:val="18"/>
      <w:szCs w:val="18"/>
    </w:rPr>
  </w:style>
  <w:style w:type="character" w:customStyle="1" w:styleId="Char10">
    <w:name w:val="标题 Char1"/>
    <w:qFormat/>
    <w:rPr>
      <w:rFonts w:ascii="Cambria" w:hAnsi="Cambria"/>
      <w:b/>
      <w:bCs/>
      <w:sz w:val="32"/>
      <w:szCs w:val="32"/>
    </w:rPr>
  </w:style>
  <w:style w:type="character" w:customStyle="1" w:styleId="15">
    <w:name w:val="15"/>
    <w:qFormat/>
    <w:rPr>
      <w:rFonts w:ascii="Times New Roman" w:hAnsi="Times New Roman"/>
    </w:rPr>
  </w:style>
  <w:style w:type="character" w:customStyle="1" w:styleId="Char2">
    <w:name w:val="正文缩进 Char"/>
    <w:qFormat/>
    <w:rPr>
      <w:rFonts w:ascii="Times New Roman" w:eastAsia="宋体" w:hAnsi="Times New Roman"/>
      <w:szCs w:val="20"/>
    </w:rPr>
  </w:style>
  <w:style w:type="character" w:customStyle="1" w:styleId="Char11">
    <w:name w:val="文档结构图 Char1"/>
    <w:qFormat/>
    <w:rPr>
      <w:rFonts w:ascii="宋体" w:eastAsia="宋体" w:hAnsi="宋体"/>
      <w:sz w:val="18"/>
      <w:szCs w:val="18"/>
    </w:rPr>
  </w:style>
  <w:style w:type="character" w:customStyle="1" w:styleId="read">
    <w:name w:val="read"/>
    <w:qFormat/>
  </w:style>
  <w:style w:type="character" w:styleId="afff1">
    <w:name w:val="Placeholder Text"/>
    <w:qFormat/>
    <w:rPr>
      <w:color w:val="808080"/>
    </w:rPr>
  </w:style>
  <w:style w:type="character" w:customStyle="1" w:styleId="Char12">
    <w:name w:val="批注文字 Char1"/>
    <w:qFormat/>
  </w:style>
  <w:style w:type="character" w:customStyle="1" w:styleId="Char3">
    <w:name w:val="批注主题 Char"/>
    <w:qFormat/>
    <w:rPr>
      <w:rFonts w:ascii="Calibri" w:eastAsia="宋体" w:hAnsi="Calibri"/>
      <w:b/>
      <w:bCs/>
    </w:rPr>
  </w:style>
  <w:style w:type="paragraph" w:customStyle="1" w:styleId="37">
    <w:name w:val="修订3"/>
    <w:qFormat/>
    <w:rPr>
      <w:rFonts w:hAnsi="Calibri" w:cs="Arial"/>
      <w:sz w:val="21"/>
      <w:lang w:eastAsia="en-US"/>
    </w:rPr>
  </w:style>
  <w:style w:type="paragraph" w:customStyle="1" w:styleId="Char20">
    <w:name w:val="Char2"/>
    <w:basedOn w:val="a"/>
    <w:qFormat/>
    <w:rPr>
      <w:rFonts w:ascii="Times New Roman" w:hAnsi="Times New Roman"/>
      <w:szCs w:val="24"/>
    </w:rPr>
  </w:style>
  <w:style w:type="paragraph" w:customStyle="1" w:styleId="16">
    <w:name w:val="修订1"/>
    <w:qFormat/>
    <w:rPr>
      <w:rFonts w:ascii="Arial" w:hAnsi="Arial" w:cs="Arial"/>
      <w:sz w:val="21"/>
      <w:szCs w:val="24"/>
      <w:lang w:eastAsia="en-US"/>
    </w:rPr>
  </w:style>
  <w:style w:type="paragraph" w:customStyle="1" w:styleId="CharCharCharCharCharChar">
    <w:name w:val="Char Char Char Char Char Char"/>
    <w:basedOn w:val="a"/>
    <w:qFormat/>
    <w:rPr>
      <w:rFonts w:ascii="Times New Roman" w:hAnsi="Times New Roman"/>
      <w:szCs w:val="20"/>
    </w:rPr>
  </w:style>
  <w:style w:type="paragraph" w:customStyle="1" w:styleId="17">
    <w:name w:val="纯文本1"/>
    <w:basedOn w:val="a"/>
    <w:qFormat/>
    <w:rPr>
      <w:rFonts w:ascii="宋体" w:hAnsi="Courier New"/>
      <w:sz w:val="20"/>
      <w:szCs w:val="20"/>
    </w:rPr>
  </w:style>
  <w:style w:type="paragraph" w:customStyle="1" w:styleId="ParaChar">
    <w:name w:val="默认段落字体 Para Char"/>
    <w:basedOn w:val="a"/>
    <w:qFormat/>
    <w:rPr>
      <w:rFonts w:ascii="Times New Roman" w:hAnsi="Times New Roman"/>
      <w:szCs w:val="24"/>
    </w:rPr>
  </w:style>
  <w:style w:type="paragraph" w:customStyle="1" w:styleId="18">
    <w:name w:val="列出段落1"/>
    <w:basedOn w:val="a"/>
    <w:qFormat/>
    <w:pPr>
      <w:ind w:firstLine="420"/>
    </w:pPr>
  </w:style>
  <w:style w:type="paragraph" w:customStyle="1" w:styleId="afff2">
    <w:name w:val="a"/>
    <w:basedOn w:val="a"/>
    <w:qFormat/>
    <w:pPr>
      <w:spacing w:before="100" w:beforeAutospacing="1" w:after="100" w:afterAutospacing="1" w:line="300" w:lineRule="atLeast"/>
    </w:pPr>
    <w:rPr>
      <w:rFonts w:ascii="Arial Unicode MS" w:hAnsi="Arial Unicode MS"/>
      <w:color w:val="990000"/>
      <w:sz w:val="18"/>
      <w:szCs w:val="18"/>
    </w:rPr>
  </w:style>
  <w:style w:type="paragraph" w:customStyle="1" w:styleId="28">
    <w:name w:val="修订2"/>
    <w:qFormat/>
    <w:rPr>
      <w:rFonts w:hAnsi="Calibri" w:cs="Arial"/>
      <w:sz w:val="21"/>
      <w:lang w:eastAsia="en-US"/>
    </w:rPr>
  </w:style>
  <w:style w:type="paragraph" w:customStyle="1" w:styleId="45">
    <w:name w:val="修订4"/>
    <w:qFormat/>
    <w:rPr>
      <w:rFonts w:hAnsi="Calibri" w:cs="Arial"/>
      <w:sz w:val="21"/>
      <w:lang w:eastAsia="en-US"/>
    </w:rPr>
  </w:style>
  <w:style w:type="paragraph" w:customStyle="1" w:styleId="29">
    <w:name w:val="纯文本2"/>
    <w:basedOn w:val="a"/>
    <w:qFormat/>
    <w:rPr>
      <w:rFonts w:ascii="宋体" w:hAnsi="Courier New"/>
      <w:sz w:val="20"/>
      <w:szCs w:val="20"/>
    </w:rPr>
  </w:style>
  <w:style w:type="paragraph" w:customStyle="1" w:styleId="64">
    <w:name w:val="修订6"/>
    <w:qFormat/>
    <w:rPr>
      <w:rFonts w:hAnsi="Calibri" w:cs="Arial"/>
      <w:sz w:val="21"/>
      <w:lang w:eastAsia="en-US"/>
    </w:rPr>
  </w:style>
  <w:style w:type="paragraph" w:customStyle="1" w:styleId="55">
    <w:name w:val="修订5"/>
    <w:qFormat/>
    <w:rPr>
      <w:rFonts w:hAnsi="Calibri" w:cs="Arial"/>
      <w:sz w:val="21"/>
      <w:lang w:eastAsia="en-US"/>
    </w:rPr>
  </w:style>
  <w:style w:type="paragraph" w:customStyle="1" w:styleId="74">
    <w:name w:val="修订7"/>
    <w:qFormat/>
    <w:rPr>
      <w:rFonts w:hAnsi="Calibri" w:cs="Arial"/>
      <w:sz w:val="21"/>
      <w:lang w:eastAsia="en-US"/>
    </w:rPr>
  </w:style>
  <w:style w:type="paragraph" w:customStyle="1" w:styleId="afff3">
    <w:name w:val="正文所"/>
    <w:basedOn w:val="a"/>
    <w:qFormat/>
    <w:pPr>
      <w:spacing w:line="360" w:lineRule="auto"/>
      <w:ind w:firstLine="420"/>
    </w:pPr>
    <w:rPr>
      <w:rFonts w:ascii="宋体" w:hAnsi="Times New Roman"/>
      <w:szCs w:val="20"/>
    </w:rPr>
  </w:style>
  <w:style w:type="paragraph" w:customStyle="1" w:styleId="19">
    <w:name w:val="正文1"/>
    <w:qFormat/>
    <w:pPr>
      <w:widowControl w:val="0"/>
      <w:jc w:val="both"/>
    </w:pPr>
    <w:rPr>
      <w:rFonts w:hAnsi="Arial Unicode MS" w:cs="Arial"/>
      <w:color w:val="000000"/>
      <w:sz w:val="21"/>
      <w:szCs w:val="21"/>
      <w:lang w:eastAsia="en-US"/>
    </w:rPr>
  </w:style>
  <w:style w:type="paragraph" w:customStyle="1" w:styleId="Style1">
    <w:name w:val="_Style 1"/>
    <w:basedOn w:val="a"/>
    <w:qFormat/>
    <w:pPr>
      <w:ind w:firstLine="420"/>
    </w:pPr>
  </w:style>
  <w:style w:type="paragraph" w:customStyle="1" w:styleId="CharCharCharCharCharCharChar">
    <w:name w:val="Char Char Char Char Char Char Char"/>
    <w:basedOn w:val="a"/>
    <w:qFormat/>
    <w:pPr>
      <w:tabs>
        <w:tab w:val="left" w:pos="360"/>
      </w:tabs>
    </w:pPr>
    <w:rPr>
      <w:rFonts w:ascii="Times New Roman" w:hAnsi="Times New Roman"/>
      <w:sz w:val="24"/>
      <w:szCs w:val="24"/>
    </w:rPr>
  </w:style>
  <w:style w:type="paragraph" w:customStyle="1" w:styleId="Default">
    <w:name w:val="Default"/>
    <w:qFormat/>
    <w:pPr>
      <w:widowControl w:val="0"/>
    </w:pPr>
    <w:rPr>
      <w:rFonts w:ascii="仿宋...销." w:eastAsia="仿宋...销." w:hAnsi="Arial" w:cs="Arial"/>
      <w:color w:val="000000"/>
      <w:sz w:val="24"/>
      <w:szCs w:val="24"/>
      <w:lang w:eastAsia="en-US"/>
    </w:rPr>
  </w:style>
  <w:style w:type="paragraph" w:customStyle="1" w:styleId="WPSOffice1">
    <w:name w:val="WPSOffice手动目录 1"/>
    <w:qFormat/>
    <w:rPr>
      <w:rFonts w:ascii="Arial" w:hAnsi="Arial" w:cs="Arial"/>
      <w:sz w:val="22"/>
      <w:lang w:eastAsia="en-US"/>
    </w:rPr>
  </w:style>
  <w:style w:type="paragraph" w:customStyle="1" w:styleId="82">
    <w:name w:val="修订8"/>
    <w:hidden/>
    <w:uiPriority w:val="99"/>
    <w:semiHidden/>
    <w:qFormat/>
    <w:rPr>
      <w:rFonts w:ascii="Arial" w:hAnsi="Arial" w:cs="Arial"/>
      <w:sz w:val="22"/>
      <w:lang w:eastAsia="en-US"/>
    </w:rPr>
  </w:style>
  <w:style w:type="paragraph" w:styleId="afff4">
    <w:name w:val="Revision"/>
    <w:hidden/>
    <w:uiPriority w:val="99"/>
    <w:semiHidden/>
    <w:rsid w:val="00AD0741"/>
    <w:pPr>
      <w:pBdr>
        <w:top w:val="none" w:sz="0" w:space="0" w:color="auto"/>
        <w:left w:val="none" w:sz="0" w:space="0" w:color="auto"/>
        <w:bottom w:val="none" w:sz="0" w:space="0" w:color="auto"/>
        <w:right w:val="none" w:sz="0" w:space="0" w:color="auto"/>
        <w:between w:val="none" w:sz="0" w:space="0" w:color="auto"/>
      </w:pBdr>
    </w:pPr>
    <w:rPr>
      <w:rFonts w:ascii="Arial" w:hAnsi="Arial" w:cs="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105</Pages>
  <Words>10740</Words>
  <Characters>61218</Characters>
  <Application>Microsoft Office Word</Application>
  <DocSecurity>0</DocSecurity>
  <Lines>510</Lines>
  <Paragraphs>143</Paragraphs>
  <ScaleCrop>false</ScaleCrop>
  <Company/>
  <LinksUpToDate>false</LinksUpToDate>
  <CharactersWithSpaces>71815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程柯夫</dc:creator>
  <cp:lastModifiedBy>程柯夫</cp:lastModifiedBy>
  <cp:revision>41</cp:revision>
  <dcterms:created xsi:type="dcterms:W3CDTF">2025-05-21T05:34:00Z</dcterms:created>
  <dcterms:modified xsi:type="dcterms:W3CDTF">2026-04-07T10:13:00Z</dcterms:modified>
</cp:coreProperties>
</file>