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9"/>
        </w:rPr>
        <w:t>OMNISUITE ERP — OPERATIONAL MANUAL &amp; SPECIFICATION</w:t>
        <w:br/>
      </w:r>
      <w:r>
        <w:rPr>
          <w:rFonts w:ascii="Segoe UI" w:hAnsi="Segoe UI"/>
          <w:b/>
          <w:color w:val="0E3646"/>
          <w:sz w:val="44"/>
        </w:rPr>
        <w:t>Facilities Management Module Process Flow</w:t>
      </w:r>
    </w:p>
    <w:p>
      <w:pPr>
        <w:spacing w:after="280"/>
      </w:pPr>
      <w:r>
        <w:rPr>
          <w:rFonts w:ascii="Segoe UI" w:hAnsi="Segoe UI"/>
          <w:color w:val="64748B"/>
          <w:sz w:val="17"/>
        </w:rPr>
        <w:t>Version 2026.1 | Scope: Properties, Service Contracts, SLAs, Field Service, Checklists, Soft Services | Author: OmniSuite Architecture Team</w:t>
      </w:r>
    </w:p>
    <w:p>
      <w:pPr>
        <w:jc w:val="center"/>
      </w:pPr>
    </w:p>
    <w:p>
      <w:r>
        <w:drawing>
          <wp:inline xmlns:a="http://schemas.openxmlformats.org/drawingml/2006/main" xmlns:pic="http://schemas.openxmlformats.org/drawingml/2006/picture">
            <wp:extent cx="5669280" cy="3434163"/>
            <wp:docPr id="1" name="Picture 1"/>
            <wp:cNvGraphicFramePr>
              <a:graphicFrameLocks noChangeAspect="1"/>
            </wp:cNvGraphicFramePr>
            <a:graphic>
              <a:graphicData uri="http://schemas.openxmlformats.org/drawingml/2006/picture">
                <pic:pic>
                  <pic:nvPicPr>
                    <pic:cNvPr id="0" name="fm_flowchart.png"/>
                    <pic:cNvPicPr/>
                  </pic:nvPicPr>
                  <pic:blipFill>
                    <a:blip r:embed="rId9"/>
                    <a:stretch>
                      <a:fillRect/>
                    </a:stretch>
                  </pic:blipFill>
                  <pic:spPr>
                    <a:xfrm>
                      <a:off x="0" y="0"/>
                      <a:ext cx="5669280" cy="3434163"/>
                    </a:xfrm>
                    <a:prstGeom prst="rect"/>
                  </pic:spPr>
                </pic:pic>
              </a:graphicData>
            </a:graphic>
          </wp:inline>
        </w:drawing>
      </w:r>
    </w:p>
    <w:p>
      <w:pPr>
        <w:spacing w:after="320"/>
        <w:jc w:val="center"/>
      </w:pPr>
      <w:r>
        <w:rPr>
          <w:rFonts w:ascii="Segoe UI" w:hAnsi="Segoe UI"/>
          <w:i/>
          <w:color w:val="64748B"/>
          <w:sz w:val="17"/>
        </w:rPr>
        <w:t>Figure 1.0: End-to-End Operational Process Flow for Facilities Management</w:t>
      </w:r>
    </w:p>
    <w:p>
      <w:pPr>
        <w:pStyle w:val="Heading1"/>
        <w:spacing w:before="320" w:after="120"/>
      </w:pPr>
      <w:r>
        <w:rPr>
          <w:rFonts w:ascii="Segoe UI" w:hAnsi="Segoe UI"/>
          <w:b/>
          <w:color w:val="0E3646"/>
          <w:sz w:val="30"/>
        </w:rPr>
        <w:t>1. Executive Overview &amp; Module Purpose</w:t>
      </w:r>
    </w:p>
    <w:p>
      <w:pPr>
        <w:spacing w:after="160"/>
      </w:pPr>
      <w:r>
        <w:t>The Facilities Management (FM) module in OmniSuite ERP is an enterprise-grade operational suite designed to manage real estate portfolios, multi-tier spatial hierarchies, client service-level agreements (SLAs), field technician job dispatches, digital safety inspections, and soft facilities services. It integrates seamlessly with Finance for recurring contract billing and with Fixed Asset Management for equipment upkeep.</w:t>
      </w:r>
    </w:p>
    <w:p>
      <w:pPr>
        <w:pStyle w:val="Heading1"/>
        <w:spacing w:before="320" w:after="120"/>
      </w:pPr>
      <w:r>
        <w:rPr>
          <w:rFonts w:ascii="Segoe UI" w:hAnsi="Segoe UI"/>
          <w:b/>
          <w:color w:val="0E3646"/>
          <w:sz w:val="30"/>
        </w:rPr>
        <w:t>2. Stage 1: Portfolio &amp; Space Hierarchy Setup</w:t>
      </w:r>
    </w:p>
    <w:p>
      <w:pPr>
        <w:spacing w:after="120"/>
      </w:pPr>
      <w:r>
        <w:t>Facilities management begins with establishing the physical hierarchy. Every physical element in OmniSuite is mapped in a 4-tier tree structure to enable precise cost allocation, job dispatching, and asset tracking.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Tier Level</w:t>
            </w:r>
          </w:p>
        </w:tc>
        <w:tc>
          <w:tcPr>
            <w:tcW w:type="dxa" w:w="1872"/>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Entity Name</w:t>
            </w:r>
          </w:p>
        </w:tc>
        <w:tc>
          <w:tcPr>
            <w:tcW w:type="dxa" w:w="3744"/>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Description &amp; Operational Function</w:t>
            </w:r>
          </w:p>
        </w:tc>
        <w:tc>
          <w:tcPr>
            <w:tcW w:type="dxa" w:w="1872"/>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Example</w:t>
            </w:r>
          </w:p>
        </w:tc>
      </w:tr>
      <w:tr>
        <w:tc>
          <w:tcPr>
            <w:tcW w:type="dxa" w:w="1440"/>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Tier 1</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Property / Estate</w:t>
            </w:r>
          </w:p>
        </w:tc>
        <w:tc>
          <w:tcPr>
            <w:tcW w:type="dxa" w:w="374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Top-level real estate asset, commercial park, or campus. Manages geographical location &amp; address.</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East Legon Tech Park</w:t>
            </w:r>
          </w:p>
        </w:tc>
      </w:tr>
      <w:tr>
        <w:tc>
          <w:tcPr>
            <w:tcW w:type="dxa" w:w="1440"/>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Tier 2</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Building</w:t>
            </w:r>
          </w:p>
        </w:tc>
        <w:tc>
          <w:tcPr>
            <w:tcW w:type="dxa" w:w="374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Specific physical structure or tower within the property boundary.</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Tower A (Corporate HQ)</w:t>
            </w:r>
          </w:p>
        </w:tc>
      </w:tr>
      <w:tr>
        <w:tc>
          <w:tcPr>
            <w:tcW w:type="dxa" w:w="1440"/>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Tier 3</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Zone</w:t>
            </w:r>
          </w:p>
        </w:tc>
        <w:tc>
          <w:tcPr>
            <w:tcW w:type="dxa" w:w="3744"/>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Floors, wings, or functional security partitions within a building.</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3rd Floor - Executive Wing</w:t>
            </w:r>
          </w:p>
        </w:tc>
      </w:tr>
      <w:tr>
        <w:tc>
          <w:tcPr>
            <w:tcW w:type="dxa" w:w="1440"/>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Tier 4</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Space / Unit</w:t>
            </w:r>
          </w:p>
        </w:tc>
        <w:tc>
          <w:tcPr>
            <w:tcW w:type="dxa" w:w="3744"/>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Individual rentable units, offices, boardrooms, server rooms, or bays.</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Suite 302 (Server Room)</w:t>
            </w:r>
          </w:p>
        </w:tc>
      </w:tr>
    </w:tbl>
    <w:p>
      <w:pPr>
        <w:spacing w:after="160"/>
      </w:pPr>
    </w:p>
    <w:p>
      <w:pPr>
        <w:pStyle w:val="Heading1"/>
        <w:spacing w:before="320" w:after="120"/>
      </w:pPr>
      <w:r>
        <w:rPr>
          <w:rFonts w:ascii="Segoe UI" w:hAnsi="Segoe UI"/>
          <w:b/>
          <w:color w:val="0E3646"/>
          <w:sz w:val="30"/>
        </w:rPr>
        <w:t>3. Stage 2: Client FM Service Contracts &amp; SLA Governance</w:t>
      </w:r>
    </w:p>
    <w:p>
      <w:pPr>
        <w:spacing w:after="120"/>
      </w:pPr>
      <w:r>
        <w:t>Commercial FM providers and enterprise facilities teams operate under contracted Service Level Agreements (SLAs). The contract sets the coverage scope, response benchmarks, billable labor rates, and recurring retainer billing.</w:t>
      </w:r>
    </w:p>
    <w:tbl>
      <w:tblPr>
        <w:tblW w:type="auto" w:w="0"/>
        <w:jc w:val="center"/>
        <w:tblLayout w:type="fixed"/>
        <w:tblLook w:firstColumn="1" w:firstRow="1" w:lastColumn="0" w:lastRow="0" w:noHBand="0" w:noVBand="1" w:val="04A0"/>
      </w:tblPr>
      <w:tblGrid>
        <w:gridCol w:w="9360"/>
      </w:tblGrid>
      <w:tr>
        <w:tc>
          <w:tcPr>
            <w:tcW w:type="dxa" w:w="9360"/>
            <w:tcBorders>
              <w:left w:val="single" w:sz="24" w:space="0" w:color="2563EB"/>
              <w:top w:val="none"/>
              <w:right w:val="none"/>
              <w:bottom w:val="none"/>
            </w:tcBorders>
            <w:shd w:fill="EFF6FF"/>
            <w:tcMar>
              <w:top w:w="140" w:type="dxa"/>
              <w:bottom w:w="140" w:type="dxa"/>
              <w:left w:w="200" w:type="dxa"/>
              <w:right w:w="200" w:type="dxa"/>
            </w:tcMar>
            <w:vAlign w:val="center"/>
          </w:tcPr>
          <w:p>
            <w:pPr>
              <w:spacing w:before="80" w:after="80"/>
            </w:pPr>
            <w:r>
              <w:rPr>
                <w:rFonts w:ascii="Segoe UI" w:hAnsi="Segoe UI"/>
                <w:b/>
                <w:color w:val="2563EB"/>
                <w:sz w:val="19"/>
              </w:rPr>
              <w:t xml:space="preserve">[AUTOMATED COVERAGE CHECK] </w:t>
            </w:r>
            <w:r>
              <w:rPr>
                <w:rFonts w:ascii="Segoe UI" w:hAnsi="Segoe UI"/>
                <w:color w:val="1E293B"/>
                <w:sz w:val="19"/>
              </w:rPr>
              <w:t>When an incident is logged, OmniSuite automatically queries the property and space to verify whether the reported service line is covered under an active contract. If covered, contract SLA clocks trigger automatically. If out of scope, the system flags the job as billable with ad-hoc labor and material pricing.</w:t>
            </w:r>
          </w:p>
        </w:tc>
      </w:tr>
    </w:tbl>
    <w:p>
      <w:pPr>
        <w:spacing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Severity Tier</w:t>
            </w:r>
          </w:p>
        </w:tc>
        <w:tc>
          <w:tcPr>
            <w:tcW w:type="dxa" w:w="3456"/>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Typical Incidents</w:t>
            </w:r>
          </w:p>
        </w:tc>
        <w:tc>
          <w:tcPr>
            <w:tcW w:type="dxa" w:w="1872"/>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Mandatory Response SLA</w:t>
            </w:r>
          </w:p>
        </w:tc>
        <w:tc>
          <w:tcPr>
            <w:tcW w:type="dxa" w:w="1872"/>
            <w:tcBorders>
              <w:bottom w:val="single" w:sz="12" w:space="0" w:color="0E3646"/>
              <w:top w:val="none"/>
              <w:left w:val="none"/>
              <w:right w:val="none"/>
            </w:tcBorders>
            <w:shd w:fill="0E3646"/>
            <w:tcMar>
              <w:top w:w="120" w:type="dxa"/>
              <w:bottom w:w="120" w:type="dxa"/>
              <w:left w:w="140" w:type="dxa"/>
              <w:right w:w="140" w:type="dxa"/>
            </w:tcMar>
            <w:vAlign w:val="center"/>
          </w:tcPr>
          <w:p>
            <w:pPr>
              <w:spacing w:before="40" w:after="40"/>
              <w:jc w:val="left"/>
            </w:pPr>
            <w:r>
              <w:rPr>
                <w:rFonts w:ascii="Segoe UI" w:hAnsi="Segoe UI"/>
                <w:b/>
                <w:color w:val="FFFFFF"/>
                <w:sz w:val="19"/>
              </w:rPr>
              <w:t>Mandatory Resolution SLA</w:t>
            </w:r>
          </w:p>
        </w:tc>
      </w:tr>
      <w:tr>
        <w:tc>
          <w:tcPr>
            <w:tcW w:type="dxa" w:w="1728"/>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Critical (P1)</w:t>
            </w:r>
          </w:p>
        </w:tc>
        <w:tc>
          <w:tcPr>
            <w:tcW w:type="dxa" w:w="345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Complete power failure, major plumbing flood, server room AC failure</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Within 1 Hour</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Within 4 Hours</w:t>
            </w:r>
          </w:p>
        </w:tc>
      </w:tr>
      <w:tr>
        <w:tc>
          <w:tcPr>
            <w:tcW w:type="dxa" w:w="1728"/>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High (P2)</w:t>
            </w:r>
          </w:p>
        </w:tc>
        <w:tc>
          <w:tcPr>
            <w:tcW w:type="dxa" w:w="3456"/>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HVAC unit failure in open office, elevator outage, security gate fault</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Within 2 Hours</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Within 8 Hours</w:t>
            </w:r>
          </w:p>
        </w:tc>
      </w:tr>
      <w:tr>
        <w:tc>
          <w:tcPr>
            <w:tcW w:type="dxa" w:w="1728"/>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Medium (P3)</w:t>
            </w:r>
          </w:p>
        </w:tc>
        <w:tc>
          <w:tcPr>
            <w:tcW w:type="dxa" w:w="3456"/>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Lighting fixture replacement, door handle repair, non-urgent leak</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Within 4 Hours</w:t>
            </w:r>
          </w:p>
        </w:tc>
        <w:tc>
          <w:tcPr>
            <w:tcW w:type="dxa" w:w="1872"/>
            <w:tcBorders>
              <w:bottom w:val="single" w:sz="4" w:space="0" w:color="E2E8F0"/>
              <w:top w:val="none"/>
              <w:left w:val="none"/>
              <w:right w:val="none"/>
            </w:tcBorders>
            <w:shd w:fill="FFFFFF"/>
            <w:tcMar>
              <w:top w:w="100" w:type="dxa"/>
              <w:bottom w:w="100" w:type="dxa"/>
              <w:left w:w="140" w:type="dxa"/>
              <w:right w:w="140" w:type="dxa"/>
            </w:tcMar>
            <w:vAlign w:val="center"/>
          </w:tcPr>
          <w:p>
            <w:pPr>
              <w:spacing w:before="40" w:after="40"/>
            </w:pPr>
            <w:r>
              <w:rPr>
                <w:rFonts w:ascii="Segoe UI" w:hAnsi="Segoe UI"/>
                <w:color w:val="0F172A"/>
                <w:sz w:val="18"/>
              </w:rPr>
              <w:t>Within 24 Hours</w:t>
            </w:r>
          </w:p>
        </w:tc>
      </w:tr>
      <w:tr>
        <w:tc>
          <w:tcPr>
            <w:tcW w:type="dxa" w:w="1728"/>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Low (P4)</w:t>
            </w:r>
          </w:p>
        </w:tc>
        <w:tc>
          <w:tcPr>
            <w:tcW w:type="dxa" w:w="3456"/>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Cosmetic paint touch-up, furniture realignment, scheduled PPM</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Within 8 Hours</w:t>
            </w:r>
          </w:p>
        </w:tc>
        <w:tc>
          <w:tcPr>
            <w:tcW w:type="dxa" w:w="1872"/>
            <w:tcBorders>
              <w:bottom w:val="single" w:sz="4" w:space="0" w:color="E2E8F0"/>
              <w:top w:val="none"/>
              <w:left w:val="none"/>
              <w:right w:val="none"/>
            </w:tcBorders>
            <w:shd w:fill="F8FAFC"/>
            <w:tcMar>
              <w:top w:w="100" w:type="dxa"/>
              <w:bottom w:w="100" w:type="dxa"/>
              <w:left w:w="140" w:type="dxa"/>
              <w:right w:w="140" w:type="dxa"/>
            </w:tcMar>
            <w:vAlign w:val="center"/>
          </w:tcPr>
          <w:p>
            <w:pPr>
              <w:spacing w:before="40" w:after="40"/>
            </w:pPr>
            <w:r>
              <w:rPr>
                <w:rFonts w:ascii="Segoe UI" w:hAnsi="Segoe UI"/>
                <w:color w:val="0F172A"/>
                <w:sz w:val="18"/>
              </w:rPr>
              <w:t>Within 48 Hours</w:t>
            </w:r>
          </w:p>
        </w:tc>
      </w:tr>
    </w:tbl>
    <w:p>
      <w:pPr>
        <w:spacing w:after="160"/>
      </w:pPr>
    </w:p>
    <w:p>
      <w:pPr>
        <w:pStyle w:val="Heading1"/>
        <w:spacing w:before="320" w:after="120"/>
      </w:pPr>
      <w:r>
        <w:rPr>
          <w:rFonts w:ascii="Segoe UI" w:hAnsi="Segoe UI"/>
          <w:b/>
          <w:color w:val="0E3646"/>
          <w:sz w:val="30"/>
        </w:rPr>
        <w:t>4. Stage 3 &amp; 4: Helpdesk Tickets, Work Orders &amp; Field Dispatch</w:t>
      </w:r>
    </w:p>
    <w:p>
      <w:pPr>
        <w:spacing w:after="160"/>
      </w:pPr>
      <w:r>
        <w:t>1. Ticket Logging: Tenants or facilities staff submit tickets with description, photo attachments, and space selection.</w:t>
        <w:br/>
        <w:t>2. SLA Countdown: Real-time countdown timers track Response and Resolution limits based on the contract priority matrix.</w:t>
        <w:br/>
        <w:t>3. SLA Pausing: If work is halted due to client site access restrictions or awaiting spare parts delivery, the SLA timer is paused with a formal audit reason.</w:t>
        <w:br/>
        <w:t>4. Work Order Dispatch: Qualified field technicians receive the job card on their mobile interface.</w:t>
        <w:br/>
        <w:t>5. Execution Lifecycle: The technician updates status through En Route -&gt; On Site -&gt; In Progress -&gt; Completed.</w:t>
        <w:br/>
        <w:t>6. Customer Sign-off: Digital completion is verified via customer signature capture directly on the mobile job card.</w:t>
      </w:r>
    </w:p>
    <w:p>
      <w:pPr>
        <w:pStyle w:val="Heading1"/>
        <w:spacing w:before="320" w:after="120"/>
      </w:pPr>
      <w:r>
        <w:rPr>
          <w:rFonts w:ascii="Segoe UI" w:hAnsi="Segoe UI"/>
          <w:b/>
          <w:color w:val="0E3646"/>
          <w:sz w:val="30"/>
        </w:rPr>
        <w:t>5. Stage 5: Soft Facilities Services &amp; Audits</w:t>
      </w:r>
    </w:p>
    <w:p>
      <w:pPr>
        <w:spacing w:after="160"/>
      </w:pPr>
      <w:r>
        <w:t>Beyond hard technical maintenance, Facilities Management encompasses recurring soft services:</w:t>
        <w:br/>
        <w:t>• Janitorial Audits: Daily inspections of restrooms, lobbies, and cafeterias with pass/fail hygiene scoring.</w:t>
        <w:br/>
        <w:t>• Security Patrol Rounds: Real-time QR checkpoint logs confirming guard patrol timings.</w:t>
        <w:br/>
        <w:t>• Pest Control: Routine fumigation certifications and chemical safety audit logs.</w:t>
        <w:br/>
        <w:t>• Waste Disposal: Environmental manifest documentation tracking recycled vs. landfill waste tonnage.</w:t>
      </w:r>
    </w:p>
    <w:p>
      <w:pPr>
        <w:pStyle w:val="Heading1"/>
        <w:spacing w:before="320" w:after="120"/>
      </w:pPr>
      <w:r>
        <w:rPr>
          <w:rFonts w:ascii="Segoe UI" w:hAnsi="Segoe UI"/>
          <w:b/>
          <w:color w:val="0E3646"/>
          <w:sz w:val="30"/>
        </w:rPr>
        <w:t>6. Stage 6: Command Center, Invoicing &amp; Financial Integration</w:t>
      </w:r>
    </w:p>
    <w:p>
      <w:r>
        <w:t>• Automated Contract Invoicing: Generates monthly retainer invoices and extra billable work invoices directly in the Finance module.</w:t>
        <w:br/>
        <w:t>• Property Cost Allocation: Compiles all labor, materials, and soft service costs against the property to track Net Operating Income (NOI).</w:t>
        <w:br/>
        <w:t>• SLA Compliance Analytics: Evaluates technician performance, breach ratios, and first-time fix rates.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