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C1" w:rsidRPr="00A61BAB" w:rsidRDefault="00A61BAB" w:rsidP="00A61BAB">
      <w:pPr>
        <w:jc w:val="center"/>
        <w:rPr>
          <w:sz w:val="40"/>
        </w:rPr>
      </w:pPr>
      <w:bookmarkStart w:id="0" w:name="_GoBack"/>
      <w:bookmarkEnd w:id="0"/>
      <w:r w:rsidRPr="00A61BAB">
        <w:rPr>
          <w:rFonts w:hint="eastAsia"/>
          <w:sz w:val="40"/>
        </w:rPr>
        <w:t>Pro</w:t>
      </w:r>
      <w:r w:rsidRPr="00A61BAB">
        <w:rPr>
          <w:sz w:val="40"/>
        </w:rPr>
        <w:t>bability of Default</w:t>
      </w:r>
    </w:p>
    <w:p w:rsidR="00A61BAB" w:rsidRDefault="00A61BAB" w:rsidP="00A61BAB">
      <w:pPr>
        <w:pStyle w:val="a3"/>
        <w:numPr>
          <w:ilvl w:val="0"/>
          <w:numId w:val="1"/>
        </w:numPr>
        <w:ind w:firstLineChars="0"/>
      </w:pPr>
      <w:r>
        <w:rPr>
          <w:rFonts w:hint="eastAsia"/>
        </w:rPr>
        <w:t>A</w:t>
      </w:r>
      <w:r>
        <w:t>bstract: Probability of Default</w:t>
      </w:r>
      <w:r w:rsidR="003E27F5">
        <w:t xml:space="preserve"> </w:t>
      </w:r>
      <w:r>
        <w:t xml:space="preserve">(PD) is the core credit product of the Credit Research Initiative(CRI). The CRI system is built on the forward intensity model developed by </w:t>
      </w:r>
      <w:proofErr w:type="spellStart"/>
      <w:r>
        <w:t>Duan</w:t>
      </w:r>
      <w:proofErr w:type="spellEnd"/>
      <w:r>
        <w:t>(2012. Journal of Econometrics). This white paper describes the foundations and numerical realization are presented in RMI-CRI Technical Report (Version 2017). This white paper contains 5 sections. Among them, section 2&amp;3 describes the methodology and performance of the model respectively, and section four relates to examples of how CRI PD can be used.</w:t>
      </w:r>
    </w:p>
    <w:p w:rsidR="00464EED" w:rsidRDefault="00A61BAB" w:rsidP="00A61BAB">
      <w:pPr>
        <w:pStyle w:val="a3"/>
        <w:numPr>
          <w:ilvl w:val="0"/>
          <w:numId w:val="1"/>
        </w:numPr>
        <w:ind w:firstLineChars="0"/>
      </w:pPr>
      <w:r>
        <w:t xml:space="preserve">Overview: Probability of Default is the core credit measure of CRI corporate default prediction system built on the forward intensity model of </w:t>
      </w:r>
      <w:proofErr w:type="spellStart"/>
      <w:r>
        <w:t>Duan</w:t>
      </w:r>
      <w:proofErr w:type="spellEnd"/>
      <w:r>
        <w:t xml:space="preserve">. This forward intensity model is governed by two independent doubly stochastic </w:t>
      </w:r>
      <w:hyperlink r:id="rId7" w:history="1">
        <w:r w:rsidRPr="000C1118">
          <w:rPr>
            <w:rStyle w:val="a4"/>
          </w:rPr>
          <w:t>Poisson processes</w:t>
        </w:r>
      </w:hyperlink>
      <w:r w:rsidR="000C1118">
        <w:t>,</w:t>
      </w:r>
      <w:r>
        <w:t xml:space="preserve"> </w:t>
      </w:r>
      <w:r w:rsidR="00827D2E">
        <w:t xml:space="preserve">operating on forward time instead of spot time. </w:t>
      </w:r>
      <w:r w:rsidR="005A2425">
        <w:t xml:space="preserve">This enables the model to produce </w:t>
      </w:r>
      <w:r>
        <w:rPr>
          <w:rFonts w:hint="eastAsia"/>
        </w:rPr>
        <w:t>f</w:t>
      </w:r>
      <w:r>
        <w:t xml:space="preserve">orward-looking PD-term structures of public firms based on dynamic learning from the </w:t>
      </w:r>
      <w:proofErr w:type="spellStart"/>
      <w:r>
        <w:t>macrofinancial</w:t>
      </w:r>
      <w:proofErr w:type="spellEnd"/>
      <w:r>
        <w:t xml:space="preserve"> and firm-specific data.</w:t>
      </w:r>
      <w:r w:rsidR="00D4526B">
        <w:t xml:space="preserve"> </w:t>
      </w:r>
    </w:p>
    <w:p w:rsidR="00464EED" w:rsidRDefault="00D4526B" w:rsidP="00BA71A8">
      <w:pPr>
        <w:pStyle w:val="a3"/>
        <w:numPr>
          <w:ilvl w:val="0"/>
          <w:numId w:val="5"/>
        </w:numPr>
        <w:ind w:firstLineChars="0"/>
      </w:pPr>
      <w:r>
        <w:rPr>
          <w:rFonts w:hint="eastAsia"/>
        </w:rPr>
        <w:t>K</w:t>
      </w:r>
      <w:r>
        <w:t xml:space="preserve">ey features </w:t>
      </w:r>
      <w:r w:rsidR="00464EED">
        <w:t xml:space="preserve">of the CRI model are: </w:t>
      </w:r>
    </w:p>
    <w:p w:rsidR="00464EED" w:rsidRDefault="00464EED" w:rsidP="00464EED">
      <w:pPr>
        <w:pStyle w:val="a3"/>
        <w:numPr>
          <w:ilvl w:val="0"/>
          <w:numId w:val="3"/>
        </w:numPr>
        <w:ind w:firstLineChars="0"/>
      </w:pPr>
      <w:r>
        <w:t xml:space="preserve">Combines a reduced-form model (based on a forward intensity construction) and a </w:t>
      </w:r>
      <w:hyperlink r:id="rId8" w:history="1">
        <w:r w:rsidRPr="000C1118">
          <w:rPr>
            <w:rStyle w:val="a4"/>
          </w:rPr>
          <w:t>structural model</w:t>
        </w:r>
      </w:hyperlink>
      <w:r>
        <w:t xml:space="preserve"> (using Distance-To-Default as one of its input covariates</w:t>
      </w:r>
      <w:r w:rsidR="000C1118">
        <w:rPr>
          <w:rFonts w:hint="eastAsia"/>
        </w:rPr>
        <w:t>)</w:t>
      </w:r>
      <w:r w:rsidR="000C1118">
        <w:t xml:space="preserve"> </w:t>
      </w:r>
    </w:p>
    <w:p w:rsidR="00464EED" w:rsidRDefault="00464EED" w:rsidP="00464EED">
      <w:pPr>
        <w:pStyle w:val="a3"/>
        <w:numPr>
          <w:ilvl w:val="0"/>
          <w:numId w:val="3"/>
        </w:numPr>
        <w:ind w:firstLineChars="0"/>
      </w:pPr>
      <w:r>
        <w:t xml:space="preserve">Accommodates the two risks that a listed firm might encounter; namely default risk and risk of other types of corporate exists (i.e. mergers and acquisitions). </w:t>
      </w:r>
    </w:p>
    <w:p w:rsidR="00464EED" w:rsidRDefault="00464EED" w:rsidP="00464EED">
      <w:pPr>
        <w:pStyle w:val="a3"/>
        <w:numPr>
          <w:ilvl w:val="0"/>
          <w:numId w:val="3"/>
        </w:numPr>
        <w:ind w:firstLineChars="0"/>
      </w:pPr>
      <w:r w:rsidRPr="005A2425">
        <w:rPr>
          <w:color w:val="FF0000"/>
        </w:rPr>
        <w:t xml:space="preserve">Uses forward probabilities of default and other types of exists as building blocks to construct the PD term structure in a consistent manner. </w:t>
      </w:r>
    </w:p>
    <w:p w:rsidR="00A61BAB" w:rsidRDefault="00464EED" w:rsidP="00464EED">
      <w:pPr>
        <w:pStyle w:val="a3"/>
        <w:numPr>
          <w:ilvl w:val="0"/>
          <w:numId w:val="3"/>
        </w:numPr>
        <w:ind w:firstLineChars="0"/>
      </w:pPr>
      <w:r>
        <w:t>Employs sixteen input covariates (or default predictors) from both market-based and accounting-based firm-specific attributes, as well as macro-financial factors (except for China which have fourteen covariates)</w:t>
      </w:r>
    </w:p>
    <w:p w:rsidR="000C1118" w:rsidRDefault="000C1118" w:rsidP="00BA71A8">
      <w:pPr>
        <w:pStyle w:val="a3"/>
        <w:numPr>
          <w:ilvl w:val="0"/>
          <w:numId w:val="5"/>
        </w:numPr>
        <w:ind w:firstLineChars="0"/>
      </w:pPr>
      <w:r>
        <w:rPr>
          <w:rFonts w:hint="eastAsia"/>
        </w:rPr>
        <w:t>Coverage</w:t>
      </w:r>
      <w:r>
        <w:t>:</w:t>
      </w:r>
    </w:p>
    <w:p w:rsidR="000C1118" w:rsidRDefault="000C1118" w:rsidP="000C1118">
      <w:pPr>
        <w:pStyle w:val="a3"/>
        <w:numPr>
          <w:ilvl w:val="0"/>
          <w:numId w:val="4"/>
        </w:numPr>
        <w:ind w:firstLineChars="0"/>
      </w:pPr>
      <w:r>
        <w:rPr>
          <w:rFonts w:hint="eastAsia"/>
        </w:rPr>
        <w:t>J</w:t>
      </w:r>
      <w:r>
        <w:t>uly 2010, 17,000 public firms among 12 Asian economies.</w:t>
      </w:r>
    </w:p>
    <w:p w:rsidR="000C1118" w:rsidRDefault="000C1118" w:rsidP="000C1118">
      <w:pPr>
        <w:pStyle w:val="a3"/>
        <w:numPr>
          <w:ilvl w:val="0"/>
          <w:numId w:val="4"/>
        </w:numPr>
        <w:ind w:firstLineChars="0"/>
      </w:pPr>
      <w:r>
        <w:rPr>
          <w:rFonts w:hint="eastAsia"/>
        </w:rPr>
        <w:t>J</w:t>
      </w:r>
      <w:r>
        <w:t>an 2018, 67,000 exchange-listed firms in 128 economies worldwide, 1 month—5years</w:t>
      </w:r>
    </w:p>
    <w:p w:rsidR="000C1118" w:rsidRDefault="000C1118" w:rsidP="000C1118">
      <w:pPr>
        <w:pStyle w:val="a3"/>
        <w:numPr>
          <w:ilvl w:val="0"/>
          <w:numId w:val="4"/>
        </w:numPr>
        <w:ind w:firstLineChars="0"/>
      </w:pPr>
      <w:r>
        <w:t>Out of those firms, over 34,000 are currently actively listed and have their PD updated on a daily basis.</w:t>
      </w:r>
    </w:p>
    <w:p w:rsidR="0038193D" w:rsidRDefault="0038193D" w:rsidP="0038193D">
      <w:pPr>
        <w:pStyle w:val="a3"/>
        <w:numPr>
          <w:ilvl w:val="0"/>
          <w:numId w:val="1"/>
        </w:numPr>
        <w:ind w:firstLineChars="0"/>
      </w:pPr>
      <w:r>
        <w:t>Methodology:</w:t>
      </w:r>
    </w:p>
    <w:p w:rsidR="0038193D" w:rsidRDefault="0038193D" w:rsidP="00BA71A8">
      <w:pPr>
        <w:pStyle w:val="a3"/>
        <w:numPr>
          <w:ilvl w:val="0"/>
          <w:numId w:val="5"/>
        </w:numPr>
        <w:ind w:firstLineChars="0"/>
      </w:pPr>
      <w:r>
        <w:rPr>
          <w:rFonts w:hint="eastAsia"/>
        </w:rPr>
        <w:t>M</w:t>
      </w:r>
      <w:r>
        <w:t xml:space="preserve">odel description: the building block of the CRI corporate default prediction model is the conditional forward probability. As figure 1 illustrates, when firm </w:t>
      </w:r>
      <w:proofErr w:type="spellStart"/>
      <w:r>
        <w:t>i</w:t>
      </w:r>
      <w:proofErr w:type="spellEnd"/>
      <w:r>
        <w:t xml:space="preserve"> is at time t facing the future, </w:t>
      </w:r>
      <w:proofErr w:type="spellStart"/>
      <w:r>
        <w:t>p</w:t>
      </w:r>
      <w:r w:rsidRPr="00BA71A8">
        <w:rPr>
          <w:vertAlign w:val="subscript"/>
        </w:rPr>
        <w:t>i,t</w:t>
      </w:r>
      <w:proofErr w:type="spellEnd"/>
      <w:r>
        <w:t>(3) is the probability that the firm defaults in the fourth month, conditional on its survival up to the third month.</w:t>
      </w:r>
    </w:p>
    <w:p w:rsidR="0038193D" w:rsidRDefault="00337CBD" w:rsidP="0038193D">
      <w:pPr>
        <w:pStyle w:val="a3"/>
        <w:ind w:left="780" w:firstLineChars="0" w:firstLine="0"/>
      </w:pPr>
      <w:r>
        <w:rPr>
          <w:rFonts w:hint="eastAsia"/>
          <w:noProof/>
        </w:rPr>
        <w:drawing>
          <wp:inline distT="0" distB="0" distL="0" distR="0">
            <wp:extent cx="5270500" cy="1768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9-23 下午1.22.22.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768475"/>
                    </a:xfrm>
                    <a:prstGeom prst="rect">
                      <a:avLst/>
                    </a:prstGeom>
                  </pic:spPr>
                </pic:pic>
              </a:graphicData>
            </a:graphic>
          </wp:inline>
        </w:drawing>
      </w:r>
    </w:p>
    <w:p w:rsidR="00337CBD" w:rsidRDefault="00337CBD" w:rsidP="0038193D">
      <w:pPr>
        <w:pStyle w:val="a3"/>
        <w:ind w:left="780" w:firstLineChars="0" w:firstLine="0"/>
      </w:pPr>
      <w:r>
        <w:rPr>
          <w:rFonts w:hint="eastAsia"/>
        </w:rPr>
        <w:t>F</w:t>
      </w:r>
      <w:r>
        <w:t xml:space="preserve">ormally, for each forward period T, </w:t>
      </w:r>
      <w:proofErr w:type="spellStart"/>
      <w:r>
        <w:t>p</w:t>
      </w:r>
      <w:r w:rsidRPr="0038193D">
        <w:rPr>
          <w:vertAlign w:val="subscript"/>
        </w:rPr>
        <w:t>i,t</w:t>
      </w:r>
      <w:proofErr w:type="spellEnd"/>
      <w:r>
        <w:t xml:space="preserve">(T) is constructed on a forward intensity function, </w:t>
      </w:r>
      <w:r>
        <w:lastRenderedPageBreak/>
        <w:t>whose inputs include the state of economy (</w:t>
      </w:r>
      <w:proofErr w:type="spellStart"/>
      <w:r>
        <w:t>macrofinancial</w:t>
      </w:r>
      <w:proofErr w:type="spellEnd"/>
      <w:r>
        <w:t xml:space="preserve"> risk factors </w:t>
      </w:r>
      <w:proofErr w:type="spellStart"/>
      <w:r>
        <w:t>X</w:t>
      </w:r>
      <w:r w:rsidRPr="00337CBD">
        <w:rPr>
          <w:vertAlign w:val="subscript"/>
        </w:rPr>
        <w:t>t</w:t>
      </w:r>
      <w:proofErr w:type="spellEnd"/>
      <w:r>
        <w:t xml:space="preserve">,) and the vulnerability of individual obligors (firm-specific attributes </w:t>
      </w:r>
      <w:proofErr w:type="spellStart"/>
      <w:r>
        <w:t>Y</w:t>
      </w:r>
      <w:r w:rsidRPr="00337CBD">
        <w:rPr>
          <w:vertAlign w:val="subscript"/>
        </w:rPr>
        <w:t>i,t</w:t>
      </w:r>
      <w:proofErr w:type="spellEnd"/>
      <w:r>
        <w:t>):</w:t>
      </w:r>
    </w:p>
    <w:p w:rsidR="00337CBD" w:rsidRDefault="00337CBD" w:rsidP="00337CBD">
      <w:pPr>
        <w:pStyle w:val="a3"/>
        <w:ind w:left="780" w:firstLineChars="0" w:firstLine="0"/>
        <w:jc w:val="center"/>
      </w:pPr>
      <w:proofErr w:type="spellStart"/>
      <w:r>
        <w:t>P</w:t>
      </w:r>
      <w:r w:rsidRPr="00337CBD">
        <w:rPr>
          <w:vertAlign w:val="subscript"/>
        </w:rPr>
        <w:t>i,t</w:t>
      </w:r>
      <w:proofErr w:type="spellEnd"/>
      <w:r>
        <w:t>(T) = P</w:t>
      </w:r>
      <w:r w:rsidRPr="00337CBD">
        <w:rPr>
          <w:vertAlign w:val="subscript"/>
        </w:rPr>
        <w:t>T</w:t>
      </w:r>
      <w:r>
        <w:t>(</w:t>
      </w:r>
      <w:proofErr w:type="spellStart"/>
      <w:r>
        <w:t>X</w:t>
      </w:r>
      <w:r w:rsidRPr="00337CBD">
        <w:rPr>
          <w:vertAlign w:val="subscript"/>
        </w:rPr>
        <w:t>t</w:t>
      </w:r>
      <w:proofErr w:type="spellEnd"/>
      <w:r>
        <w:t xml:space="preserve">, </w:t>
      </w:r>
      <w:proofErr w:type="spellStart"/>
      <w:r>
        <w:t>Y</w:t>
      </w:r>
      <w:r w:rsidRPr="00337CBD">
        <w:rPr>
          <w:vertAlign w:val="subscript"/>
        </w:rPr>
        <w:t>i,t</w:t>
      </w:r>
      <w:proofErr w:type="spellEnd"/>
      <w:r>
        <w:t>)</w:t>
      </w:r>
    </w:p>
    <w:p w:rsidR="00337CBD" w:rsidRDefault="00337CBD" w:rsidP="00337CBD">
      <w:pPr>
        <w:pStyle w:val="a3"/>
        <w:ind w:left="780" w:firstLineChars="0" w:firstLine="0"/>
        <w:jc w:val="left"/>
      </w:pPr>
      <w:r>
        <w:t xml:space="preserve">With </w:t>
      </w:r>
      <w:proofErr w:type="spellStart"/>
      <w:r>
        <w:t>P</w:t>
      </w:r>
      <w:r w:rsidRPr="00337CBD">
        <w:rPr>
          <w:vertAlign w:val="subscript"/>
        </w:rPr>
        <w:t>i,t</w:t>
      </w:r>
      <w:proofErr w:type="spellEnd"/>
      <w:r>
        <w:t>(T) in place, the multi-period default probabilities with different term structures can be obtained through the typical survival-exit formula. The underlying forward intensity functions are parameterized, and the parameters are estimated for each calibration groups on a monthly basis as new information accumulated in the CRI database.</w:t>
      </w:r>
    </w:p>
    <w:p w:rsidR="00893CA8" w:rsidRDefault="00893CA8" w:rsidP="00BA71A8">
      <w:pPr>
        <w:pStyle w:val="a3"/>
        <w:numPr>
          <w:ilvl w:val="0"/>
          <w:numId w:val="5"/>
        </w:numPr>
        <w:ind w:firstLineChars="0"/>
        <w:jc w:val="left"/>
      </w:pPr>
      <w:r>
        <w:rPr>
          <w:rFonts w:hint="eastAsia"/>
        </w:rPr>
        <w:t>In</w:t>
      </w:r>
      <w:r>
        <w:t>put Covariates</w:t>
      </w:r>
    </w:p>
    <w:p w:rsidR="00893CA8" w:rsidRDefault="00893CA8" w:rsidP="00893CA8">
      <w:pPr>
        <w:pStyle w:val="a3"/>
        <w:ind w:left="780" w:firstLineChars="0" w:firstLine="0"/>
        <w:jc w:val="left"/>
      </w:pPr>
      <w:r>
        <w:rPr>
          <w:rFonts w:hint="eastAsia"/>
        </w:rPr>
        <w:t>F</w:t>
      </w:r>
      <w:r>
        <w:t>ollowing the notation above, firm I’s input covariates at time t are represented by 1)</w:t>
      </w:r>
      <w:r w:rsidR="004F4054">
        <w:t xml:space="preserve"> </w:t>
      </w:r>
      <w:r>
        <w:t xml:space="preserve">the vector </w:t>
      </w:r>
      <w:proofErr w:type="spellStart"/>
      <w:r>
        <w:t>X</w:t>
      </w:r>
      <w:r w:rsidRPr="004F4054">
        <w:rPr>
          <w:vertAlign w:val="subscript"/>
        </w:rPr>
        <w:t>t</w:t>
      </w:r>
      <w:proofErr w:type="spellEnd"/>
      <w:r>
        <w:t xml:space="preserve"> that is common to all firms in the same economy</w:t>
      </w:r>
      <w:r w:rsidRPr="004F4054">
        <w:rPr>
          <w:vertAlign w:val="superscript"/>
        </w:rPr>
        <w:t>2</w:t>
      </w:r>
      <w:r>
        <w:t xml:space="preserve">, and 2) a firm-specific vector </w:t>
      </w:r>
      <w:proofErr w:type="spellStart"/>
      <w:r>
        <w:t>Y</w:t>
      </w:r>
      <w:r w:rsidRPr="004F4054">
        <w:rPr>
          <w:vertAlign w:val="subscript"/>
        </w:rPr>
        <w:t>t</w:t>
      </w:r>
      <w:proofErr w:type="spellEnd"/>
      <w:r>
        <w:t xml:space="preserve"> with components constructed from the firm’s financial statements and market capitalizations. The CRI corporate default prediction model employs four </w:t>
      </w:r>
      <w:proofErr w:type="spellStart"/>
      <w:r>
        <w:t>macrofinancial</w:t>
      </w:r>
      <w:proofErr w:type="spellEnd"/>
      <w:r>
        <w:t xml:space="preserve"> variables and twelve firm-specific variables, as presented in Table 1 below.</w:t>
      </w:r>
    </w:p>
    <w:tbl>
      <w:tblPr>
        <w:tblW w:w="0" w:type="auto"/>
        <w:tblCellMar>
          <w:top w:w="15" w:type="dxa"/>
          <w:left w:w="15" w:type="dxa"/>
          <w:bottom w:w="15" w:type="dxa"/>
          <w:right w:w="15" w:type="dxa"/>
        </w:tblCellMar>
        <w:tblLook w:val="04A0" w:firstRow="1" w:lastRow="0" w:firstColumn="1" w:lastColumn="0" w:noHBand="0" w:noVBand="1"/>
      </w:tblPr>
      <w:tblGrid>
        <w:gridCol w:w="1191"/>
        <w:gridCol w:w="2180"/>
        <w:gridCol w:w="4919"/>
      </w:tblGrid>
      <w:tr w:rsidR="004F4054" w:rsidRPr="004F4054" w:rsidTr="004F4054">
        <w:tc>
          <w:tcPr>
            <w:tcW w:w="0" w:type="auto"/>
            <w:gridSpan w:val="3"/>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spacing w:before="100" w:beforeAutospacing="1" w:after="100" w:afterAutospacing="1"/>
              <w:jc w:val="center"/>
              <w:rPr>
                <w:rFonts w:ascii="Times New Roman" w:eastAsia="Times New Roman" w:hAnsi="Times New Roman" w:cs="Times New Roman"/>
                <w:kern w:val="0"/>
                <w:sz w:val="24"/>
              </w:rPr>
            </w:pPr>
            <w:r w:rsidRPr="004F4054">
              <w:rPr>
                <w:rFonts w:ascii="Calibri" w:eastAsia="Times New Roman" w:hAnsi="Calibri" w:cs="Calibri"/>
                <w:b/>
                <w:bCs/>
                <w:color w:val="565656"/>
                <w:kern w:val="0"/>
                <w:sz w:val="24"/>
              </w:rPr>
              <w:t>Table 1. Input covariates for the CRI PD model</w:t>
            </w:r>
          </w:p>
        </w:tc>
      </w:tr>
      <w:tr w:rsidR="004F4054" w:rsidRPr="004F4054" w:rsidTr="004F4054">
        <w:tc>
          <w:tcPr>
            <w:tcW w:w="0" w:type="auto"/>
            <w:tcBorders>
              <w:top w:val="single" w:sz="4" w:space="0" w:color="FFFFFF"/>
              <w:left w:val="single" w:sz="4" w:space="0" w:color="FFFFFF"/>
              <w:bottom w:val="single" w:sz="4" w:space="0" w:color="FFFFFF"/>
              <w:right w:val="single" w:sz="4" w:space="0" w:color="FFFFFF"/>
            </w:tcBorders>
            <w:shd w:val="clear" w:color="auto" w:fill="1E4C77"/>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1E4C77"/>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"/var/folders/6k/4zp_mrxd1ts9z34w16wx3hqm0000gn/T/com.microsoft.Word/WebArchiveCopyPasteTempFiles/page5image1981023248"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7" name="图片 17" descr="page5image198102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1981023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center"/>
              <w:rPr>
                <w:rFonts w:ascii="Times New Roman" w:eastAsia="Times New Roman" w:hAnsi="Times New Roman" w:cs="Times New Roman"/>
                <w:kern w:val="0"/>
                <w:sz w:val="24"/>
              </w:rPr>
            </w:pPr>
            <w:r w:rsidRPr="004F4054">
              <w:rPr>
                <w:rFonts w:ascii="Calibri" w:eastAsia="Times New Roman" w:hAnsi="Calibri" w:cs="Calibri"/>
                <w:b/>
                <w:bCs/>
                <w:color w:val="FFFFFF"/>
                <w:kern w:val="0"/>
                <w:sz w:val="24"/>
              </w:rPr>
              <w:t xml:space="preserve">Model Inputs </w:t>
            </w:r>
          </w:p>
        </w:tc>
        <w:tc>
          <w:tcPr>
            <w:tcW w:w="0" w:type="auto"/>
            <w:tcBorders>
              <w:top w:val="single" w:sz="4" w:space="0" w:color="FFFFFF"/>
              <w:left w:val="single" w:sz="4" w:space="0" w:color="FFFFFF"/>
              <w:bottom w:val="single" w:sz="4" w:space="0" w:color="FFFFFF"/>
              <w:right w:val="single" w:sz="4" w:space="0" w:color="FFFFFF"/>
            </w:tcBorders>
            <w:shd w:val="clear" w:color="auto" w:fill="1E4C77"/>
            <w:vAlign w:val="center"/>
            <w:hideMark/>
          </w:tcPr>
          <w:p w:rsidR="004F4054" w:rsidRPr="004F4054" w:rsidRDefault="004F4054" w:rsidP="004F4054">
            <w:pPr>
              <w:widowControl/>
              <w:spacing w:before="100" w:beforeAutospacing="1" w:after="100" w:afterAutospacing="1"/>
              <w:jc w:val="center"/>
              <w:rPr>
                <w:rFonts w:ascii="Times New Roman" w:eastAsia="Times New Roman" w:hAnsi="Times New Roman" w:cs="Times New Roman"/>
                <w:kern w:val="0"/>
                <w:sz w:val="24"/>
              </w:rPr>
            </w:pPr>
            <w:r w:rsidRPr="004F4054">
              <w:rPr>
                <w:rFonts w:ascii="Calibri" w:eastAsia="Times New Roman" w:hAnsi="Calibri" w:cs="Calibri"/>
                <w:b/>
                <w:bCs/>
                <w:color w:val="FFFFFF"/>
                <w:kern w:val="0"/>
                <w:sz w:val="24"/>
              </w:rPr>
              <w:t>Description</w:t>
            </w:r>
          </w:p>
        </w:tc>
      </w:tr>
      <w:tr w:rsidR="004F4054" w:rsidRPr="004F4054" w:rsidTr="004F4054">
        <w:tc>
          <w:tcPr>
            <w:tcW w:w="0" w:type="auto"/>
            <w:vMerge w:val="restart"/>
            <w:tcBorders>
              <w:top w:val="single" w:sz="4" w:space="0" w:color="FFFFFF"/>
              <w:left w:val="single" w:sz="4" w:space="0" w:color="FFFFFF"/>
              <w:bottom w:val="single" w:sz="4" w:space="0" w:color="FFFFFF"/>
              <w:right w:val="single" w:sz="4" w:space="0" w:color="FFFFFF"/>
            </w:tcBorders>
            <w:shd w:val="clear" w:color="auto" w:fill="2D72B5"/>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b/>
                <w:bCs/>
                <w:color w:val="FFFFFF"/>
                <w:kern w:val="0"/>
                <w:sz w:val="20"/>
                <w:szCs w:val="20"/>
              </w:rPr>
              <w:t xml:space="preserve">Macro- Financial Factors </w:t>
            </w:r>
          </w:p>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"/var/folders/6k/4zp_mrxd1ts9z34w16wx3hqm0000gn/T/com.microsoft.Word/WebArchiveCopyPasteTempFiles/page5image1981027056"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6" name="图片 16" descr="page5image198102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19810270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"/var/folders/6k/4zp_mrxd1ts9z34w16wx3hqm0000gn/T/com.microsoft.Word/WebArchiveCopyPasteTempFiles/page5image1980887136"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5" name="图片 15" descr="page5image1980887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1980887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color w:val="FF0000"/>
                <w:kern w:val="0"/>
                <w:sz w:val="20"/>
                <w:szCs w:val="20"/>
              </w:rPr>
              <w:t>Stock Index Return</w:t>
            </w:r>
            <w:r>
              <w:rPr>
                <w:rFonts w:ascii="Calibri" w:eastAsia="Times New Roman" w:hAnsi="Calibri" w:cs="Calibri" w:hint="eastAsia"/>
                <w:color w:val="FF0000"/>
                <w:kern w:val="0"/>
                <w:sz w:val="20"/>
                <w:szCs w:val="20"/>
              </w:rPr>
              <w:t>？</w:t>
            </w: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Trailing 1-year return of the prime stock market, </w:t>
            </w:r>
            <w:proofErr w:type="spellStart"/>
            <w:r w:rsidRPr="004F4054">
              <w:rPr>
                <w:rFonts w:ascii="Calibri" w:eastAsia="Times New Roman" w:hAnsi="Calibri" w:cs="Calibri"/>
                <w:kern w:val="0"/>
                <w:sz w:val="18"/>
                <w:szCs w:val="18"/>
              </w:rPr>
              <w:t>winsorization</w:t>
            </w:r>
            <w:proofErr w:type="spellEnd"/>
            <w:r w:rsidRPr="004F4054">
              <w:rPr>
                <w:rFonts w:ascii="Calibri" w:eastAsia="Times New Roman" w:hAnsi="Calibri" w:cs="Calibri"/>
                <w:kern w:val="0"/>
                <w:sz w:val="18"/>
                <w:szCs w:val="18"/>
              </w:rPr>
              <w:t xml:space="preserve"> and currency adjusted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"/var/folders/6k/4zp_mrxd1ts9z34w16wx3hqm0000gn/T/com.microsoft.Word/WebArchiveCopyPasteTempFiles/page5image1980990864"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4" name="图片 14" descr="page5image1980990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19809908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Short-term Risk-Free Rate </w:t>
            </w:r>
          </w:p>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"/var/folders/6k/4zp_mrxd1ts9z34w16wx3hqm0000gn/T/com.microsoft.Word/WebArchiveCopyPasteTempFiles/page5image1981034640"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3" name="图片 13" descr="page5image198103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1981034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Yield on 3-month government bills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Economy-level Distance-To-Default for financial firms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Median Distance-to-Default of financial/non- financial firms in each economy/country inclusive of those foreign firms whose primary stock exchange is in this economy/country (Not applicable to China)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Economy-level Distance-To-Default for non-financial firms </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val="restart"/>
            <w:tcBorders>
              <w:top w:val="single" w:sz="4" w:space="0" w:color="FFFFFF"/>
              <w:left w:val="single" w:sz="4" w:space="0" w:color="FFFFFF"/>
              <w:bottom w:val="single" w:sz="4" w:space="0" w:color="FFFFFF"/>
              <w:right w:val="single" w:sz="4" w:space="0" w:color="FFFFFF"/>
            </w:tcBorders>
            <w:shd w:val="clear" w:color="auto" w:fill="2D72B5"/>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"/var/folders/6k/4zp_mrxd1ts9z34w16wx3hqm0000gn/T/com.microsoft.Word/WebArchiveCopyPasteTempFiles/page5image1980022704"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2" name="图片 12" descr="page5image19800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19800227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"/var/folders/6k/4zp_mrxd1ts9z34w16wx3hqm0000gn/T/com.microsoft.Word/WebArchiveCopyPasteTempFiles/page5image1980020816"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1" name="图片 11" descr="page5image198002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19800208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b/>
                <w:bCs/>
                <w:color w:val="FFFFFF"/>
                <w:kern w:val="0"/>
                <w:sz w:val="20"/>
                <w:szCs w:val="20"/>
              </w:rPr>
              <w:t xml:space="preserve">Firm-Specific Attributes </w:t>
            </w:r>
          </w:p>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"/var/folders/6k/4zp_mrxd1ts9z34w16wx3hqm0000gn/T/com.microsoft.Word/WebArchiveCopyPasteTempFiles/page5image1980026672"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10" name="图片 10" descr="page5image198002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19800266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"/var/folders/6k/4zp_mrxd1ts9z34w16wx3hqm0000gn/T/com.microsoft.Word/WebArchiveCopyPasteTempFiles/page5image1980027440"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9" name="图片 9" descr="page5image198002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5image19800274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"/var/folders/6k/4zp_mrxd1ts9z34w16wx3hqm0000gn/T/com.microsoft.Word/WebArchiveCopyPasteTempFiles/page5image1980027824"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8" name="图片 8" descr="page5image1980027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5image19800278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"/var/folders/6k/4zp_mrxd1ts9z34w16wx3hqm0000gn/T/com.microsoft.Word/WebArchiveCopyPasteTempFiles/page5image1980028336"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7" name="图片 7" descr="page5image198002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5image19800283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"/var/folders/6k/4zp_mrxd1ts9z34w16wx3hqm0000gn/T/com.microsoft.Word/WebArchiveCopyPasteTempFiles/page5image1980030752"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6" name="图片 6" descr="page5image1980030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5image19800307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Distance-to-Default (level) </w:t>
            </w:r>
          </w:p>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"/var/folders/6k/4zp_mrxd1ts9z34w16wx3hqm0000gn/T/com.microsoft.Word/WebArchiveCopyPasteTempFiles/page5image1980035584"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5" name="图片 5" descr="page5image19800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5image19800355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Volatility-adjusted leverage based on Merton (1974) with </w:t>
            </w:r>
            <w:r w:rsidRPr="004F4054">
              <w:rPr>
                <w:rFonts w:ascii="Calibri" w:eastAsia="Times New Roman" w:hAnsi="Calibri" w:cs="Calibri"/>
                <w:b/>
                <w:bCs/>
                <w:kern w:val="0"/>
                <w:sz w:val="18"/>
                <w:szCs w:val="18"/>
              </w:rPr>
              <w:t xml:space="preserve">special </w:t>
            </w:r>
            <w:r w:rsidRPr="004F4054">
              <w:rPr>
                <w:rFonts w:ascii="Calibri" w:eastAsia="Times New Roman" w:hAnsi="Calibri" w:cs="Calibri"/>
                <w:kern w:val="0"/>
                <w:sz w:val="18"/>
                <w:szCs w:val="18"/>
              </w:rPr>
              <w:t xml:space="preserve">treatments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Distance-to-Default (trend) </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Cash/Total Assets (level)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For financial firm’s liquidity - Logarithm of the ratio of each firm’s sum of cash and short-term investments to total assets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"/var/folders/6k/4zp_mrxd1ts9z34w16wx3hqm0000gn/T/com.microsoft.Word/WebArchiveCopyPasteTempFiles/page5image1981219328"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4" name="图片 4" descr="page5image198121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5image1981219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Cash/Total Assets (trend) </w:t>
            </w:r>
          </w:p>
          <w:p w:rsidR="004F4054" w:rsidRPr="004F4054" w:rsidRDefault="004F4054" w:rsidP="004F4054">
            <w:pPr>
              <w:widowControl/>
              <w:jc w:val="left"/>
              <w:rPr>
                <w:rFonts w:ascii="Times New Roman" w:eastAsia="Times New Roman" w:hAnsi="Times New Roman" w:cs="Times New Roman"/>
                <w:kern w:val="0"/>
                <w:sz w:val="24"/>
              </w:rPr>
            </w:pPr>
            <w:r w:rsidRPr="004F4054">
              <w:rPr>
                <w:rFonts w:ascii="Times New Roman" w:eastAsia="Times New Roman" w:hAnsi="Times New Roman" w:cs="Times New Roman"/>
                <w:kern w:val="0"/>
                <w:sz w:val="24"/>
              </w:rPr>
              <w:lastRenderedPageBreak/>
              <w:fldChar w:fldCharType="begin"/>
            </w:r>
            <w:r w:rsidRPr="004F4054">
              <w:rPr>
                <w:rFonts w:ascii="Times New Roman" w:eastAsia="Times New Roman" w:hAnsi="Times New Roman" w:cs="Times New Roman"/>
                <w:kern w:val="0"/>
                <w:sz w:val="24"/>
              </w:rPr>
              <w:instrText xml:space="preserve"> INCLUDEPICTURE "/var/folders/6k/4zp_mrxd1ts9z34w16wx3hqm0000gn/T/com.microsoft.Word/WebArchiveCopyPasteTempFiles/page5image1981222704" \* MERGEFORMATINET </w:instrText>
            </w:r>
            <w:r w:rsidRPr="004F4054">
              <w:rPr>
                <w:rFonts w:ascii="Times New Roman" w:eastAsia="Times New Roman" w:hAnsi="Times New Roman" w:cs="Times New Roman"/>
                <w:kern w:val="0"/>
                <w:sz w:val="24"/>
              </w:rPr>
              <w:fldChar w:fldCharType="separate"/>
            </w:r>
            <w:r w:rsidRPr="004F4054">
              <w:rPr>
                <w:rFonts w:ascii="Times New Roman" w:eastAsia="Times New Roman" w:hAnsi="Times New Roman" w:cs="Times New Roman"/>
                <w:noProof/>
                <w:kern w:val="0"/>
                <w:sz w:val="24"/>
              </w:rPr>
              <w:drawing>
                <wp:inline distT="0" distB="0" distL="0" distR="0">
                  <wp:extent cx="15240" cy="15240"/>
                  <wp:effectExtent l="0" t="0" r="0" b="0"/>
                  <wp:docPr id="3" name="图片 3" descr="page5image19812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19812227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4F4054">
              <w:rPr>
                <w:rFonts w:ascii="Times New Roman" w:eastAsia="Times New Roman" w:hAnsi="Times New Roman" w:cs="Times New Roman"/>
                <w:kern w:val="0"/>
                <w:sz w:val="24"/>
              </w:rPr>
              <w:fldChar w:fldCharType="end"/>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Current Assets/Current Liabilities (level)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For non-financial firm’s liquidity - Logarithm of the ratio of each firm’s current assets to current liabilities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Current Assets/Current Liabilities (trend) </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Net Income/Total Assets (level)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Profitability - Ratio of each firm’s net income to total assets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Net Income/Total Assets (trend) </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Relative Size (level)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Logarithm of the ratio of each firm’s market capitalization to the economy’s median market capitalization over the past one year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Relative Size (trend) </w:t>
            </w:r>
          </w:p>
        </w:tc>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Relative Market-to-Book Ratio </w:t>
            </w:r>
          </w:p>
        </w:tc>
        <w:tc>
          <w:tcPr>
            <w:tcW w:w="0" w:type="auto"/>
            <w:tcBorders>
              <w:top w:val="single" w:sz="4" w:space="0" w:color="FFFFFF"/>
              <w:left w:val="single" w:sz="4" w:space="0" w:color="FFFFFF"/>
              <w:bottom w:val="single" w:sz="4" w:space="0" w:color="FFFFFF"/>
              <w:right w:val="single" w:sz="4" w:space="0" w:color="FFFFFF"/>
            </w:tcBorders>
            <w:shd w:val="clear" w:color="auto" w:fill="BCD3ED"/>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Individual firm’s market </w:t>
            </w:r>
            <w:proofErr w:type="spellStart"/>
            <w:r w:rsidRPr="004F4054">
              <w:rPr>
                <w:rFonts w:ascii="Calibri" w:eastAsia="Times New Roman" w:hAnsi="Calibri" w:cs="Calibri"/>
                <w:kern w:val="0"/>
                <w:sz w:val="18"/>
                <w:szCs w:val="18"/>
              </w:rPr>
              <w:t>misvaluation</w:t>
            </w:r>
            <w:proofErr w:type="spellEnd"/>
            <w:r w:rsidRPr="004F4054">
              <w:rPr>
                <w:rFonts w:ascii="Calibri" w:eastAsia="Times New Roman" w:hAnsi="Calibri" w:cs="Calibri"/>
                <w:kern w:val="0"/>
                <w:sz w:val="18"/>
                <w:szCs w:val="18"/>
              </w:rPr>
              <w:t xml:space="preserve">/ future growth opportunities relative to the economy’s median level of market-to-book ratio </w:t>
            </w:r>
          </w:p>
        </w:tc>
      </w:tr>
      <w:tr w:rsidR="004F4054" w:rsidRPr="004F4054" w:rsidTr="004F4054">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4F4054" w:rsidRPr="004F4054" w:rsidRDefault="004F4054" w:rsidP="004F4054">
            <w:pPr>
              <w:widowControl/>
              <w:jc w:val="left"/>
              <w:rPr>
                <w:rFonts w:ascii="Times New Roman" w:eastAsia="Times New Roman" w:hAnsi="Times New Roman" w:cs="Times New Roman"/>
                <w:kern w:val="0"/>
                <w:sz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20"/>
                <w:szCs w:val="20"/>
              </w:rPr>
              <w:t xml:space="preserve">Idiosyncratic Volatility </w:t>
            </w:r>
          </w:p>
        </w:tc>
        <w:tc>
          <w:tcPr>
            <w:tcW w:w="0" w:type="auto"/>
            <w:tcBorders>
              <w:top w:val="single" w:sz="4" w:space="0" w:color="FFFFFF"/>
              <w:left w:val="single" w:sz="4" w:space="0" w:color="FFFFFF"/>
              <w:bottom w:val="single" w:sz="4" w:space="0" w:color="FFFFFF"/>
              <w:right w:val="single" w:sz="4" w:space="0" w:color="FFFFFF"/>
            </w:tcBorders>
            <w:shd w:val="clear" w:color="auto" w:fill="DDE8F4"/>
            <w:vAlign w:val="center"/>
            <w:hideMark/>
          </w:tcPr>
          <w:p w:rsidR="004F4054" w:rsidRPr="004F4054" w:rsidRDefault="004F4054" w:rsidP="004F4054">
            <w:pPr>
              <w:widowControl/>
              <w:spacing w:before="100" w:beforeAutospacing="1" w:after="100" w:afterAutospacing="1"/>
              <w:jc w:val="left"/>
              <w:rPr>
                <w:rFonts w:ascii="Times New Roman" w:eastAsia="Times New Roman" w:hAnsi="Times New Roman" w:cs="Times New Roman"/>
                <w:kern w:val="0"/>
                <w:sz w:val="24"/>
              </w:rPr>
            </w:pPr>
            <w:r w:rsidRPr="004F4054">
              <w:rPr>
                <w:rFonts w:ascii="Calibri" w:eastAsia="Times New Roman" w:hAnsi="Calibri" w:cs="Calibri"/>
                <w:kern w:val="0"/>
                <w:sz w:val="18"/>
                <w:szCs w:val="18"/>
              </w:rPr>
              <w:t xml:space="preserve">1-year idiosyncratic volatility of each firm, computed as the standard deviation of its residuals using the market model </w:t>
            </w:r>
          </w:p>
        </w:tc>
      </w:tr>
    </w:tbl>
    <w:p w:rsidR="004F4054" w:rsidRDefault="004F4054" w:rsidP="00893CA8">
      <w:pPr>
        <w:pStyle w:val="a3"/>
        <w:ind w:left="780" w:firstLineChars="0" w:firstLine="0"/>
        <w:jc w:val="left"/>
      </w:pPr>
    </w:p>
    <w:p w:rsidR="005A2425" w:rsidRDefault="005A2425" w:rsidP="005A2425">
      <w:pPr>
        <w:pStyle w:val="a3"/>
        <w:ind w:left="780" w:firstLineChars="0" w:firstLine="0"/>
        <w:jc w:val="left"/>
      </w:pPr>
      <w:r>
        <w:t>In the table above, “level” is computed as the 12-month moving average (a minimum of six observations in the 12-month range are required, otherwise level variables will bear missing values), and “trend” is computed as the current value minus the “level” value (if the current month value is missing, the trend variable is set to be the last value in the previous month).</w:t>
      </w:r>
    </w:p>
    <w:p w:rsidR="005A2425" w:rsidRDefault="005A2425" w:rsidP="005A2425">
      <w:pPr>
        <w:pStyle w:val="a3"/>
        <w:ind w:left="780" w:firstLineChars="0" w:firstLine="0"/>
        <w:jc w:val="left"/>
      </w:pPr>
      <w:r>
        <w:t xml:space="preserve">The “trend” measure captures the momentum effect and gives a hint about the direction of future movements. </w:t>
      </w:r>
      <w:proofErr w:type="spellStart"/>
      <w:r w:rsidR="0044055F">
        <w:t>Duan</w:t>
      </w:r>
      <w:proofErr w:type="spellEnd"/>
      <w:r w:rsidR="0044055F">
        <w:t xml:space="preserve"> at </w:t>
      </w:r>
      <w:proofErr w:type="spellStart"/>
      <w:r w:rsidR="0044055F">
        <w:t>aL</w:t>
      </w:r>
      <w:proofErr w:type="spellEnd"/>
      <w:r w:rsidR="0044055F">
        <w:t>(2012) show that using the level and trend of the measure for some input covariates significantly improves the predictive power of the model, particularly for short horizons.</w:t>
      </w:r>
    </w:p>
    <w:p w:rsidR="0044055F" w:rsidRDefault="0044055F" w:rsidP="005A2425">
      <w:pPr>
        <w:pStyle w:val="a3"/>
        <w:ind w:left="780" w:firstLineChars="0" w:firstLine="0"/>
        <w:jc w:val="left"/>
      </w:pPr>
      <w:r>
        <w:t>In order to understand the momentum effect, consider the case of two firms that have the same current value of Distance-To-Default (DTD). Firm 1 reaches its current value of DTD from a lower level, while Firm 2 reaches the same current value of DTD as Firm 1 but from a higher level, as shown in Figure 2. If only the current value of the DTD is employed for default prediction, the impact of the DTD on PD would be identical for both firms. Intuitively however, one would expect the DTD of Firm 1 to have an upward momentum whereas that of Firm 2 to continue its decline. In order to account for such momentum effects, the CRI uses both level and trend attributes in the computation of its PD.</w:t>
      </w:r>
    </w:p>
    <w:p w:rsidR="0044055F" w:rsidRDefault="0044055F" w:rsidP="005A2425">
      <w:pPr>
        <w:pStyle w:val="a3"/>
        <w:ind w:left="780" w:firstLineChars="0" w:firstLine="0"/>
        <w:jc w:val="left"/>
      </w:pPr>
      <w:r>
        <w:rPr>
          <w:rFonts w:hint="eastAsia"/>
          <w:noProof/>
        </w:rPr>
        <w:drawing>
          <wp:inline distT="0" distB="0" distL="0" distR="0">
            <wp:extent cx="4744085" cy="1656413"/>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屏幕快照 2019-09-23 下午5.49.16.png"/>
                    <pic:cNvPicPr/>
                  </pic:nvPicPr>
                  <pic:blipFill>
                    <a:blip r:embed="rId12">
                      <a:extLst>
                        <a:ext uri="{28A0092B-C50C-407E-A947-70E740481C1C}">
                          <a14:useLocalDpi xmlns:a14="http://schemas.microsoft.com/office/drawing/2010/main" val="0"/>
                        </a:ext>
                      </a:extLst>
                    </a:blip>
                    <a:stretch>
                      <a:fillRect/>
                    </a:stretch>
                  </pic:blipFill>
                  <pic:spPr>
                    <a:xfrm>
                      <a:off x="0" y="0"/>
                      <a:ext cx="4756406" cy="1660715"/>
                    </a:xfrm>
                    <a:prstGeom prst="rect">
                      <a:avLst/>
                    </a:prstGeom>
                  </pic:spPr>
                </pic:pic>
              </a:graphicData>
            </a:graphic>
          </wp:inline>
        </w:drawing>
      </w:r>
    </w:p>
    <w:p w:rsidR="0044055F" w:rsidRDefault="0044055F" w:rsidP="005A2425">
      <w:pPr>
        <w:pStyle w:val="a3"/>
        <w:ind w:left="780" w:firstLineChars="0" w:firstLine="0"/>
        <w:jc w:val="left"/>
      </w:pPr>
      <w:r>
        <w:rPr>
          <w:rFonts w:hint="eastAsia"/>
        </w:rPr>
        <w:lastRenderedPageBreak/>
        <w:t>D</w:t>
      </w:r>
      <w:r>
        <w:t>TD has long been recognized as an important indicator of a firm’s credit quality</w:t>
      </w:r>
      <w:r w:rsidR="00E16101">
        <w:t xml:space="preserve"> </w:t>
      </w:r>
      <w:r>
        <w:t>and is employed by the CRI as a default predictor in the forward intensity model.</w:t>
      </w:r>
    </w:p>
    <w:p w:rsidR="0044055F" w:rsidRDefault="0044055F" w:rsidP="005A2425">
      <w:pPr>
        <w:pStyle w:val="a3"/>
        <w:ind w:left="780" w:firstLineChars="0" w:firstLine="0"/>
        <w:jc w:val="left"/>
      </w:pPr>
      <w:r>
        <w:t xml:space="preserve">Typically, the DTD for each </w:t>
      </w:r>
      <w:r w:rsidR="00E16101">
        <w:t>firm is estimated using Merton’s structural model with the same assumptions on the debt maturity and size in the KMV implementation, i.e.,</w:t>
      </w:r>
    </w:p>
    <w:p w:rsidR="00E16101" w:rsidRDefault="00E16101" w:rsidP="00E16101">
      <w:pPr>
        <w:pStyle w:val="a3"/>
        <w:ind w:left="780" w:firstLineChars="0" w:firstLine="0"/>
        <w:jc w:val="center"/>
      </w:pPr>
      <w:proofErr w:type="spellStart"/>
      <w:r>
        <w:rPr>
          <w:rFonts w:hint="eastAsia"/>
        </w:rPr>
        <w:t>D</w:t>
      </w:r>
      <w:r>
        <w:t>TD</w:t>
      </w:r>
      <w:r w:rsidRPr="00E16101">
        <w:rPr>
          <w:vertAlign w:val="subscript"/>
        </w:rPr>
        <w:t>t</w:t>
      </w:r>
      <w:proofErr w:type="spellEnd"/>
      <w:r>
        <w:t xml:space="preserve"> =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L</m:t>
                    </m:r>
                  </m:den>
                </m:f>
              </m:e>
            </m:d>
          </m:e>
        </m:func>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r>
          <w:rPr>
            <w:rFonts w:ascii="Cambria Math" w:hAnsi="Cambria Math"/>
          </w:rPr>
          <m:t>)(T-t)/σ</m:t>
        </m:r>
        <m:rad>
          <m:radPr>
            <m:degHide m:val="1"/>
            <m:ctrlPr>
              <w:rPr>
                <w:rFonts w:ascii="Cambria Math" w:hAnsi="Cambria Math"/>
                <w:i/>
              </w:rPr>
            </m:ctrlPr>
          </m:radPr>
          <m:deg/>
          <m:e>
            <m:r>
              <w:rPr>
                <w:rFonts w:ascii="Cambria Math" w:hAnsi="Cambria Math"/>
              </w:rPr>
              <m:t>T-t</m:t>
            </m:r>
          </m:e>
        </m:rad>
      </m:oMath>
    </w:p>
    <w:p w:rsidR="00E16101" w:rsidRDefault="00E16101" w:rsidP="00E16101">
      <w:pPr>
        <w:pStyle w:val="a3"/>
        <w:ind w:left="780" w:firstLineChars="0" w:firstLine="0"/>
        <w:jc w:val="left"/>
        <w:rPr>
          <w:i/>
        </w:rPr>
      </w:pPr>
      <w:r>
        <w:rPr>
          <w:i/>
        </w:rPr>
        <w:t>Where V</w:t>
      </w:r>
      <w:r w:rsidRPr="00E16101">
        <w:rPr>
          <w:i/>
          <w:vertAlign w:val="subscript"/>
        </w:rPr>
        <w:t>t</w:t>
      </w:r>
      <w:r>
        <w:rPr>
          <w:i/>
        </w:rPr>
        <w:t xml:space="preserve"> is the asset value following a geometric Brownian motion with drift </w:t>
      </w:r>
      <m:oMath>
        <m:r>
          <w:rPr>
            <w:rFonts w:ascii="Cambria Math" w:hAnsi="Cambria Math"/>
          </w:rPr>
          <m:t>μ</m:t>
        </m:r>
      </m:oMath>
      <w:r>
        <w:rPr>
          <w:rFonts w:hint="eastAsia"/>
          <w:i/>
        </w:rPr>
        <w:t xml:space="preserve"> </w:t>
      </w:r>
      <w:r>
        <w:rPr>
          <w:i/>
        </w:rPr>
        <w:t xml:space="preserve">and volatility </w:t>
      </w:r>
      <m:oMath>
        <m:r>
          <w:rPr>
            <w:rFonts w:ascii="Cambria Math" w:hAnsi="Cambria Math"/>
          </w:rPr>
          <m:t>σ</m:t>
        </m:r>
      </m:oMath>
      <w:r>
        <w:rPr>
          <w:i/>
        </w:rPr>
        <w:t xml:space="preserve">, L is the default point with value equal to short-term liabilities plus half of long-term liabilities, and </w:t>
      </w:r>
      <m:oMath>
        <m:rad>
          <m:radPr>
            <m:degHide m:val="1"/>
            <m:ctrlPr>
              <w:rPr>
                <w:rFonts w:ascii="Cambria Math" w:hAnsi="Cambria Math"/>
                <w:i/>
              </w:rPr>
            </m:ctrlPr>
          </m:radPr>
          <m:deg/>
          <m:e>
            <m:r>
              <w:rPr>
                <w:rFonts w:ascii="Cambria Math" w:hAnsi="Cambria Math"/>
              </w:rPr>
              <m:t>T-t</m:t>
            </m:r>
          </m:e>
        </m:rad>
      </m:oMath>
      <w:r>
        <w:rPr>
          <w:rFonts w:hint="eastAsia"/>
          <w:i/>
        </w:rPr>
        <w:t xml:space="preserve"> </w:t>
      </w:r>
      <w:r>
        <w:rPr>
          <w:i/>
        </w:rPr>
        <w:t>is set to 1 year.</w:t>
      </w:r>
    </w:p>
    <w:p w:rsidR="00E16101" w:rsidRDefault="006137B7" w:rsidP="00E16101">
      <w:pPr>
        <w:pStyle w:val="a3"/>
        <w:ind w:left="780" w:firstLineChars="0" w:firstLine="0"/>
        <w:jc w:val="left"/>
      </w:pPr>
      <w:r>
        <w:t>However, to improve the traditional DTD measure, the CRI implements some special treatments on its own DTD calculation to overcome several drawbacks that have been identified in the literature.</w:t>
      </w:r>
    </w:p>
    <w:p w:rsidR="006137B7" w:rsidRDefault="006137B7" w:rsidP="00E16101">
      <w:pPr>
        <w:pStyle w:val="a3"/>
        <w:ind w:left="780" w:firstLineChars="0" w:firstLine="0"/>
        <w:jc w:val="left"/>
      </w:pPr>
      <w:r>
        <w:t>The key treatments are:</w:t>
      </w:r>
    </w:p>
    <w:p w:rsidR="006137B7" w:rsidRDefault="006137B7" w:rsidP="006137B7">
      <w:pPr>
        <w:pStyle w:val="a3"/>
        <w:numPr>
          <w:ilvl w:val="0"/>
          <w:numId w:val="2"/>
        </w:numPr>
        <w:ind w:firstLineChars="0"/>
        <w:jc w:val="left"/>
      </w:pPr>
      <w:r>
        <w:t xml:space="preserve">Follow </w:t>
      </w:r>
      <w:proofErr w:type="spellStart"/>
      <w:r>
        <w:t>Duan</w:t>
      </w:r>
      <w:proofErr w:type="spellEnd"/>
      <w:r>
        <w:t xml:space="preserve"> (2010) to add a fraction (</w:t>
      </w:r>
      <m:oMath>
        <m:r>
          <w:rPr>
            <w:rFonts w:ascii="Cambria Math" w:hAnsi="Cambria Math"/>
          </w:rPr>
          <m:t>δ</m:t>
        </m:r>
      </m:oMath>
      <w:r>
        <w:t>) of other liability to the KMV default point L</w:t>
      </w:r>
    </w:p>
    <w:p w:rsidR="006137B7" w:rsidRDefault="006137B7" w:rsidP="006137B7">
      <w:pPr>
        <w:pStyle w:val="a3"/>
        <w:numPr>
          <w:ilvl w:val="0"/>
          <w:numId w:val="2"/>
        </w:numPr>
        <w:ind w:firstLineChars="0"/>
        <w:jc w:val="left"/>
      </w:pPr>
      <w:r>
        <w:t xml:space="preserve">Set </w:t>
      </w:r>
      <m:oMath>
        <m:r>
          <w:rPr>
            <w:rFonts w:ascii="Cambria Math" w:hAnsi="Cambria Math"/>
          </w:rPr>
          <m:t>μ</m:t>
        </m:r>
      </m:oMath>
      <w:r>
        <w:rPr>
          <w:rFonts w:hint="eastAsia"/>
        </w:rPr>
        <w:t xml:space="preserve"> </w:t>
      </w:r>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to improve the stability of DTD estimation</w:t>
      </w:r>
    </w:p>
    <w:p w:rsidR="006137B7" w:rsidRDefault="006137B7" w:rsidP="006137B7">
      <w:pPr>
        <w:pStyle w:val="a3"/>
        <w:numPr>
          <w:ilvl w:val="0"/>
          <w:numId w:val="2"/>
        </w:numPr>
        <w:ind w:firstLineChars="0"/>
        <w:jc w:val="left"/>
      </w:pPr>
      <w:r>
        <w:t>Standardize the firm’s market value by its book value to handle the scale change due to any major investment and financing action</w:t>
      </w:r>
    </w:p>
    <w:p w:rsidR="006137B7" w:rsidRDefault="006137B7" w:rsidP="006137B7">
      <w:pPr>
        <w:pStyle w:val="a3"/>
        <w:ind w:left="780" w:firstLineChars="0" w:firstLine="0"/>
        <w:jc w:val="left"/>
      </w:pPr>
      <w:r>
        <w:t xml:space="preserve">The parameters required for DTD estimation are estimated by the maximum likelihood method described in </w:t>
      </w:r>
      <w:proofErr w:type="spellStart"/>
      <w:r>
        <w:t>Duan</w:t>
      </w:r>
      <w:proofErr w:type="spellEnd"/>
      <w:r>
        <w:t xml:space="preserve"> (1994, 2000)</w:t>
      </w:r>
    </w:p>
    <w:p w:rsidR="006137B7" w:rsidRDefault="006137B7" w:rsidP="006137B7">
      <w:pPr>
        <w:pStyle w:val="a3"/>
        <w:ind w:left="780" w:firstLineChars="0" w:firstLine="0"/>
        <w:jc w:val="left"/>
      </w:pPr>
      <w:r>
        <w:t xml:space="preserve">A brief expression of </w:t>
      </w:r>
      <w:proofErr w:type="spellStart"/>
      <w:r>
        <w:t>of</w:t>
      </w:r>
      <w:proofErr w:type="spellEnd"/>
      <w:r>
        <w:t xml:space="preserve"> the CRI’s version of DTD can be rewritten as:</w:t>
      </w:r>
    </w:p>
    <w:p w:rsidR="006137B7" w:rsidRDefault="006137B7" w:rsidP="006137B7">
      <w:pPr>
        <w:pStyle w:val="a3"/>
        <w:ind w:left="780" w:firstLineChars="0" w:firstLine="0"/>
        <w:jc w:val="center"/>
      </w:pPr>
      <w:r>
        <w:rPr>
          <w:rFonts w:hint="eastAsia"/>
        </w:rPr>
        <w:t>D</w:t>
      </w:r>
      <w:r>
        <w:t xml:space="preserve">TD =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L</m:t>
                    </m:r>
                  </m:den>
                </m:f>
              </m:e>
            </m:func>
          </m:num>
          <m:den>
            <m:r>
              <w:rPr>
                <w:rFonts w:ascii="Cambria Math" w:hAnsi="Cambria Math"/>
              </w:rPr>
              <m:t>σ</m:t>
            </m:r>
            <m:rad>
              <m:radPr>
                <m:degHide m:val="1"/>
                <m:ctrlPr>
                  <w:rPr>
                    <w:rFonts w:ascii="Cambria Math" w:hAnsi="Cambria Math"/>
                    <w:i/>
                  </w:rPr>
                </m:ctrlPr>
              </m:radPr>
              <m:deg/>
              <m:e>
                <m:r>
                  <w:rPr>
                    <w:rFonts w:ascii="Cambria Math" w:hAnsi="Cambria Math"/>
                  </w:rPr>
                  <m:t>T-t</m:t>
                </m:r>
              </m:e>
            </m:rad>
          </m:den>
        </m:f>
      </m:oMath>
    </w:p>
    <w:p w:rsidR="006137B7" w:rsidRDefault="006137B7" w:rsidP="006137B7">
      <w:pPr>
        <w:pStyle w:val="a3"/>
        <w:ind w:left="780" w:firstLineChars="0" w:firstLine="0"/>
        <w:jc w:val="left"/>
        <w:rPr>
          <w:i/>
        </w:rPr>
      </w:pPr>
      <w:r>
        <w:rPr>
          <w:i/>
        </w:rPr>
        <w:t>Where the default point is set to L = Current Liabilities+1/2 Long-term Liabilities +</w:t>
      </w:r>
      <w:r w:rsidR="00BA71A8">
        <w:rPr>
          <w:i/>
        </w:rPr>
        <w:t xml:space="preserve"> </w:t>
      </w:r>
      <m:oMath>
        <m:r>
          <w:rPr>
            <w:rFonts w:ascii="Cambria Math" w:hAnsi="Cambria Math"/>
          </w:rPr>
          <m:t>δ</m:t>
        </m:r>
      </m:oMath>
      <w:r w:rsidR="00BA71A8">
        <w:rPr>
          <w:rFonts w:hint="eastAsia"/>
          <w:i/>
        </w:rPr>
        <w:t xml:space="preserve"> </w:t>
      </w:r>
      <w:r w:rsidR="00BA71A8">
        <w:rPr>
          <w:i/>
        </w:rPr>
        <w:t xml:space="preserve">* Other Liabilities, and </w:t>
      </w:r>
      <m:oMath>
        <m:r>
          <w:rPr>
            <w:rFonts w:ascii="Cambria Math" w:hAnsi="Cambria Math"/>
          </w:rPr>
          <m:t>δ∈[0,1]</m:t>
        </m:r>
      </m:oMath>
      <w:r w:rsidR="00BA71A8">
        <w:rPr>
          <w:rFonts w:hint="eastAsia"/>
          <w:i/>
        </w:rPr>
        <w:t xml:space="preserve"> </w:t>
      </w:r>
      <w:r w:rsidR="00BA71A8">
        <w:rPr>
          <w:i/>
        </w:rPr>
        <w:t xml:space="preserve">is shared by firms in the same sector (financial vs. non-financial) in each calibration </w:t>
      </w:r>
      <w:proofErr w:type="spellStart"/>
      <w:r w:rsidR="00BA71A8">
        <w:rPr>
          <w:i/>
        </w:rPr>
        <w:t>froup</w:t>
      </w:r>
      <w:proofErr w:type="spellEnd"/>
      <w:r w:rsidR="00BA71A8">
        <w:rPr>
          <w:i/>
        </w:rPr>
        <w:t>.</w:t>
      </w:r>
    </w:p>
    <w:p w:rsidR="00BA71A8" w:rsidRDefault="00BA71A8" w:rsidP="006137B7">
      <w:pPr>
        <w:pStyle w:val="a3"/>
        <w:ind w:left="780" w:firstLineChars="0" w:firstLine="0"/>
        <w:jc w:val="left"/>
      </w:pPr>
    </w:p>
    <w:p w:rsidR="00BA71A8" w:rsidRDefault="00BA71A8" w:rsidP="00BA71A8">
      <w:pPr>
        <w:pStyle w:val="a3"/>
        <w:numPr>
          <w:ilvl w:val="0"/>
          <w:numId w:val="5"/>
        </w:numPr>
        <w:ind w:firstLineChars="0"/>
        <w:jc w:val="left"/>
      </w:pPr>
      <w:r>
        <w:rPr>
          <w:rFonts w:hint="eastAsia"/>
        </w:rPr>
        <w:t>C</w:t>
      </w:r>
      <w:r>
        <w:t>alibration</w:t>
      </w:r>
    </w:p>
    <w:p w:rsidR="00BA71A8" w:rsidRDefault="00BA71A8" w:rsidP="00BA71A8">
      <w:pPr>
        <w:ind w:left="780"/>
        <w:jc w:val="left"/>
      </w:pPr>
      <w:r>
        <w:t>Currently, the data for the CRI corporate default prediction system comes from various international data distributors. it is worth noting that there are few or no credit default events in certain economies due to limited number of listed firms in those counties, which means that calibrating models for individual economy would not be statistically meaningful. In view of this, public companies around the world are segregated into six calibration groups according to certain similarities in the stage of economic development and geographic locations of their primary exchanges. These calibration groups are North America, Europe, Asia-developed economies, Emerging Markets, China, and India.</w:t>
      </w:r>
    </w:p>
    <w:p w:rsidR="00BA71A8" w:rsidRPr="00BA71A8" w:rsidRDefault="00BA71A8" w:rsidP="00BA71A8">
      <w:pPr>
        <w:ind w:left="780"/>
        <w:jc w:val="left"/>
      </w:pPr>
      <w:r>
        <w:t xml:space="preserve">The CRI PD measures of companies within the same calibration group share the same set of parameters, (except for some covariates in some special circumstances). </w:t>
      </w:r>
      <w:r w:rsidR="00825680">
        <w:t xml:space="preserve">To overcome optimization difficulties caused by high dimensionality of the parameters (i.e. 16 covariates in general and 14 covariates in the case of China for 60 monthly prediction horizons), the CRI system employs the Nielson-Siegel term structure function and relies on sequential Monte Carlo for the model’s estimation. </w:t>
      </w:r>
    </w:p>
    <w:p w:rsidR="00BA71A8" w:rsidRDefault="00825680" w:rsidP="00825680">
      <w:pPr>
        <w:pStyle w:val="a3"/>
        <w:numPr>
          <w:ilvl w:val="0"/>
          <w:numId w:val="1"/>
        </w:numPr>
        <w:ind w:firstLineChars="0"/>
        <w:jc w:val="left"/>
      </w:pPr>
      <w:r>
        <w:rPr>
          <w:rFonts w:hint="eastAsia"/>
        </w:rPr>
        <w:t>Model</w:t>
      </w:r>
      <w:r>
        <w:t xml:space="preserve"> Performance</w:t>
      </w:r>
    </w:p>
    <w:p w:rsidR="00825680" w:rsidRDefault="00825680" w:rsidP="00825680">
      <w:pPr>
        <w:pStyle w:val="a3"/>
        <w:ind w:left="360" w:firstLineChars="0" w:firstLine="0"/>
        <w:jc w:val="left"/>
      </w:pPr>
      <w:r>
        <w:lastRenderedPageBreak/>
        <w:t>Th</w:t>
      </w:r>
      <w:r w:rsidR="00997F63">
        <w:t>e Accuracy Ratio (AR) is a popular quantitative measure for evaluating the discriminatory power of a default prediction system. It is the ratio of (a) the differential of the performance of the evaluated system and the random system over (b)the differential of the performance of the perfect system and the random system. A totally non-informative model will yield an AR of zero. The interpretation of AR is that if defaulted firms have been assigned among the highest credit risks before they defaulted, then the model has discriminated properly between the safe and risky firms. The CRI corporate default prediction model achieves high AR scores for all its covered regions and economies, including its good performance.</w:t>
      </w:r>
    </w:p>
    <w:p w:rsidR="00997F63" w:rsidRDefault="00997F63" w:rsidP="00825680">
      <w:pPr>
        <w:pStyle w:val="a3"/>
        <w:ind w:left="360" w:firstLineChars="0" w:firstLine="0"/>
        <w:jc w:val="left"/>
      </w:pPr>
      <w:r>
        <w:t>Figure 3 illustrates the AR of the CRI corporate default prediction model for North America, Europe, China for horizons from 1 month to 5 years.</w:t>
      </w:r>
    </w:p>
    <w:p w:rsidR="00997F63" w:rsidRDefault="00997F63" w:rsidP="00825680">
      <w:pPr>
        <w:pStyle w:val="a3"/>
        <w:ind w:left="360" w:firstLineChars="0" w:firstLine="0"/>
        <w:jc w:val="left"/>
      </w:pPr>
      <w:r>
        <w:rPr>
          <w:rFonts w:hint="eastAsia"/>
          <w:noProof/>
        </w:rPr>
        <w:drawing>
          <wp:inline distT="0" distB="0" distL="0" distR="0">
            <wp:extent cx="4416061" cy="2419789"/>
            <wp:effectExtent l="0" t="0" r="381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屏幕快照 2019-09-23 下午6.44.17.png"/>
                    <pic:cNvPicPr/>
                  </pic:nvPicPr>
                  <pic:blipFill>
                    <a:blip r:embed="rId13">
                      <a:extLst>
                        <a:ext uri="{28A0092B-C50C-407E-A947-70E740481C1C}">
                          <a14:useLocalDpi xmlns:a14="http://schemas.microsoft.com/office/drawing/2010/main" val="0"/>
                        </a:ext>
                      </a:extLst>
                    </a:blip>
                    <a:stretch>
                      <a:fillRect/>
                    </a:stretch>
                  </pic:blipFill>
                  <pic:spPr>
                    <a:xfrm>
                      <a:off x="0" y="0"/>
                      <a:ext cx="4434900" cy="2430112"/>
                    </a:xfrm>
                    <a:prstGeom prst="rect">
                      <a:avLst/>
                    </a:prstGeom>
                  </pic:spPr>
                </pic:pic>
              </a:graphicData>
            </a:graphic>
          </wp:inline>
        </w:drawing>
      </w:r>
    </w:p>
    <w:p w:rsidR="00997F63" w:rsidRDefault="00997F63" w:rsidP="00825680">
      <w:pPr>
        <w:pStyle w:val="a3"/>
        <w:ind w:left="360" w:firstLineChars="0" w:firstLine="0"/>
        <w:jc w:val="left"/>
      </w:pPr>
      <w:r>
        <w:t>A more straightforward alternative to AR for judging the performance of a default</w:t>
      </w:r>
      <w:r w:rsidR="00360E2C">
        <w:t xml:space="preserve"> prediction models comparing the actual number of realized defaults against the number of defaults predicted by the model. The following figure 4a to 4d present such comparison using the CRI PD model and realized defaults within one year in the US and China on a monthly frequency.</w:t>
      </w:r>
    </w:p>
    <w:p w:rsidR="00360E2C" w:rsidRDefault="00360E2C" w:rsidP="00825680">
      <w:pPr>
        <w:pStyle w:val="a3"/>
        <w:ind w:left="360" w:firstLineChars="0" w:firstLine="0"/>
        <w:jc w:val="left"/>
      </w:pPr>
      <w:r>
        <w:rPr>
          <w:rFonts w:hint="eastAsia"/>
          <w:noProof/>
        </w:rPr>
        <w:drawing>
          <wp:inline distT="0" distB="0" distL="0" distR="0">
            <wp:extent cx="5110875" cy="3372787"/>
            <wp:effectExtent l="0" t="0" r="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屏幕快照 2019-09-23 下午6.48.46.png"/>
                    <pic:cNvPicPr/>
                  </pic:nvPicPr>
                  <pic:blipFill>
                    <a:blip r:embed="rId14">
                      <a:extLst>
                        <a:ext uri="{28A0092B-C50C-407E-A947-70E740481C1C}">
                          <a14:useLocalDpi xmlns:a14="http://schemas.microsoft.com/office/drawing/2010/main" val="0"/>
                        </a:ext>
                      </a:extLst>
                    </a:blip>
                    <a:stretch>
                      <a:fillRect/>
                    </a:stretch>
                  </pic:blipFill>
                  <pic:spPr>
                    <a:xfrm>
                      <a:off x="0" y="0"/>
                      <a:ext cx="5162078" cy="3406577"/>
                    </a:xfrm>
                    <a:prstGeom prst="rect">
                      <a:avLst/>
                    </a:prstGeom>
                  </pic:spPr>
                </pic:pic>
              </a:graphicData>
            </a:graphic>
          </wp:inline>
        </w:drawing>
      </w:r>
    </w:p>
    <w:p w:rsidR="00360E2C" w:rsidRDefault="00360E2C" w:rsidP="00825680">
      <w:pPr>
        <w:pStyle w:val="a3"/>
        <w:ind w:left="360" w:firstLineChars="0" w:firstLine="0"/>
        <w:jc w:val="left"/>
      </w:pPr>
      <w:r>
        <w:lastRenderedPageBreak/>
        <w:t>For the North America calibration group, the CRI PD model introduces a dummy variable on the intercept for financial firms to account for differences that have not been reflected through the other covariates. A structural break in the financial-sector intercept dummy variable has also been introduced to address the dramatic changes after Lehman Brothers’ default in September 2008. Figure 4a through 4d show that the CRI PD model performs well in predicting default numbers and rates for US firms.</w:t>
      </w:r>
    </w:p>
    <w:p w:rsidR="00360E2C" w:rsidRDefault="00360E2C" w:rsidP="00825680">
      <w:pPr>
        <w:pStyle w:val="a3"/>
        <w:ind w:left="360" w:firstLineChars="0" w:firstLine="0"/>
        <w:jc w:val="left"/>
      </w:pPr>
      <w:r>
        <w:rPr>
          <w:rFonts w:hint="eastAsia"/>
          <w:noProof/>
        </w:rPr>
        <w:drawing>
          <wp:inline distT="0" distB="0" distL="0" distR="0">
            <wp:extent cx="5270500" cy="5431790"/>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屏幕快照 2019-09-23 下午6.54.43.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5431790"/>
                    </a:xfrm>
                    <a:prstGeom prst="rect">
                      <a:avLst/>
                    </a:prstGeom>
                  </pic:spPr>
                </pic:pic>
              </a:graphicData>
            </a:graphic>
          </wp:inline>
        </w:drawing>
      </w:r>
    </w:p>
    <w:p w:rsidR="00360E2C" w:rsidRDefault="00360E2C" w:rsidP="00825680">
      <w:pPr>
        <w:pStyle w:val="a3"/>
        <w:ind w:left="360" w:firstLineChars="0" w:firstLine="0"/>
        <w:jc w:val="left"/>
      </w:pPr>
      <w:r>
        <w:t xml:space="preserve">For China, </w:t>
      </w:r>
      <w:r w:rsidR="002315F9">
        <w:t>the CRI PD model also accounts for a structural break, occurring in December 2004, to reflect the significant drop in default rates after that point. By simply changing the behavior of two parameters (i.e., coefficients for the intercept and DTD level) after December 2004, the performance of the CRI PD model for Chinese firms has significantly improved.</w:t>
      </w:r>
    </w:p>
    <w:p w:rsidR="002315F9" w:rsidRDefault="002315F9" w:rsidP="002315F9">
      <w:pPr>
        <w:pStyle w:val="a3"/>
        <w:numPr>
          <w:ilvl w:val="0"/>
          <w:numId w:val="1"/>
        </w:numPr>
        <w:ind w:firstLineChars="0"/>
        <w:jc w:val="left"/>
      </w:pPr>
      <w:r>
        <w:rPr>
          <w:rFonts w:hint="eastAsia"/>
        </w:rPr>
        <w:t>App</w:t>
      </w:r>
      <w:r>
        <w:t>lications</w:t>
      </w:r>
    </w:p>
    <w:p w:rsidR="002315F9" w:rsidRDefault="002315F9" w:rsidP="002315F9">
      <w:pPr>
        <w:pStyle w:val="a3"/>
        <w:numPr>
          <w:ilvl w:val="0"/>
          <w:numId w:val="5"/>
        </w:numPr>
        <w:ind w:firstLineChars="0"/>
        <w:jc w:val="left"/>
      </w:pPr>
      <w:r>
        <w:t>Predicting Default of a Firm</w:t>
      </w:r>
    </w:p>
    <w:p w:rsidR="002315F9" w:rsidRDefault="002315F9" w:rsidP="002315F9">
      <w:pPr>
        <w:pStyle w:val="a3"/>
        <w:numPr>
          <w:ilvl w:val="0"/>
          <w:numId w:val="5"/>
        </w:numPr>
        <w:ind w:firstLineChars="0"/>
        <w:jc w:val="left"/>
      </w:pPr>
      <w:r>
        <w:t>Assessing the Aggregate Credit Risk of a Portfolio</w:t>
      </w:r>
    </w:p>
    <w:p w:rsidR="002315F9" w:rsidRDefault="004531B4" w:rsidP="002315F9">
      <w:pPr>
        <w:pStyle w:val="a3"/>
        <w:ind w:left="1200" w:firstLineChars="0" w:firstLine="0"/>
        <w:jc w:val="left"/>
      </w:pPr>
      <w:r>
        <w:t xml:space="preserve">Because the CRI computes PD on an individual firm-level basis, the CRI PD of all </w:t>
      </w:r>
      <w:r w:rsidR="00163663">
        <w:t>firms within a specific region and/or sector can easily be aggregated to deliver an overview of the credit environment of that portfolio at a certain point in time.</w:t>
      </w:r>
    </w:p>
    <w:p w:rsidR="00163663" w:rsidRDefault="00163663" w:rsidP="002315F9">
      <w:pPr>
        <w:pStyle w:val="a3"/>
        <w:ind w:left="1200" w:firstLineChars="0" w:firstLine="0"/>
        <w:jc w:val="left"/>
      </w:pPr>
      <w:r>
        <w:lastRenderedPageBreak/>
        <w:t xml:space="preserve">The aggregate CRI PD well reflects the known financial crisis through rises in PDs in time of crisis. For instance, the 1997 Asian financial crisis particularly affected the credit environment of the ASEAN 5 countries, whereas the internet bubble in 2000-2001 caused wide spread defaults among US firms and financial crisis of 2008-09 severely impacted the US banking sector first before spreading to the rest of the world including the ASEAN 5 </w:t>
      </w:r>
      <w:r w:rsidR="005D21CC">
        <w:t>countries</w:t>
      </w:r>
      <w:r>
        <w:t>.</w:t>
      </w:r>
    </w:p>
    <w:p w:rsidR="00163663" w:rsidRDefault="00163663" w:rsidP="00163663">
      <w:pPr>
        <w:pStyle w:val="a3"/>
        <w:numPr>
          <w:ilvl w:val="0"/>
          <w:numId w:val="5"/>
        </w:numPr>
        <w:ind w:firstLineChars="0"/>
        <w:jc w:val="left"/>
      </w:pPr>
      <w:r>
        <w:rPr>
          <w:rFonts w:hint="eastAsia"/>
        </w:rPr>
        <w:t>O</w:t>
      </w:r>
      <w:r>
        <w:t>ther Examples of Application</w:t>
      </w:r>
    </w:p>
    <w:p w:rsidR="00163663" w:rsidRDefault="00163663" w:rsidP="00163663">
      <w:pPr>
        <w:pStyle w:val="a3"/>
        <w:ind w:left="1200" w:firstLineChars="0" w:firstLine="0"/>
        <w:jc w:val="left"/>
      </w:pPr>
      <w:r>
        <w:t>Aside from assessing the credit risk of a single corporate, and aggregate credit risk of a group or portfolio, CRI PD can be used for a variety of credit management related applications; from benchmarking, to fixed income investment, and credit portfolio management, from model validation to credit research reports.</w:t>
      </w:r>
    </w:p>
    <w:p w:rsidR="002315F9" w:rsidRDefault="005D21CC" w:rsidP="005D21CC">
      <w:pPr>
        <w:pStyle w:val="a3"/>
        <w:numPr>
          <w:ilvl w:val="0"/>
          <w:numId w:val="1"/>
        </w:numPr>
        <w:ind w:firstLineChars="0"/>
        <w:jc w:val="left"/>
      </w:pPr>
      <w:r>
        <w:t>Conclusion</w:t>
      </w:r>
    </w:p>
    <w:p w:rsidR="005D21CC" w:rsidRDefault="005D21CC" w:rsidP="005D21CC">
      <w:pPr>
        <w:pStyle w:val="a3"/>
        <w:ind w:left="360" w:firstLineChars="0" w:firstLine="0"/>
        <w:jc w:val="left"/>
      </w:pPr>
      <w:r>
        <w:t>The CRI PD estimates the default risk of publicly listed firms by quantitatively analyzing their financial statements, stock market data and macro-financial factors retrieved from various international data sources. Unlike credit models that utilize letter-grade ratings, the CRI PD is a more granular gauge for credit risk and is available in term structure ranging from 1 month to 5 years. The CRI PD also captures default correlations and can be further aggregated to reflect credit cycles, among others.</w:t>
      </w:r>
    </w:p>
    <w:p w:rsidR="005D21CC" w:rsidRPr="00997F63" w:rsidRDefault="005D21CC" w:rsidP="005D21CC">
      <w:pPr>
        <w:pStyle w:val="a3"/>
        <w:ind w:left="360" w:firstLineChars="0" w:firstLine="0"/>
        <w:jc w:val="left"/>
      </w:pPr>
      <w:r>
        <w:t>The CRI currently provides daily updated PD of over 34,000 active exchange-listed firms globally. The CRI also distributes historical time series of PD of over 33,000 inactive firms due to bankruptcy, corporate consolidation or delisting for other reasons.</w:t>
      </w:r>
    </w:p>
    <w:sectPr w:rsidR="005D21CC" w:rsidRPr="00997F63" w:rsidSect="00451DD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E58" w:rsidRDefault="00B75E58" w:rsidP="00337CBD">
      <w:r>
        <w:separator/>
      </w:r>
    </w:p>
  </w:endnote>
  <w:endnote w:type="continuationSeparator" w:id="0">
    <w:p w:rsidR="00B75E58" w:rsidRDefault="00B75E58" w:rsidP="00337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E58" w:rsidRDefault="00B75E58" w:rsidP="00337CBD">
      <w:r>
        <w:separator/>
      </w:r>
    </w:p>
  </w:footnote>
  <w:footnote w:type="continuationSeparator" w:id="0">
    <w:p w:rsidR="00B75E58" w:rsidRDefault="00B75E58" w:rsidP="00337C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967E3"/>
    <w:multiLevelType w:val="hybridMultilevel"/>
    <w:tmpl w:val="440020A0"/>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AF97BCB"/>
    <w:multiLevelType w:val="hybridMultilevel"/>
    <w:tmpl w:val="D69EFA78"/>
    <w:lvl w:ilvl="0" w:tplc="33D4A920">
      <w:start w:val="1"/>
      <w:numFmt w:val="bullet"/>
      <w:lvlText w:val=""/>
      <w:lvlJc w:val="left"/>
      <w:pPr>
        <w:ind w:left="780" w:hanging="420"/>
      </w:pPr>
      <w:rPr>
        <w:rFonts w:ascii="Symbol" w:hAnsi="Symbol" w:hint="default"/>
        <w:color w:val="44546A" w:themeColor="text2"/>
        <w:sz w:val="2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57726B11"/>
    <w:multiLevelType w:val="hybridMultilevel"/>
    <w:tmpl w:val="5B38F4D0"/>
    <w:lvl w:ilvl="0" w:tplc="0D8AB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D85377"/>
    <w:multiLevelType w:val="hybridMultilevel"/>
    <w:tmpl w:val="81BC91C0"/>
    <w:lvl w:ilvl="0" w:tplc="33D4A920">
      <w:start w:val="1"/>
      <w:numFmt w:val="bullet"/>
      <w:lvlText w:val=""/>
      <w:lvlJc w:val="left"/>
      <w:pPr>
        <w:ind w:left="1200" w:hanging="420"/>
      </w:pPr>
      <w:rPr>
        <w:rFonts w:ascii="Symbol" w:hAnsi="Symbol" w:hint="default"/>
        <w:color w:val="44546A" w:themeColor="text2"/>
        <w:sz w:val="20"/>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15:restartNumberingAfterBreak="0">
    <w:nsid w:val="6A3A10A2"/>
    <w:multiLevelType w:val="hybridMultilevel"/>
    <w:tmpl w:val="5574A74A"/>
    <w:lvl w:ilvl="0" w:tplc="33D4A920">
      <w:start w:val="1"/>
      <w:numFmt w:val="bullet"/>
      <w:lvlText w:val=""/>
      <w:lvlJc w:val="left"/>
      <w:pPr>
        <w:ind w:left="1200" w:hanging="420"/>
      </w:pPr>
      <w:rPr>
        <w:rFonts w:ascii="Symbol" w:hAnsi="Symbol" w:hint="default"/>
        <w:color w:val="44546A" w:themeColor="text2"/>
        <w:sz w:val="20"/>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BAB"/>
    <w:rsid w:val="000C1118"/>
    <w:rsid w:val="00163663"/>
    <w:rsid w:val="00203D0A"/>
    <w:rsid w:val="002315F9"/>
    <w:rsid w:val="00337CBD"/>
    <w:rsid w:val="00360E2C"/>
    <w:rsid w:val="0038193D"/>
    <w:rsid w:val="003E27F5"/>
    <w:rsid w:val="0044055F"/>
    <w:rsid w:val="00451DD5"/>
    <w:rsid w:val="004531B4"/>
    <w:rsid w:val="00464EED"/>
    <w:rsid w:val="004F4054"/>
    <w:rsid w:val="00584487"/>
    <w:rsid w:val="005A2425"/>
    <w:rsid w:val="005D21CC"/>
    <w:rsid w:val="006137B7"/>
    <w:rsid w:val="00825680"/>
    <w:rsid w:val="00827D2E"/>
    <w:rsid w:val="00893CA8"/>
    <w:rsid w:val="00997F63"/>
    <w:rsid w:val="00A61BAB"/>
    <w:rsid w:val="00B75E58"/>
    <w:rsid w:val="00BA71A8"/>
    <w:rsid w:val="00CF50B6"/>
    <w:rsid w:val="00D4526B"/>
    <w:rsid w:val="00D739C1"/>
    <w:rsid w:val="00E16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D2188-E0C0-284D-B121-BE3482AE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BAB"/>
    <w:pPr>
      <w:ind w:firstLineChars="200" w:firstLine="420"/>
    </w:pPr>
  </w:style>
  <w:style w:type="character" w:styleId="a4">
    <w:name w:val="Hyperlink"/>
    <w:basedOn w:val="a0"/>
    <w:uiPriority w:val="99"/>
    <w:unhideWhenUsed/>
    <w:rsid w:val="00464EED"/>
    <w:rPr>
      <w:color w:val="0563C1" w:themeColor="hyperlink"/>
      <w:u w:val="single"/>
    </w:rPr>
  </w:style>
  <w:style w:type="character" w:styleId="a5">
    <w:name w:val="Unresolved Mention"/>
    <w:basedOn w:val="a0"/>
    <w:uiPriority w:val="99"/>
    <w:semiHidden/>
    <w:unhideWhenUsed/>
    <w:rsid w:val="00464EED"/>
    <w:rPr>
      <w:color w:val="605E5C"/>
      <w:shd w:val="clear" w:color="auto" w:fill="E1DFDD"/>
    </w:rPr>
  </w:style>
  <w:style w:type="paragraph" w:styleId="a6">
    <w:name w:val="header"/>
    <w:basedOn w:val="a"/>
    <w:link w:val="a7"/>
    <w:uiPriority w:val="99"/>
    <w:unhideWhenUsed/>
    <w:rsid w:val="00337C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37CBD"/>
    <w:rPr>
      <w:sz w:val="18"/>
      <w:szCs w:val="18"/>
    </w:rPr>
  </w:style>
  <w:style w:type="paragraph" w:styleId="a8">
    <w:name w:val="footer"/>
    <w:basedOn w:val="a"/>
    <w:link w:val="a9"/>
    <w:uiPriority w:val="99"/>
    <w:unhideWhenUsed/>
    <w:rsid w:val="00337CBD"/>
    <w:pPr>
      <w:tabs>
        <w:tab w:val="center" w:pos="4153"/>
        <w:tab w:val="right" w:pos="8306"/>
      </w:tabs>
      <w:snapToGrid w:val="0"/>
      <w:jc w:val="left"/>
    </w:pPr>
    <w:rPr>
      <w:sz w:val="18"/>
      <w:szCs w:val="18"/>
    </w:rPr>
  </w:style>
  <w:style w:type="character" w:customStyle="1" w:styleId="a9">
    <w:name w:val="页脚 字符"/>
    <w:basedOn w:val="a0"/>
    <w:link w:val="a8"/>
    <w:uiPriority w:val="99"/>
    <w:rsid w:val="00337CBD"/>
    <w:rPr>
      <w:sz w:val="18"/>
      <w:szCs w:val="18"/>
    </w:rPr>
  </w:style>
  <w:style w:type="paragraph" w:styleId="aa">
    <w:name w:val="Normal (Web)"/>
    <w:basedOn w:val="a"/>
    <w:uiPriority w:val="99"/>
    <w:semiHidden/>
    <w:unhideWhenUsed/>
    <w:rsid w:val="004F4054"/>
    <w:pPr>
      <w:widowControl/>
      <w:spacing w:before="100" w:beforeAutospacing="1" w:after="100" w:afterAutospacing="1"/>
      <w:jc w:val="left"/>
    </w:pPr>
    <w:rPr>
      <w:rFonts w:ascii="Times New Roman" w:eastAsia="Times New Roman" w:hAnsi="Times New Roman" w:cs="Times New Roman"/>
      <w:kern w:val="0"/>
      <w:sz w:val="24"/>
    </w:rPr>
  </w:style>
  <w:style w:type="character" w:styleId="ab">
    <w:name w:val="Placeholder Text"/>
    <w:basedOn w:val="a0"/>
    <w:uiPriority w:val="99"/>
    <w:semiHidden/>
    <w:rsid w:val="00E16101"/>
    <w:rPr>
      <w:color w:val="808080"/>
    </w:rPr>
  </w:style>
  <w:style w:type="character" w:styleId="ac">
    <w:name w:val="FollowedHyperlink"/>
    <w:basedOn w:val="a0"/>
    <w:uiPriority w:val="99"/>
    <w:semiHidden/>
    <w:unhideWhenUsed/>
    <w:rsid w:val="003E27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21255">
      <w:bodyDiv w:val="1"/>
      <w:marLeft w:val="0"/>
      <w:marRight w:val="0"/>
      <w:marTop w:val="0"/>
      <w:marBottom w:val="0"/>
      <w:divBdr>
        <w:top w:val="none" w:sz="0" w:space="0" w:color="auto"/>
        <w:left w:val="none" w:sz="0" w:space="0" w:color="auto"/>
        <w:bottom w:val="none" w:sz="0" w:space="0" w:color="auto"/>
        <w:right w:val="none" w:sz="0" w:space="0" w:color="auto"/>
      </w:divBdr>
      <w:divsChild>
        <w:div w:id="1545219529">
          <w:marLeft w:val="0"/>
          <w:marRight w:val="0"/>
          <w:marTop w:val="0"/>
          <w:marBottom w:val="0"/>
          <w:divBdr>
            <w:top w:val="none" w:sz="0" w:space="0" w:color="auto"/>
            <w:left w:val="none" w:sz="0" w:space="0" w:color="auto"/>
            <w:bottom w:val="none" w:sz="0" w:space="0" w:color="auto"/>
            <w:right w:val="none" w:sz="0" w:space="0" w:color="auto"/>
          </w:divBdr>
          <w:divsChild>
            <w:div w:id="398734">
              <w:marLeft w:val="0"/>
              <w:marRight w:val="0"/>
              <w:marTop w:val="0"/>
              <w:marBottom w:val="0"/>
              <w:divBdr>
                <w:top w:val="none" w:sz="0" w:space="0" w:color="auto"/>
                <w:left w:val="none" w:sz="0" w:space="0" w:color="auto"/>
                <w:bottom w:val="none" w:sz="0" w:space="0" w:color="auto"/>
                <w:right w:val="none" w:sz="0" w:space="0" w:color="auto"/>
              </w:divBdr>
              <w:divsChild>
                <w:div w:id="1687904449">
                  <w:marLeft w:val="0"/>
                  <w:marRight w:val="0"/>
                  <w:marTop w:val="0"/>
                  <w:marBottom w:val="0"/>
                  <w:divBdr>
                    <w:top w:val="none" w:sz="0" w:space="0" w:color="auto"/>
                    <w:left w:val="none" w:sz="0" w:space="0" w:color="auto"/>
                    <w:bottom w:val="none" w:sz="0" w:space="0" w:color="auto"/>
                    <w:right w:val="none" w:sz="0" w:space="0" w:color="auto"/>
                  </w:divBdr>
                </w:div>
              </w:divsChild>
            </w:div>
            <w:div w:id="76098373">
              <w:marLeft w:val="0"/>
              <w:marRight w:val="0"/>
              <w:marTop w:val="0"/>
              <w:marBottom w:val="0"/>
              <w:divBdr>
                <w:top w:val="none" w:sz="0" w:space="0" w:color="auto"/>
                <w:left w:val="none" w:sz="0" w:space="0" w:color="auto"/>
                <w:bottom w:val="none" w:sz="0" w:space="0" w:color="auto"/>
                <w:right w:val="none" w:sz="0" w:space="0" w:color="auto"/>
              </w:divBdr>
              <w:divsChild>
                <w:div w:id="1651322183">
                  <w:marLeft w:val="0"/>
                  <w:marRight w:val="0"/>
                  <w:marTop w:val="0"/>
                  <w:marBottom w:val="0"/>
                  <w:divBdr>
                    <w:top w:val="none" w:sz="0" w:space="0" w:color="auto"/>
                    <w:left w:val="none" w:sz="0" w:space="0" w:color="auto"/>
                    <w:bottom w:val="none" w:sz="0" w:space="0" w:color="auto"/>
                    <w:right w:val="none" w:sz="0" w:space="0" w:color="auto"/>
                  </w:divBdr>
                </w:div>
              </w:divsChild>
            </w:div>
            <w:div w:id="76445309">
              <w:marLeft w:val="0"/>
              <w:marRight w:val="0"/>
              <w:marTop w:val="0"/>
              <w:marBottom w:val="0"/>
              <w:divBdr>
                <w:top w:val="none" w:sz="0" w:space="0" w:color="auto"/>
                <w:left w:val="none" w:sz="0" w:space="0" w:color="auto"/>
                <w:bottom w:val="none" w:sz="0" w:space="0" w:color="auto"/>
                <w:right w:val="none" w:sz="0" w:space="0" w:color="auto"/>
              </w:divBdr>
              <w:divsChild>
                <w:div w:id="428699419">
                  <w:marLeft w:val="0"/>
                  <w:marRight w:val="0"/>
                  <w:marTop w:val="0"/>
                  <w:marBottom w:val="0"/>
                  <w:divBdr>
                    <w:top w:val="none" w:sz="0" w:space="0" w:color="auto"/>
                    <w:left w:val="none" w:sz="0" w:space="0" w:color="auto"/>
                    <w:bottom w:val="none" w:sz="0" w:space="0" w:color="auto"/>
                    <w:right w:val="none" w:sz="0" w:space="0" w:color="auto"/>
                  </w:divBdr>
                </w:div>
              </w:divsChild>
            </w:div>
            <w:div w:id="96827833">
              <w:marLeft w:val="0"/>
              <w:marRight w:val="0"/>
              <w:marTop w:val="0"/>
              <w:marBottom w:val="0"/>
              <w:divBdr>
                <w:top w:val="none" w:sz="0" w:space="0" w:color="auto"/>
                <w:left w:val="none" w:sz="0" w:space="0" w:color="auto"/>
                <w:bottom w:val="none" w:sz="0" w:space="0" w:color="auto"/>
                <w:right w:val="none" w:sz="0" w:space="0" w:color="auto"/>
              </w:divBdr>
              <w:divsChild>
                <w:div w:id="950286934">
                  <w:marLeft w:val="0"/>
                  <w:marRight w:val="0"/>
                  <w:marTop w:val="0"/>
                  <w:marBottom w:val="0"/>
                  <w:divBdr>
                    <w:top w:val="none" w:sz="0" w:space="0" w:color="auto"/>
                    <w:left w:val="none" w:sz="0" w:space="0" w:color="auto"/>
                    <w:bottom w:val="none" w:sz="0" w:space="0" w:color="auto"/>
                    <w:right w:val="none" w:sz="0" w:space="0" w:color="auto"/>
                  </w:divBdr>
                </w:div>
              </w:divsChild>
            </w:div>
            <w:div w:id="124591118">
              <w:marLeft w:val="0"/>
              <w:marRight w:val="0"/>
              <w:marTop w:val="0"/>
              <w:marBottom w:val="0"/>
              <w:divBdr>
                <w:top w:val="none" w:sz="0" w:space="0" w:color="auto"/>
                <w:left w:val="none" w:sz="0" w:space="0" w:color="auto"/>
                <w:bottom w:val="none" w:sz="0" w:space="0" w:color="auto"/>
                <w:right w:val="none" w:sz="0" w:space="0" w:color="auto"/>
              </w:divBdr>
              <w:divsChild>
                <w:div w:id="1290239228">
                  <w:marLeft w:val="0"/>
                  <w:marRight w:val="0"/>
                  <w:marTop w:val="0"/>
                  <w:marBottom w:val="0"/>
                  <w:divBdr>
                    <w:top w:val="none" w:sz="0" w:space="0" w:color="auto"/>
                    <w:left w:val="none" w:sz="0" w:space="0" w:color="auto"/>
                    <w:bottom w:val="none" w:sz="0" w:space="0" w:color="auto"/>
                    <w:right w:val="none" w:sz="0" w:space="0" w:color="auto"/>
                  </w:divBdr>
                </w:div>
              </w:divsChild>
            </w:div>
            <w:div w:id="220561164">
              <w:marLeft w:val="0"/>
              <w:marRight w:val="0"/>
              <w:marTop w:val="0"/>
              <w:marBottom w:val="0"/>
              <w:divBdr>
                <w:top w:val="none" w:sz="0" w:space="0" w:color="auto"/>
                <w:left w:val="none" w:sz="0" w:space="0" w:color="auto"/>
                <w:bottom w:val="none" w:sz="0" w:space="0" w:color="auto"/>
                <w:right w:val="none" w:sz="0" w:space="0" w:color="auto"/>
              </w:divBdr>
              <w:divsChild>
                <w:div w:id="1144590464">
                  <w:marLeft w:val="0"/>
                  <w:marRight w:val="0"/>
                  <w:marTop w:val="0"/>
                  <w:marBottom w:val="0"/>
                  <w:divBdr>
                    <w:top w:val="none" w:sz="0" w:space="0" w:color="auto"/>
                    <w:left w:val="none" w:sz="0" w:space="0" w:color="auto"/>
                    <w:bottom w:val="none" w:sz="0" w:space="0" w:color="auto"/>
                    <w:right w:val="none" w:sz="0" w:space="0" w:color="auto"/>
                  </w:divBdr>
                </w:div>
              </w:divsChild>
            </w:div>
            <w:div w:id="266081354">
              <w:marLeft w:val="0"/>
              <w:marRight w:val="0"/>
              <w:marTop w:val="0"/>
              <w:marBottom w:val="0"/>
              <w:divBdr>
                <w:top w:val="none" w:sz="0" w:space="0" w:color="auto"/>
                <w:left w:val="none" w:sz="0" w:space="0" w:color="auto"/>
                <w:bottom w:val="none" w:sz="0" w:space="0" w:color="auto"/>
                <w:right w:val="none" w:sz="0" w:space="0" w:color="auto"/>
              </w:divBdr>
              <w:divsChild>
                <w:div w:id="38016732">
                  <w:marLeft w:val="0"/>
                  <w:marRight w:val="0"/>
                  <w:marTop w:val="0"/>
                  <w:marBottom w:val="0"/>
                  <w:divBdr>
                    <w:top w:val="none" w:sz="0" w:space="0" w:color="auto"/>
                    <w:left w:val="none" w:sz="0" w:space="0" w:color="auto"/>
                    <w:bottom w:val="none" w:sz="0" w:space="0" w:color="auto"/>
                    <w:right w:val="none" w:sz="0" w:space="0" w:color="auto"/>
                  </w:divBdr>
                </w:div>
              </w:divsChild>
            </w:div>
            <w:div w:id="313409814">
              <w:marLeft w:val="0"/>
              <w:marRight w:val="0"/>
              <w:marTop w:val="0"/>
              <w:marBottom w:val="0"/>
              <w:divBdr>
                <w:top w:val="none" w:sz="0" w:space="0" w:color="auto"/>
                <w:left w:val="none" w:sz="0" w:space="0" w:color="auto"/>
                <w:bottom w:val="none" w:sz="0" w:space="0" w:color="auto"/>
                <w:right w:val="none" w:sz="0" w:space="0" w:color="auto"/>
              </w:divBdr>
              <w:divsChild>
                <w:div w:id="1948586312">
                  <w:marLeft w:val="0"/>
                  <w:marRight w:val="0"/>
                  <w:marTop w:val="0"/>
                  <w:marBottom w:val="0"/>
                  <w:divBdr>
                    <w:top w:val="none" w:sz="0" w:space="0" w:color="auto"/>
                    <w:left w:val="none" w:sz="0" w:space="0" w:color="auto"/>
                    <w:bottom w:val="none" w:sz="0" w:space="0" w:color="auto"/>
                    <w:right w:val="none" w:sz="0" w:space="0" w:color="auto"/>
                  </w:divBdr>
                </w:div>
              </w:divsChild>
            </w:div>
            <w:div w:id="505511551">
              <w:marLeft w:val="0"/>
              <w:marRight w:val="0"/>
              <w:marTop w:val="0"/>
              <w:marBottom w:val="0"/>
              <w:divBdr>
                <w:top w:val="none" w:sz="0" w:space="0" w:color="auto"/>
                <w:left w:val="none" w:sz="0" w:space="0" w:color="auto"/>
                <w:bottom w:val="none" w:sz="0" w:space="0" w:color="auto"/>
                <w:right w:val="none" w:sz="0" w:space="0" w:color="auto"/>
              </w:divBdr>
              <w:divsChild>
                <w:div w:id="1750350739">
                  <w:marLeft w:val="0"/>
                  <w:marRight w:val="0"/>
                  <w:marTop w:val="0"/>
                  <w:marBottom w:val="0"/>
                  <w:divBdr>
                    <w:top w:val="none" w:sz="0" w:space="0" w:color="auto"/>
                    <w:left w:val="none" w:sz="0" w:space="0" w:color="auto"/>
                    <w:bottom w:val="none" w:sz="0" w:space="0" w:color="auto"/>
                    <w:right w:val="none" w:sz="0" w:space="0" w:color="auto"/>
                  </w:divBdr>
                </w:div>
              </w:divsChild>
            </w:div>
            <w:div w:id="655232185">
              <w:marLeft w:val="0"/>
              <w:marRight w:val="0"/>
              <w:marTop w:val="0"/>
              <w:marBottom w:val="0"/>
              <w:divBdr>
                <w:top w:val="none" w:sz="0" w:space="0" w:color="auto"/>
                <w:left w:val="none" w:sz="0" w:space="0" w:color="auto"/>
                <w:bottom w:val="none" w:sz="0" w:space="0" w:color="auto"/>
                <w:right w:val="none" w:sz="0" w:space="0" w:color="auto"/>
              </w:divBdr>
              <w:divsChild>
                <w:div w:id="1343046375">
                  <w:marLeft w:val="0"/>
                  <w:marRight w:val="0"/>
                  <w:marTop w:val="0"/>
                  <w:marBottom w:val="0"/>
                  <w:divBdr>
                    <w:top w:val="none" w:sz="0" w:space="0" w:color="auto"/>
                    <w:left w:val="none" w:sz="0" w:space="0" w:color="auto"/>
                    <w:bottom w:val="none" w:sz="0" w:space="0" w:color="auto"/>
                    <w:right w:val="none" w:sz="0" w:space="0" w:color="auto"/>
                  </w:divBdr>
                </w:div>
              </w:divsChild>
            </w:div>
            <w:div w:id="899443923">
              <w:marLeft w:val="0"/>
              <w:marRight w:val="0"/>
              <w:marTop w:val="0"/>
              <w:marBottom w:val="0"/>
              <w:divBdr>
                <w:top w:val="none" w:sz="0" w:space="0" w:color="auto"/>
                <w:left w:val="none" w:sz="0" w:space="0" w:color="auto"/>
                <w:bottom w:val="none" w:sz="0" w:space="0" w:color="auto"/>
                <w:right w:val="none" w:sz="0" w:space="0" w:color="auto"/>
              </w:divBdr>
              <w:divsChild>
                <w:div w:id="1963995738">
                  <w:marLeft w:val="0"/>
                  <w:marRight w:val="0"/>
                  <w:marTop w:val="0"/>
                  <w:marBottom w:val="0"/>
                  <w:divBdr>
                    <w:top w:val="none" w:sz="0" w:space="0" w:color="auto"/>
                    <w:left w:val="none" w:sz="0" w:space="0" w:color="auto"/>
                    <w:bottom w:val="none" w:sz="0" w:space="0" w:color="auto"/>
                    <w:right w:val="none" w:sz="0" w:space="0" w:color="auto"/>
                  </w:divBdr>
                </w:div>
              </w:divsChild>
            </w:div>
            <w:div w:id="901524103">
              <w:marLeft w:val="0"/>
              <w:marRight w:val="0"/>
              <w:marTop w:val="0"/>
              <w:marBottom w:val="0"/>
              <w:divBdr>
                <w:top w:val="none" w:sz="0" w:space="0" w:color="auto"/>
                <w:left w:val="none" w:sz="0" w:space="0" w:color="auto"/>
                <w:bottom w:val="none" w:sz="0" w:space="0" w:color="auto"/>
                <w:right w:val="none" w:sz="0" w:space="0" w:color="auto"/>
              </w:divBdr>
              <w:divsChild>
                <w:div w:id="230971099">
                  <w:marLeft w:val="0"/>
                  <w:marRight w:val="0"/>
                  <w:marTop w:val="0"/>
                  <w:marBottom w:val="0"/>
                  <w:divBdr>
                    <w:top w:val="none" w:sz="0" w:space="0" w:color="auto"/>
                    <w:left w:val="none" w:sz="0" w:space="0" w:color="auto"/>
                    <w:bottom w:val="none" w:sz="0" w:space="0" w:color="auto"/>
                    <w:right w:val="none" w:sz="0" w:space="0" w:color="auto"/>
                  </w:divBdr>
                </w:div>
              </w:divsChild>
            </w:div>
            <w:div w:id="912668287">
              <w:marLeft w:val="0"/>
              <w:marRight w:val="0"/>
              <w:marTop w:val="0"/>
              <w:marBottom w:val="0"/>
              <w:divBdr>
                <w:top w:val="none" w:sz="0" w:space="0" w:color="auto"/>
                <w:left w:val="none" w:sz="0" w:space="0" w:color="auto"/>
                <w:bottom w:val="none" w:sz="0" w:space="0" w:color="auto"/>
                <w:right w:val="none" w:sz="0" w:space="0" w:color="auto"/>
              </w:divBdr>
              <w:divsChild>
                <w:div w:id="1065646016">
                  <w:marLeft w:val="0"/>
                  <w:marRight w:val="0"/>
                  <w:marTop w:val="0"/>
                  <w:marBottom w:val="0"/>
                  <w:divBdr>
                    <w:top w:val="none" w:sz="0" w:space="0" w:color="auto"/>
                    <w:left w:val="none" w:sz="0" w:space="0" w:color="auto"/>
                    <w:bottom w:val="none" w:sz="0" w:space="0" w:color="auto"/>
                    <w:right w:val="none" w:sz="0" w:space="0" w:color="auto"/>
                  </w:divBdr>
                </w:div>
              </w:divsChild>
            </w:div>
            <w:div w:id="951782259">
              <w:marLeft w:val="0"/>
              <w:marRight w:val="0"/>
              <w:marTop w:val="0"/>
              <w:marBottom w:val="0"/>
              <w:divBdr>
                <w:top w:val="none" w:sz="0" w:space="0" w:color="auto"/>
                <w:left w:val="none" w:sz="0" w:space="0" w:color="auto"/>
                <w:bottom w:val="none" w:sz="0" w:space="0" w:color="auto"/>
                <w:right w:val="none" w:sz="0" w:space="0" w:color="auto"/>
              </w:divBdr>
              <w:divsChild>
                <w:div w:id="2017807223">
                  <w:marLeft w:val="0"/>
                  <w:marRight w:val="0"/>
                  <w:marTop w:val="0"/>
                  <w:marBottom w:val="0"/>
                  <w:divBdr>
                    <w:top w:val="none" w:sz="0" w:space="0" w:color="auto"/>
                    <w:left w:val="none" w:sz="0" w:space="0" w:color="auto"/>
                    <w:bottom w:val="none" w:sz="0" w:space="0" w:color="auto"/>
                    <w:right w:val="none" w:sz="0" w:space="0" w:color="auto"/>
                  </w:divBdr>
                </w:div>
              </w:divsChild>
            </w:div>
            <w:div w:id="1022055123">
              <w:marLeft w:val="0"/>
              <w:marRight w:val="0"/>
              <w:marTop w:val="0"/>
              <w:marBottom w:val="0"/>
              <w:divBdr>
                <w:top w:val="none" w:sz="0" w:space="0" w:color="auto"/>
                <w:left w:val="none" w:sz="0" w:space="0" w:color="auto"/>
                <w:bottom w:val="none" w:sz="0" w:space="0" w:color="auto"/>
                <w:right w:val="none" w:sz="0" w:space="0" w:color="auto"/>
              </w:divBdr>
              <w:divsChild>
                <w:div w:id="914705682">
                  <w:marLeft w:val="0"/>
                  <w:marRight w:val="0"/>
                  <w:marTop w:val="0"/>
                  <w:marBottom w:val="0"/>
                  <w:divBdr>
                    <w:top w:val="none" w:sz="0" w:space="0" w:color="auto"/>
                    <w:left w:val="none" w:sz="0" w:space="0" w:color="auto"/>
                    <w:bottom w:val="none" w:sz="0" w:space="0" w:color="auto"/>
                    <w:right w:val="none" w:sz="0" w:space="0" w:color="auto"/>
                  </w:divBdr>
                </w:div>
              </w:divsChild>
            </w:div>
            <w:div w:id="1059670235">
              <w:marLeft w:val="0"/>
              <w:marRight w:val="0"/>
              <w:marTop w:val="0"/>
              <w:marBottom w:val="0"/>
              <w:divBdr>
                <w:top w:val="none" w:sz="0" w:space="0" w:color="auto"/>
                <w:left w:val="none" w:sz="0" w:space="0" w:color="auto"/>
                <w:bottom w:val="none" w:sz="0" w:space="0" w:color="auto"/>
                <w:right w:val="none" w:sz="0" w:space="0" w:color="auto"/>
              </w:divBdr>
              <w:divsChild>
                <w:div w:id="2081708016">
                  <w:marLeft w:val="0"/>
                  <w:marRight w:val="0"/>
                  <w:marTop w:val="0"/>
                  <w:marBottom w:val="0"/>
                  <w:divBdr>
                    <w:top w:val="none" w:sz="0" w:space="0" w:color="auto"/>
                    <w:left w:val="none" w:sz="0" w:space="0" w:color="auto"/>
                    <w:bottom w:val="none" w:sz="0" w:space="0" w:color="auto"/>
                    <w:right w:val="none" w:sz="0" w:space="0" w:color="auto"/>
                  </w:divBdr>
                </w:div>
              </w:divsChild>
            </w:div>
            <w:div w:id="1088963598">
              <w:marLeft w:val="0"/>
              <w:marRight w:val="0"/>
              <w:marTop w:val="0"/>
              <w:marBottom w:val="0"/>
              <w:divBdr>
                <w:top w:val="none" w:sz="0" w:space="0" w:color="auto"/>
                <w:left w:val="none" w:sz="0" w:space="0" w:color="auto"/>
                <w:bottom w:val="none" w:sz="0" w:space="0" w:color="auto"/>
                <w:right w:val="none" w:sz="0" w:space="0" w:color="auto"/>
              </w:divBdr>
              <w:divsChild>
                <w:div w:id="252009483">
                  <w:marLeft w:val="0"/>
                  <w:marRight w:val="0"/>
                  <w:marTop w:val="0"/>
                  <w:marBottom w:val="0"/>
                  <w:divBdr>
                    <w:top w:val="none" w:sz="0" w:space="0" w:color="auto"/>
                    <w:left w:val="none" w:sz="0" w:space="0" w:color="auto"/>
                    <w:bottom w:val="none" w:sz="0" w:space="0" w:color="auto"/>
                    <w:right w:val="none" w:sz="0" w:space="0" w:color="auto"/>
                  </w:divBdr>
                </w:div>
              </w:divsChild>
            </w:div>
            <w:div w:id="1123235929">
              <w:marLeft w:val="0"/>
              <w:marRight w:val="0"/>
              <w:marTop w:val="0"/>
              <w:marBottom w:val="0"/>
              <w:divBdr>
                <w:top w:val="none" w:sz="0" w:space="0" w:color="auto"/>
                <w:left w:val="none" w:sz="0" w:space="0" w:color="auto"/>
                <w:bottom w:val="none" w:sz="0" w:space="0" w:color="auto"/>
                <w:right w:val="none" w:sz="0" w:space="0" w:color="auto"/>
              </w:divBdr>
              <w:divsChild>
                <w:div w:id="550725084">
                  <w:marLeft w:val="0"/>
                  <w:marRight w:val="0"/>
                  <w:marTop w:val="0"/>
                  <w:marBottom w:val="0"/>
                  <w:divBdr>
                    <w:top w:val="none" w:sz="0" w:space="0" w:color="auto"/>
                    <w:left w:val="none" w:sz="0" w:space="0" w:color="auto"/>
                    <w:bottom w:val="none" w:sz="0" w:space="0" w:color="auto"/>
                    <w:right w:val="none" w:sz="0" w:space="0" w:color="auto"/>
                  </w:divBdr>
                </w:div>
              </w:divsChild>
            </w:div>
            <w:div w:id="1133137822">
              <w:marLeft w:val="0"/>
              <w:marRight w:val="0"/>
              <w:marTop w:val="0"/>
              <w:marBottom w:val="0"/>
              <w:divBdr>
                <w:top w:val="none" w:sz="0" w:space="0" w:color="auto"/>
                <w:left w:val="none" w:sz="0" w:space="0" w:color="auto"/>
                <w:bottom w:val="none" w:sz="0" w:space="0" w:color="auto"/>
                <w:right w:val="none" w:sz="0" w:space="0" w:color="auto"/>
              </w:divBdr>
              <w:divsChild>
                <w:div w:id="2061049249">
                  <w:marLeft w:val="0"/>
                  <w:marRight w:val="0"/>
                  <w:marTop w:val="0"/>
                  <w:marBottom w:val="0"/>
                  <w:divBdr>
                    <w:top w:val="none" w:sz="0" w:space="0" w:color="auto"/>
                    <w:left w:val="none" w:sz="0" w:space="0" w:color="auto"/>
                    <w:bottom w:val="none" w:sz="0" w:space="0" w:color="auto"/>
                    <w:right w:val="none" w:sz="0" w:space="0" w:color="auto"/>
                  </w:divBdr>
                </w:div>
              </w:divsChild>
            </w:div>
            <w:div w:id="1154175653">
              <w:marLeft w:val="0"/>
              <w:marRight w:val="0"/>
              <w:marTop w:val="0"/>
              <w:marBottom w:val="0"/>
              <w:divBdr>
                <w:top w:val="none" w:sz="0" w:space="0" w:color="auto"/>
                <w:left w:val="none" w:sz="0" w:space="0" w:color="auto"/>
                <w:bottom w:val="none" w:sz="0" w:space="0" w:color="auto"/>
                <w:right w:val="none" w:sz="0" w:space="0" w:color="auto"/>
              </w:divBdr>
              <w:divsChild>
                <w:div w:id="1301576214">
                  <w:marLeft w:val="0"/>
                  <w:marRight w:val="0"/>
                  <w:marTop w:val="0"/>
                  <w:marBottom w:val="0"/>
                  <w:divBdr>
                    <w:top w:val="none" w:sz="0" w:space="0" w:color="auto"/>
                    <w:left w:val="none" w:sz="0" w:space="0" w:color="auto"/>
                    <w:bottom w:val="none" w:sz="0" w:space="0" w:color="auto"/>
                    <w:right w:val="none" w:sz="0" w:space="0" w:color="auto"/>
                  </w:divBdr>
                </w:div>
              </w:divsChild>
            </w:div>
            <w:div w:id="1314985044">
              <w:marLeft w:val="0"/>
              <w:marRight w:val="0"/>
              <w:marTop w:val="0"/>
              <w:marBottom w:val="0"/>
              <w:divBdr>
                <w:top w:val="none" w:sz="0" w:space="0" w:color="auto"/>
                <w:left w:val="none" w:sz="0" w:space="0" w:color="auto"/>
                <w:bottom w:val="none" w:sz="0" w:space="0" w:color="auto"/>
                <w:right w:val="none" w:sz="0" w:space="0" w:color="auto"/>
              </w:divBdr>
              <w:divsChild>
                <w:div w:id="1441072634">
                  <w:marLeft w:val="0"/>
                  <w:marRight w:val="0"/>
                  <w:marTop w:val="0"/>
                  <w:marBottom w:val="0"/>
                  <w:divBdr>
                    <w:top w:val="none" w:sz="0" w:space="0" w:color="auto"/>
                    <w:left w:val="none" w:sz="0" w:space="0" w:color="auto"/>
                    <w:bottom w:val="none" w:sz="0" w:space="0" w:color="auto"/>
                    <w:right w:val="none" w:sz="0" w:space="0" w:color="auto"/>
                  </w:divBdr>
                </w:div>
              </w:divsChild>
            </w:div>
            <w:div w:id="1391538534">
              <w:marLeft w:val="0"/>
              <w:marRight w:val="0"/>
              <w:marTop w:val="0"/>
              <w:marBottom w:val="0"/>
              <w:divBdr>
                <w:top w:val="none" w:sz="0" w:space="0" w:color="auto"/>
                <w:left w:val="none" w:sz="0" w:space="0" w:color="auto"/>
                <w:bottom w:val="none" w:sz="0" w:space="0" w:color="auto"/>
                <w:right w:val="none" w:sz="0" w:space="0" w:color="auto"/>
              </w:divBdr>
              <w:divsChild>
                <w:div w:id="1747412871">
                  <w:marLeft w:val="0"/>
                  <w:marRight w:val="0"/>
                  <w:marTop w:val="0"/>
                  <w:marBottom w:val="0"/>
                  <w:divBdr>
                    <w:top w:val="none" w:sz="0" w:space="0" w:color="auto"/>
                    <w:left w:val="none" w:sz="0" w:space="0" w:color="auto"/>
                    <w:bottom w:val="none" w:sz="0" w:space="0" w:color="auto"/>
                    <w:right w:val="none" w:sz="0" w:space="0" w:color="auto"/>
                  </w:divBdr>
                </w:div>
              </w:divsChild>
            </w:div>
            <w:div w:id="1626153322">
              <w:marLeft w:val="0"/>
              <w:marRight w:val="0"/>
              <w:marTop w:val="0"/>
              <w:marBottom w:val="0"/>
              <w:divBdr>
                <w:top w:val="none" w:sz="0" w:space="0" w:color="auto"/>
                <w:left w:val="none" w:sz="0" w:space="0" w:color="auto"/>
                <w:bottom w:val="none" w:sz="0" w:space="0" w:color="auto"/>
                <w:right w:val="none" w:sz="0" w:space="0" w:color="auto"/>
              </w:divBdr>
              <w:divsChild>
                <w:div w:id="2049447673">
                  <w:marLeft w:val="0"/>
                  <w:marRight w:val="0"/>
                  <w:marTop w:val="0"/>
                  <w:marBottom w:val="0"/>
                  <w:divBdr>
                    <w:top w:val="none" w:sz="0" w:space="0" w:color="auto"/>
                    <w:left w:val="none" w:sz="0" w:space="0" w:color="auto"/>
                    <w:bottom w:val="none" w:sz="0" w:space="0" w:color="auto"/>
                    <w:right w:val="none" w:sz="0" w:space="0" w:color="auto"/>
                  </w:divBdr>
                </w:div>
              </w:divsChild>
            </w:div>
            <w:div w:id="1766145356">
              <w:marLeft w:val="0"/>
              <w:marRight w:val="0"/>
              <w:marTop w:val="0"/>
              <w:marBottom w:val="0"/>
              <w:divBdr>
                <w:top w:val="none" w:sz="0" w:space="0" w:color="auto"/>
                <w:left w:val="none" w:sz="0" w:space="0" w:color="auto"/>
                <w:bottom w:val="none" w:sz="0" w:space="0" w:color="auto"/>
                <w:right w:val="none" w:sz="0" w:space="0" w:color="auto"/>
              </w:divBdr>
              <w:divsChild>
                <w:div w:id="371998650">
                  <w:marLeft w:val="0"/>
                  <w:marRight w:val="0"/>
                  <w:marTop w:val="0"/>
                  <w:marBottom w:val="0"/>
                  <w:divBdr>
                    <w:top w:val="none" w:sz="0" w:space="0" w:color="auto"/>
                    <w:left w:val="none" w:sz="0" w:space="0" w:color="auto"/>
                    <w:bottom w:val="none" w:sz="0" w:space="0" w:color="auto"/>
                    <w:right w:val="none" w:sz="0" w:space="0" w:color="auto"/>
                  </w:divBdr>
                </w:div>
              </w:divsChild>
            </w:div>
            <w:div w:id="1776631128">
              <w:marLeft w:val="0"/>
              <w:marRight w:val="0"/>
              <w:marTop w:val="0"/>
              <w:marBottom w:val="0"/>
              <w:divBdr>
                <w:top w:val="none" w:sz="0" w:space="0" w:color="auto"/>
                <w:left w:val="none" w:sz="0" w:space="0" w:color="auto"/>
                <w:bottom w:val="none" w:sz="0" w:space="0" w:color="auto"/>
                <w:right w:val="none" w:sz="0" w:space="0" w:color="auto"/>
              </w:divBdr>
              <w:divsChild>
                <w:div w:id="972369616">
                  <w:marLeft w:val="0"/>
                  <w:marRight w:val="0"/>
                  <w:marTop w:val="0"/>
                  <w:marBottom w:val="0"/>
                  <w:divBdr>
                    <w:top w:val="none" w:sz="0" w:space="0" w:color="auto"/>
                    <w:left w:val="none" w:sz="0" w:space="0" w:color="auto"/>
                    <w:bottom w:val="none" w:sz="0" w:space="0" w:color="auto"/>
                    <w:right w:val="none" w:sz="0" w:space="0" w:color="auto"/>
                  </w:divBdr>
                </w:div>
              </w:divsChild>
            </w:div>
            <w:div w:id="1856840260">
              <w:marLeft w:val="0"/>
              <w:marRight w:val="0"/>
              <w:marTop w:val="0"/>
              <w:marBottom w:val="0"/>
              <w:divBdr>
                <w:top w:val="none" w:sz="0" w:space="0" w:color="auto"/>
                <w:left w:val="none" w:sz="0" w:space="0" w:color="auto"/>
                <w:bottom w:val="none" w:sz="0" w:space="0" w:color="auto"/>
                <w:right w:val="none" w:sz="0" w:space="0" w:color="auto"/>
              </w:divBdr>
              <w:divsChild>
                <w:div w:id="386538060">
                  <w:marLeft w:val="0"/>
                  <w:marRight w:val="0"/>
                  <w:marTop w:val="0"/>
                  <w:marBottom w:val="0"/>
                  <w:divBdr>
                    <w:top w:val="none" w:sz="0" w:space="0" w:color="auto"/>
                    <w:left w:val="none" w:sz="0" w:space="0" w:color="auto"/>
                    <w:bottom w:val="none" w:sz="0" w:space="0" w:color="auto"/>
                    <w:right w:val="none" w:sz="0" w:space="0" w:color="auto"/>
                  </w:divBdr>
                </w:div>
              </w:divsChild>
            </w:div>
            <w:div w:id="1925333647">
              <w:marLeft w:val="0"/>
              <w:marRight w:val="0"/>
              <w:marTop w:val="0"/>
              <w:marBottom w:val="0"/>
              <w:divBdr>
                <w:top w:val="none" w:sz="0" w:space="0" w:color="auto"/>
                <w:left w:val="none" w:sz="0" w:space="0" w:color="auto"/>
                <w:bottom w:val="none" w:sz="0" w:space="0" w:color="auto"/>
                <w:right w:val="none" w:sz="0" w:space="0" w:color="auto"/>
              </w:divBdr>
              <w:divsChild>
                <w:div w:id="56361810">
                  <w:marLeft w:val="0"/>
                  <w:marRight w:val="0"/>
                  <w:marTop w:val="0"/>
                  <w:marBottom w:val="0"/>
                  <w:divBdr>
                    <w:top w:val="none" w:sz="0" w:space="0" w:color="auto"/>
                    <w:left w:val="none" w:sz="0" w:space="0" w:color="auto"/>
                    <w:bottom w:val="none" w:sz="0" w:space="0" w:color="auto"/>
                    <w:right w:val="none" w:sz="0" w:space="0" w:color="auto"/>
                  </w:divBdr>
                </w:div>
              </w:divsChild>
            </w:div>
            <w:div w:id="1943340077">
              <w:marLeft w:val="0"/>
              <w:marRight w:val="0"/>
              <w:marTop w:val="0"/>
              <w:marBottom w:val="0"/>
              <w:divBdr>
                <w:top w:val="none" w:sz="0" w:space="0" w:color="auto"/>
                <w:left w:val="none" w:sz="0" w:space="0" w:color="auto"/>
                <w:bottom w:val="none" w:sz="0" w:space="0" w:color="auto"/>
                <w:right w:val="none" w:sz="0" w:space="0" w:color="auto"/>
              </w:divBdr>
              <w:divsChild>
                <w:div w:id="781917112">
                  <w:marLeft w:val="0"/>
                  <w:marRight w:val="0"/>
                  <w:marTop w:val="0"/>
                  <w:marBottom w:val="0"/>
                  <w:divBdr>
                    <w:top w:val="none" w:sz="0" w:space="0" w:color="auto"/>
                    <w:left w:val="none" w:sz="0" w:space="0" w:color="auto"/>
                    <w:bottom w:val="none" w:sz="0" w:space="0" w:color="auto"/>
                    <w:right w:val="none" w:sz="0" w:space="0" w:color="auto"/>
                  </w:divBdr>
                </w:div>
              </w:divsChild>
            </w:div>
            <w:div w:id="1956476751">
              <w:marLeft w:val="0"/>
              <w:marRight w:val="0"/>
              <w:marTop w:val="0"/>
              <w:marBottom w:val="0"/>
              <w:divBdr>
                <w:top w:val="none" w:sz="0" w:space="0" w:color="auto"/>
                <w:left w:val="none" w:sz="0" w:space="0" w:color="auto"/>
                <w:bottom w:val="none" w:sz="0" w:space="0" w:color="auto"/>
                <w:right w:val="none" w:sz="0" w:space="0" w:color="auto"/>
              </w:divBdr>
              <w:divsChild>
                <w:div w:id="124584333">
                  <w:marLeft w:val="0"/>
                  <w:marRight w:val="0"/>
                  <w:marTop w:val="0"/>
                  <w:marBottom w:val="0"/>
                  <w:divBdr>
                    <w:top w:val="none" w:sz="0" w:space="0" w:color="auto"/>
                    <w:left w:val="none" w:sz="0" w:space="0" w:color="auto"/>
                    <w:bottom w:val="none" w:sz="0" w:space="0" w:color="auto"/>
                    <w:right w:val="none" w:sz="0" w:space="0" w:color="auto"/>
                  </w:divBdr>
                </w:div>
              </w:divsChild>
            </w:div>
            <w:div w:id="2018723942">
              <w:marLeft w:val="0"/>
              <w:marRight w:val="0"/>
              <w:marTop w:val="0"/>
              <w:marBottom w:val="0"/>
              <w:divBdr>
                <w:top w:val="none" w:sz="0" w:space="0" w:color="auto"/>
                <w:left w:val="none" w:sz="0" w:space="0" w:color="auto"/>
                <w:bottom w:val="none" w:sz="0" w:space="0" w:color="auto"/>
                <w:right w:val="none" w:sz="0" w:space="0" w:color="auto"/>
              </w:divBdr>
              <w:divsChild>
                <w:div w:id="306205278">
                  <w:marLeft w:val="0"/>
                  <w:marRight w:val="0"/>
                  <w:marTop w:val="0"/>
                  <w:marBottom w:val="0"/>
                  <w:divBdr>
                    <w:top w:val="none" w:sz="0" w:space="0" w:color="auto"/>
                    <w:left w:val="none" w:sz="0" w:space="0" w:color="auto"/>
                    <w:bottom w:val="none" w:sz="0" w:space="0" w:color="auto"/>
                    <w:right w:val="none" w:sz="0" w:space="0" w:color="auto"/>
                  </w:divBdr>
                </w:div>
              </w:divsChild>
            </w:div>
            <w:div w:id="2068067370">
              <w:marLeft w:val="0"/>
              <w:marRight w:val="0"/>
              <w:marTop w:val="0"/>
              <w:marBottom w:val="0"/>
              <w:divBdr>
                <w:top w:val="none" w:sz="0" w:space="0" w:color="auto"/>
                <w:left w:val="none" w:sz="0" w:space="0" w:color="auto"/>
                <w:bottom w:val="none" w:sz="0" w:space="0" w:color="auto"/>
                <w:right w:val="none" w:sz="0" w:space="0" w:color="auto"/>
              </w:divBdr>
              <w:divsChild>
                <w:div w:id="437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2140">
      <w:bodyDiv w:val="1"/>
      <w:marLeft w:val="0"/>
      <w:marRight w:val="0"/>
      <w:marTop w:val="0"/>
      <w:marBottom w:val="0"/>
      <w:divBdr>
        <w:top w:val="none" w:sz="0" w:space="0" w:color="auto"/>
        <w:left w:val="none" w:sz="0" w:space="0" w:color="auto"/>
        <w:bottom w:val="none" w:sz="0" w:space="0" w:color="auto"/>
        <w:right w:val="none" w:sz="0" w:space="0" w:color="auto"/>
      </w:divBdr>
      <w:divsChild>
        <w:div w:id="931932108">
          <w:marLeft w:val="0"/>
          <w:marRight w:val="0"/>
          <w:marTop w:val="0"/>
          <w:marBottom w:val="0"/>
          <w:divBdr>
            <w:top w:val="none" w:sz="0" w:space="0" w:color="auto"/>
            <w:left w:val="none" w:sz="0" w:space="0" w:color="auto"/>
            <w:bottom w:val="none" w:sz="0" w:space="0" w:color="auto"/>
            <w:right w:val="none" w:sz="0" w:space="0" w:color="auto"/>
          </w:divBdr>
          <w:divsChild>
            <w:div w:id="8678262">
              <w:marLeft w:val="0"/>
              <w:marRight w:val="0"/>
              <w:marTop w:val="0"/>
              <w:marBottom w:val="0"/>
              <w:divBdr>
                <w:top w:val="none" w:sz="0" w:space="0" w:color="auto"/>
                <w:left w:val="none" w:sz="0" w:space="0" w:color="auto"/>
                <w:bottom w:val="none" w:sz="0" w:space="0" w:color="auto"/>
                <w:right w:val="none" w:sz="0" w:space="0" w:color="auto"/>
              </w:divBdr>
              <w:divsChild>
                <w:div w:id="1793859713">
                  <w:marLeft w:val="0"/>
                  <w:marRight w:val="0"/>
                  <w:marTop w:val="0"/>
                  <w:marBottom w:val="0"/>
                  <w:divBdr>
                    <w:top w:val="none" w:sz="0" w:space="0" w:color="auto"/>
                    <w:left w:val="none" w:sz="0" w:space="0" w:color="auto"/>
                    <w:bottom w:val="none" w:sz="0" w:space="0" w:color="auto"/>
                    <w:right w:val="none" w:sz="0" w:space="0" w:color="auto"/>
                  </w:divBdr>
                </w:div>
              </w:divsChild>
            </w:div>
            <w:div w:id="149100483">
              <w:marLeft w:val="0"/>
              <w:marRight w:val="0"/>
              <w:marTop w:val="0"/>
              <w:marBottom w:val="0"/>
              <w:divBdr>
                <w:top w:val="none" w:sz="0" w:space="0" w:color="auto"/>
                <w:left w:val="none" w:sz="0" w:space="0" w:color="auto"/>
                <w:bottom w:val="none" w:sz="0" w:space="0" w:color="auto"/>
                <w:right w:val="none" w:sz="0" w:space="0" w:color="auto"/>
              </w:divBdr>
              <w:divsChild>
                <w:div w:id="754597579">
                  <w:marLeft w:val="0"/>
                  <w:marRight w:val="0"/>
                  <w:marTop w:val="0"/>
                  <w:marBottom w:val="0"/>
                  <w:divBdr>
                    <w:top w:val="none" w:sz="0" w:space="0" w:color="auto"/>
                    <w:left w:val="none" w:sz="0" w:space="0" w:color="auto"/>
                    <w:bottom w:val="none" w:sz="0" w:space="0" w:color="auto"/>
                    <w:right w:val="none" w:sz="0" w:space="0" w:color="auto"/>
                  </w:divBdr>
                </w:div>
              </w:divsChild>
            </w:div>
            <w:div w:id="218593797">
              <w:marLeft w:val="0"/>
              <w:marRight w:val="0"/>
              <w:marTop w:val="0"/>
              <w:marBottom w:val="0"/>
              <w:divBdr>
                <w:top w:val="none" w:sz="0" w:space="0" w:color="auto"/>
                <w:left w:val="none" w:sz="0" w:space="0" w:color="auto"/>
                <w:bottom w:val="none" w:sz="0" w:space="0" w:color="auto"/>
                <w:right w:val="none" w:sz="0" w:space="0" w:color="auto"/>
              </w:divBdr>
              <w:divsChild>
                <w:div w:id="1229028461">
                  <w:marLeft w:val="0"/>
                  <w:marRight w:val="0"/>
                  <w:marTop w:val="0"/>
                  <w:marBottom w:val="0"/>
                  <w:divBdr>
                    <w:top w:val="none" w:sz="0" w:space="0" w:color="auto"/>
                    <w:left w:val="none" w:sz="0" w:space="0" w:color="auto"/>
                    <w:bottom w:val="none" w:sz="0" w:space="0" w:color="auto"/>
                    <w:right w:val="none" w:sz="0" w:space="0" w:color="auto"/>
                  </w:divBdr>
                </w:div>
              </w:divsChild>
            </w:div>
            <w:div w:id="230310051">
              <w:marLeft w:val="0"/>
              <w:marRight w:val="0"/>
              <w:marTop w:val="0"/>
              <w:marBottom w:val="0"/>
              <w:divBdr>
                <w:top w:val="none" w:sz="0" w:space="0" w:color="auto"/>
                <w:left w:val="none" w:sz="0" w:space="0" w:color="auto"/>
                <w:bottom w:val="none" w:sz="0" w:space="0" w:color="auto"/>
                <w:right w:val="none" w:sz="0" w:space="0" w:color="auto"/>
              </w:divBdr>
              <w:divsChild>
                <w:div w:id="1312635962">
                  <w:marLeft w:val="0"/>
                  <w:marRight w:val="0"/>
                  <w:marTop w:val="0"/>
                  <w:marBottom w:val="0"/>
                  <w:divBdr>
                    <w:top w:val="none" w:sz="0" w:space="0" w:color="auto"/>
                    <w:left w:val="none" w:sz="0" w:space="0" w:color="auto"/>
                    <w:bottom w:val="none" w:sz="0" w:space="0" w:color="auto"/>
                    <w:right w:val="none" w:sz="0" w:space="0" w:color="auto"/>
                  </w:divBdr>
                </w:div>
              </w:divsChild>
            </w:div>
            <w:div w:id="307131114">
              <w:marLeft w:val="0"/>
              <w:marRight w:val="0"/>
              <w:marTop w:val="0"/>
              <w:marBottom w:val="0"/>
              <w:divBdr>
                <w:top w:val="none" w:sz="0" w:space="0" w:color="auto"/>
                <w:left w:val="none" w:sz="0" w:space="0" w:color="auto"/>
                <w:bottom w:val="none" w:sz="0" w:space="0" w:color="auto"/>
                <w:right w:val="none" w:sz="0" w:space="0" w:color="auto"/>
              </w:divBdr>
              <w:divsChild>
                <w:div w:id="597296536">
                  <w:marLeft w:val="0"/>
                  <w:marRight w:val="0"/>
                  <w:marTop w:val="0"/>
                  <w:marBottom w:val="0"/>
                  <w:divBdr>
                    <w:top w:val="none" w:sz="0" w:space="0" w:color="auto"/>
                    <w:left w:val="none" w:sz="0" w:space="0" w:color="auto"/>
                    <w:bottom w:val="none" w:sz="0" w:space="0" w:color="auto"/>
                    <w:right w:val="none" w:sz="0" w:space="0" w:color="auto"/>
                  </w:divBdr>
                </w:div>
              </w:divsChild>
            </w:div>
            <w:div w:id="345639088">
              <w:marLeft w:val="0"/>
              <w:marRight w:val="0"/>
              <w:marTop w:val="0"/>
              <w:marBottom w:val="0"/>
              <w:divBdr>
                <w:top w:val="none" w:sz="0" w:space="0" w:color="auto"/>
                <w:left w:val="none" w:sz="0" w:space="0" w:color="auto"/>
                <w:bottom w:val="none" w:sz="0" w:space="0" w:color="auto"/>
                <w:right w:val="none" w:sz="0" w:space="0" w:color="auto"/>
              </w:divBdr>
              <w:divsChild>
                <w:div w:id="1078861710">
                  <w:marLeft w:val="0"/>
                  <w:marRight w:val="0"/>
                  <w:marTop w:val="0"/>
                  <w:marBottom w:val="0"/>
                  <w:divBdr>
                    <w:top w:val="none" w:sz="0" w:space="0" w:color="auto"/>
                    <w:left w:val="none" w:sz="0" w:space="0" w:color="auto"/>
                    <w:bottom w:val="none" w:sz="0" w:space="0" w:color="auto"/>
                    <w:right w:val="none" w:sz="0" w:space="0" w:color="auto"/>
                  </w:divBdr>
                </w:div>
              </w:divsChild>
            </w:div>
            <w:div w:id="482820685">
              <w:marLeft w:val="0"/>
              <w:marRight w:val="0"/>
              <w:marTop w:val="0"/>
              <w:marBottom w:val="0"/>
              <w:divBdr>
                <w:top w:val="none" w:sz="0" w:space="0" w:color="auto"/>
                <w:left w:val="none" w:sz="0" w:space="0" w:color="auto"/>
                <w:bottom w:val="none" w:sz="0" w:space="0" w:color="auto"/>
                <w:right w:val="none" w:sz="0" w:space="0" w:color="auto"/>
              </w:divBdr>
              <w:divsChild>
                <w:div w:id="1660963352">
                  <w:marLeft w:val="0"/>
                  <w:marRight w:val="0"/>
                  <w:marTop w:val="0"/>
                  <w:marBottom w:val="0"/>
                  <w:divBdr>
                    <w:top w:val="none" w:sz="0" w:space="0" w:color="auto"/>
                    <w:left w:val="none" w:sz="0" w:space="0" w:color="auto"/>
                    <w:bottom w:val="none" w:sz="0" w:space="0" w:color="auto"/>
                    <w:right w:val="none" w:sz="0" w:space="0" w:color="auto"/>
                  </w:divBdr>
                </w:div>
              </w:divsChild>
            </w:div>
            <w:div w:id="575088184">
              <w:marLeft w:val="0"/>
              <w:marRight w:val="0"/>
              <w:marTop w:val="0"/>
              <w:marBottom w:val="0"/>
              <w:divBdr>
                <w:top w:val="none" w:sz="0" w:space="0" w:color="auto"/>
                <w:left w:val="none" w:sz="0" w:space="0" w:color="auto"/>
                <w:bottom w:val="none" w:sz="0" w:space="0" w:color="auto"/>
                <w:right w:val="none" w:sz="0" w:space="0" w:color="auto"/>
              </w:divBdr>
              <w:divsChild>
                <w:div w:id="1504590573">
                  <w:marLeft w:val="0"/>
                  <w:marRight w:val="0"/>
                  <w:marTop w:val="0"/>
                  <w:marBottom w:val="0"/>
                  <w:divBdr>
                    <w:top w:val="none" w:sz="0" w:space="0" w:color="auto"/>
                    <w:left w:val="none" w:sz="0" w:space="0" w:color="auto"/>
                    <w:bottom w:val="none" w:sz="0" w:space="0" w:color="auto"/>
                    <w:right w:val="none" w:sz="0" w:space="0" w:color="auto"/>
                  </w:divBdr>
                </w:div>
              </w:divsChild>
            </w:div>
            <w:div w:id="596062622">
              <w:marLeft w:val="0"/>
              <w:marRight w:val="0"/>
              <w:marTop w:val="0"/>
              <w:marBottom w:val="0"/>
              <w:divBdr>
                <w:top w:val="none" w:sz="0" w:space="0" w:color="auto"/>
                <w:left w:val="none" w:sz="0" w:space="0" w:color="auto"/>
                <w:bottom w:val="none" w:sz="0" w:space="0" w:color="auto"/>
                <w:right w:val="none" w:sz="0" w:space="0" w:color="auto"/>
              </w:divBdr>
              <w:divsChild>
                <w:div w:id="884098370">
                  <w:marLeft w:val="0"/>
                  <w:marRight w:val="0"/>
                  <w:marTop w:val="0"/>
                  <w:marBottom w:val="0"/>
                  <w:divBdr>
                    <w:top w:val="none" w:sz="0" w:space="0" w:color="auto"/>
                    <w:left w:val="none" w:sz="0" w:space="0" w:color="auto"/>
                    <w:bottom w:val="none" w:sz="0" w:space="0" w:color="auto"/>
                    <w:right w:val="none" w:sz="0" w:space="0" w:color="auto"/>
                  </w:divBdr>
                </w:div>
              </w:divsChild>
            </w:div>
            <w:div w:id="679739679">
              <w:marLeft w:val="0"/>
              <w:marRight w:val="0"/>
              <w:marTop w:val="0"/>
              <w:marBottom w:val="0"/>
              <w:divBdr>
                <w:top w:val="none" w:sz="0" w:space="0" w:color="auto"/>
                <w:left w:val="none" w:sz="0" w:space="0" w:color="auto"/>
                <w:bottom w:val="none" w:sz="0" w:space="0" w:color="auto"/>
                <w:right w:val="none" w:sz="0" w:space="0" w:color="auto"/>
              </w:divBdr>
              <w:divsChild>
                <w:div w:id="906653041">
                  <w:marLeft w:val="0"/>
                  <w:marRight w:val="0"/>
                  <w:marTop w:val="0"/>
                  <w:marBottom w:val="0"/>
                  <w:divBdr>
                    <w:top w:val="none" w:sz="0" w:space="0" w:color="auto"/>
                    <w:left w:val="none" w:sz="0" w:space="0" w:color="auto"/>
                    <w:bottom w:val="none" w:sz="0" w:space="0" w:color="auto"/>
                    <w:right w:val="none" w:sz="0" w:space="0" w:color="auto"/>
                  </w:divBdr>
                </w:div>
              </w:divsChild>
            </w:div>
            <w:div w:id="775364612">
              <w:marLeft w:val="0"/>
              <w:marRight w:val="0"/>
              <w:marTop w:val="0"/>
              <w:marBottom w:val="0"/>
              <w:divBdr>
                <w:top w:val="none" w:sz="0" w:space="0" w:color="auto"/>
                <w:left w:val="none" w:sz="0" w:space="0" w:color="auto"/>
                <w:bottom w:val="none" w:sz="0" w:space="0" w:color="auto"/>
                <w:right w:val="none" w:sz="0" w:space="0" w:color="auto"/>
              </w:divBdr>
              <w:divsChild>
                <w:div w:id="312224145">
                  <w:marLeft w:val="0"/>
                  <w:marRight w:val="0"/>
                  <w:marTop w:val="0"/>
                  <w:marBottom w:val="0"/>
                  <w:divBdr>
                    <w:top w:val="none" w:sz="0" w:space="0" w:color="auto"/>
                    <w:left w:val="none" w:sz="0" w:space="0" w:color="auto"/>
                    <w:bottom w:val="none" w:sz="0" w:space="0" w:color="auto"/>
                    <w:right w:val="none" w:sz="0" w:space="0" w:color="auto"/>
                  </w:divBdr>
                </w:div>
              </w:divsChild>
            </w:div>
            <w:div w:id="1039356741">
              <w:marLeft w:val="0"/>
              <w:marRight w:val="0"/>
              <w:marTop w:val="0"/>
              <w:marBottom w:val="0"/>
              <w:divBdr>
                <w:top w:val="none" w:sz="0" w:space="0" w:color="auto"/>
                <w:left w:val="none" w:sz="0" w:space="0" w:color="auto"/>
                <w:bottom w:val="none" w:sz="0" w:space="0" w:color="auto"/>
                <w:right w:val="none" w:sz="0" w:space="0" w:color="auto"/>
              </w:divBdr>
              <w:divsChild>
                <w:div w:id="1549688510">
                  <w:marLeft w:val="0"/>
                  <w:marRight w:val="0"/>
                  <w:marTop w:val="0"/>
                  <w:marBottom w:val="0"/>
                  <w:divBdr>
                    <w:top w:val="none" w:sz="0" w:space="0" w:color="auto"/>
                    <w:left w:val="none" w:sz="0" w:space="0" w:color="auto"/>
                    <w:bottom w:val="none" w:sz="0" w:space="0" w:color="auto"/>
                    <w:right w:val="none" w:sz="0" w:space="0" w:color="auto"/>
                  </w:divBdr>
                </w:div>
              </w:divsChild>
            </w:div>
            <w:div w:id="1159729479">
              <w:marLeft w:val="0"/>
              <w:marRight w:val="0"/>
              <w:marTop w:val="0"/>
              <w:marBottom w:val="0"/>
              <w:divBdr>
                <w:top w:val="none" w:sz="0" w:space="0" w:color="auto"/>
                <w:left w:val="none" w:sz="0" w:space="0" w:color="auto"/>
                <w:bottom w:val="none" w:sz="0" w:space="0" w:color="auto"/>
                <w:right w:val="none" w:sz="0" w:space="0" w:color="auto"/>
              </w:divBdr>
              <w:divsChild>
                <w:div w:id="1487673271">
                  <w:marLeft w:val="0"/>
                  <w:marRight w:val="0"/>
                  <w:marTop w:val="0"/>
                  <w:marBottom w:val="0"/>
                  <w:divBdr>
                    <w:top w:val="none" w:sz="0" w:space="0" w:color="auto"/>
                    <w:left w:val="none" w:sz="0" w:space="0" w:color="auto"/>
                    <w:bottom w:val="none" w:sz="0" w:space="0" w:color="auto"/>
                    <w:right w:val="none" w:sz="0" w:space="0" w:color="auto"/>
                  </w:divBdr>
                </w:div>
              </w:divsChild>
            </w:div>
            <w:div w:id="1220702541">
              <w:marLeft w:val="0"/>
              <w:marRight w:val="0"/>
              <w:marTop w:val="0"/>
              <w:marBottom w:val="0"/>
              <w:divBdr>
                <w:top w:val="none" w:sz="0" w:space="0" w:color="auto"/>
                <w:left w:val="none" w:sz="0" w:space="0" w:color="auto"/>
                <w:bottom w:val="none" w:sz="0" w:space="0" w:color="auto"/>
                <w:right w:val="none" w:sz="0" w:space="0" w:color="auto"/>
              </w:divBdr>
              <w:divsChild>
                <w:div w:id="1811705799">
                  <w:marLeft w:val="0"/>
                  <w:marRight w:val="0"/>
                  <w:marTop w:val="0"/>
                  <w:marBottom w:val="0"/>
                  <w:divBdr>
                    <w:top w:val="none" w:sz="0" w:space="0" w:color="auto"/>
                    <w:left w:val="none" w:sz="0" w:space="0" w:color="auto"/>
                    <w:bottom w:val="none" w:sz="0" w:space="0" w:color="auto"/>
                    <w:right w:val="none" w:sz="0" w:space="0" w:color="auto"/>
                  </w:divBdr>
                </w:div>
              </w:divsChild>
            </w:div>
            <w:div w:id="1285429057">
              <w:marLeft w:val="0"/>
              <w:marRight w:val="0"/>
              <w:marTop w:val="0"/>
              <w:marBottom w:val="0"/>
              <w:divBdr>
                <w:top w:val="none" w:sz="0" w:space="0" w:color="auto"/>
                <w:left w:val="none" w:sz="0" w:space="0" w:color="auto"/>
                <w:bottom w:val="none" w:sz="0" w:space="0" w:color="auto"/>
                <w:right w:val="none" w:sz="0" w:space="0" w:color="auto"/>
              </w:divBdr>
              <w:divsChild>
                <w:div w:id="835846710">
                  <w:marLeft w:val="0"/>
                  <w:marRight w:val="0"/>
                  <w:marTop w:val="0"/>
                  <w:marBottom w:val="0"/>
                  <w:divBdr>
                    <w:top w:val="none" w:sz="0" w:space="0" w:color="auto"/>
                    <w:left w:val="none" w:sz="0" w:space="0" w:color="auto"/>
                    <w:bottom w:val="none" w:sz="0" w:space="0" w:color="auto"/>
                    <w:right w:val="none" w:sz="0" w:space="0" w:color="auto"/>
                  </w:divBdr>
                </w:div>
              </w:divsChild>
            </w:div>
            <w:div w:id="1288657260">
              <w:marLeft w:val="0"/>
              <w:marRight w:val="0"/>
              <w:marTop w:val="0"/>
              <w:marBottom w:val="0"/>
              <w:divBdr>
                <w:top w:val="none" w:sz="0" w:space="0" w:color="auto"/>
                <w:left w:val="none" w:sz="0" w:space="0" w:color="auto"/>
                <w:bottom w:val="none" w:sz="0" w:space="0" w:color="auto"/>
                <w:right w:val="none" w:sz="0" w:space="0" w:color="auto"/>
              </w:divBdr>
              <w:divsChild>
                <w:div w:id="340203243">
                  <w:marLeft w:val="0"/>
                  <w:marRight w:val="0"/>
                  <w:marTop w:val="0"/>
                  <w:marBottom w:val="0"/>
                  <w:divBdr>
                    <w:top w:val="none" w:sz="0" w:space="0" w:color="auto"/>
                    <w:left w:val="none" w:sz="0" w:space="0" w:color="auto"/>
                    <w:bottom w:val="none" w:sz="0" w:space="0" w:color="auto"/>
                    <w:right w:val="none" w:sz="0" w:space="0" w:color="auto"/>
                  </w:divBdr>
                </w:div>
              </w:divsChild>
            </w:div>
            <w:div w:id="1294288445">
              <w:marLeft w:val="0"/>
              <w:marRight w:val="0"/>
              <w:marTop w:val="0"/>
              <w:marBottom w:val="0"/>
              <w:divBdr>
                <w:top w:val="none" w:sz="0" w:space="0" w:color="auto"/>
                <w:left w:val="none" w:sz="0" w:space="0" w:color="auto"/>
                <w:bottom w:val="none" w:sz="0" w:space="0" w:color="auto"/>
                <w:right w:val="none" w:sz="0" w:space="0" w:color="auto"/>
              </w:divBdr>
              <w:divsChild>
                <w:div w:id="2052996406">
                  <w:marLeft w:val="0"/>
                  <w:marRight w:val="0"/>
                  <w:marTop w:val="0"/>
                  <w:marBottom w:val="0"/>
                  <w:divBdr>
                    <w:top w:val="none" w:sz="0" w:space="0" w:color="auto"/>
                    <w:left w:val="none" w:sz="0" w:space="0" w:color="auto"/>
                    <w:bottom w:val="none" w:sz="0" w:space="0" w:color="auto"/>
                    <w:right w:val="none" w:sz="0" w:space="0" w:color="auto"/>
                  </w:divBdr>
                </w:div>
              </w:divsChild>
            </w:div>
            <w:div w:id="1406412556">
              <w:marLeft w:val="0"/>
              <w:marRight w:val="0"/>
              <w:marTop w:val="0"/>
              <w:marBottom w:val="0"/>
              <w:divBdr>
                <w:top w:val="none" w:sz="0" w:space="0" w:color="auto"/>
                <w:left w:val="none" w:sz="0" w:space="0" w:color="auto"/>
                <w:bottom w:val="none" w:sz="0" w:space="0" w:color="auto"/>
                <w:right w:val="none" w:sz="0" w:space="0" w:color="auto"/>
              </w:divBdr>
              <w:divsChild>
                <w:div w:id="425809625">
                  <w:marLeft w:val="0"/>
                  <w:marRight w:val="0"/>
                  <w:marTop w:val="0"/>
                  <w:marBottom w:val="0"/>
                  <w:divBdr>
                    <w:top w:val="none" w:sz="0" w:space="0" w:color="auto"/>
                    <w:left w:val="none" w:sz="0" w:space="0" w:color="auto"/>
                    <w:bottom w:val="none" w:sz="0" w:space="0" w:color="auto"/>
                    <w:right w:val="none" w:sz="0" w:space="0" w:color="auto"/>
                  </w:divBdr>
                </w:div>
              </w:divsChild>
            </w:div>
            <w:div w:id="1456607033">
              <w:marLeft w:val="0"/>
              <w:marRight w:val="0"/>
              <w:marTop w:val="0"/>
              <w:marBottom w:val="0"/>
              <w:divBdr>
                <w:top w:val="none" w:sz="0" w:space="0" w:color="auto"/>
                <w:left w:val="none" w:sz="0" w:space="0" w:color="auto"/>
                <w:bottom w:val="none" w:sz="0" w:space="0" w:color="auto"/>
                <w:right w:val="none" w:sz="0" w:space="0" w:color="auto"/>
              </w:divBdr>
              <w:divsChild>
                <w:div w:id="750272902">
                  <w:marLeft w:val="0"/>
                  <w:marRight w:val="0"/>
                  <w:marTop w:val="0"/>
                  <w:marBottom w:val="0"/>
                  <w:divBdr>
                    <w:top w:val="none" w:sz="0" w:space="0" w:color="auto"/>
                    <w:left w:val="none" w:sz="0" w:space="0" w:color="auto"/>
                    <w:bottom w:val="none" w:sz="0" w:space="0" w:color="auto"/>
                    <w:right w:val="none" w:sz="0" w:space="0" w:color="auto"/>
                  </w:divBdr>
                </w:div>
              </w:divsChild>
            </w:div>
            <w:div w:id="1459252217">
              <w:marLeft w:val="0"/>
              <w:marRight w:val="0"/>
              <w:marTop w:val="0"/>
              <w:marBottom w:val="0"/>
              <w:divBdr>
                <w:top w:val="none" w:sz="0" w:space="0" w:color="auto"/>
                <w:left w:val="none" w:sz="0" w:space="0" w:color="auto"/>
                <w:bottom w:val="none" w:sz="0" w:space="0" w:color="auto"/>
                <w:right w:val="none" w:sz="0" w:space="0" w:color="auto"/>
              </w:divBdr>
              <w:divsChild>
                <w:div w:id="290089390">
                  <w:marLeft w:val="0"/>
                  <w:marRight w:val="0"/>
                  <w:marTop w:val="0"/>
                  <w:marBottom w:val="0"/>
                  <w:divBdr>
                    <w:top w:val="none" w:sz="0" w:space="0" w:color="auto"/>
                    <w:left w:val="none" w:sz="0" w:space="0" w:color="auto"/>
                    <w:bottom w:val="none" w:sz="0" w:space="0" w:color="auto"/>
                    <w:right w:val="none" w:sz="0" w:space="0" w:color="auto"/>
                  </w:divBdr>
                </w:div>
              </w:divsChild>
            </w:div>
            <w:div w:id="1471439181">
              <w:marLeft w:val="0"/>
              <w:marRight w:val="0"/>
              <w:marTop w:val="0"/>
              <w:marBottom w:val="0"/>
              <w:divBdr>
                <w:top w:val="none" w:sz="0" w:space="0" w:color="auto"/>
                <w:left w:val="none" w:sz="0" w:space="0" w:color="auto"/>
                <w:bottom w:val="none" w:sz="0" w:space="0" w:color="auto"/>
                <w:right w:val="none" w:sz="0" w:space="0" w:color="auto"/>
              </w:divBdr>
              <w:divsChild>
                <w:div w:id="999381481">
                  <w:marLeft w:val="0"/>
                  <w:marRight w:val="0"/>
                  <w:marTop w:val="0"/>
                  <w:marBottom w:val="0"/>
                  <w:divBdr>
                    <w:top w:val="none" w:sz="0" w:space="0" w:color="auto"/>
                    <w:left w:val="none" w:sz="0" w:space="0" w:color="auto"/>
                    <w:bottom w:val="none" w:sz="0" w:space="0" w:color="auto"/>
                    <w:right w:val="none" w:sz="0" w:space="0" w:color="auto"/>
                  </w:divBdr>
                </w:div>
              </w:divsChild>
            </w:div>
            <w:div w:id="1495610643">
              <w:marLeft w:val="0"/>
              <w:marRight w:val="0"/>
              <w:marTop w:val="0"/>
              <w:marBottom w:val="0"/>
              <w:divBdr>
                <w:top w:val="none" w:sz="0" w:space="0" w:color="auto"/>
                <w:left w:val="none" w:sz="0" w:space="0" w:color="auto"/>
                <w:bottom w:val="none" w:sz="0" w:space="0" w:color="auto"/>
                <w:right w:val="none" w:sz="0" w:space="0" w:color="auto"/>
              </w:divBdr>
              <w:divsChild>
                <w:div w:id="671375649">
                  <w:marLeft w:val="0"/>
                  <w:marRight w:val="0"/>
                  <w:marTop w:val="0"/>
                  <w:marBottom w:val="0"/>
                  <w:divBdr>
                    <w:top w:val="none" w:sz="0" w:space="0" w:color="auto"/>
                    <w:left w:val="none" w:sz="0" w:space="0" w:color="auto"/>
                    <w:bottom w:val="none" w:sz="0" w:space="0" w:color="auto"/>
                    <w:right w:val="none" w:sz="0" w:space="0" w:color="auto"/>
                  </w:divBdr>
                </w:div>
              </w:divsChild>
            </w:div>
            <w:div w:id="1501043064">
              <w:marLeft w:val="0"/>
              <w:marRight w:val="0"/>
              <w:marTop w:val="0"/>
              <w:marBottom w:val="0"/>
              <w:divBdr>
                <w:top w:val="none" w:sz="0" w:space="0" w:color="auto"/>
                <w:left w:val="none" w:sz="0" w:space="0" w:color="auto"/>
                <w:bottom w:val="none" w:sz="0" w:space="0" w:color="auto"/>
                <w:right w:val="none" w:sz="0" w:space="0" w:color="auto"/>
              </w:divBdr>
              <w:divsChild>
                <w:div w:id="710375338">
                  <w:marLeft w:val="0"/>
                  <w:marRight w:val="0"/>
                  <w:marTop w:val="0"/>
                  <w:marBottom w:val="0"/>
                  <w:divBdr>
                    <w:top w:val="none" w:sz="0" w:space="0" w:color="auto"/>
                    <w:left w:val="none" w:sz="0" w:space="0" w:color="auto"/>
                    <w:bottom w:val="none" w:sz="0" w:space="0" w:color="auto"/>
                    <w:right w:val="none" w:sz="0" w:space="0" w:color="auto"/>
                  </w:divBdr>
                </w:div>
              </w:divsChild>
            </w:div>
            <w:div w:id="1538858713">
              <w:marLeft w:val="0"/>
              <w:marRight w:val="0"/>
              <w:marTop w:val="0"/>
              <w:marBottom w:val="0"/>
              <w:divBdr>
                <w:top w:val="none" w:sz="0" w:space="0" w:color="auto"/>
                <w:left w:val="none" w:sz="0" w:space="0" w:color="auto"/>
                <w:bottom w:val="none" w:sz="0" w:space="0" w:color="auto"/>
                <w:right w:val="none" w:sz="0" w:space="0" w:color="auto"/>
              </w:divBdr>
              <w:divsChild>
                <w:div w:id="2061199309">
                  <w:marLeft w:val="0"/>
                  <w:marRight w:val="0"/>
                  <w:marTop w:val="0"/>
                  <w:marBottom w:val="0"/>
                  <w:divBdr>
                    <w:top w:val="none" w:sz="0" w:space="0" w:color="auto"/>
                    <w:left w:val="none" w:sz="0" w:space="0" w:color="auto"/>
                    <w:bottom w:val="none" w:sz="0" w:space="0" w:color="auto"/>
                    <w:right w:val="none" w:sz="0" w:space="0" w:color="auto"/>
                  </w:divBdr>
                </w:div>
              </w:divsChild>
            </w:div>
            <w:div w:id="1707440397">
              <w:marLeft w:val="0"/>
              <w:marRight w:val="0"/>
              <w:marTop w:val="0"/>
              <w:marBottom w:val="0"/>
              <w:divBdr>
                <w:top w:val="none" w:sz="0" w:space="0" w:color="auto"/>
                <w:left w:val="none" w:sz="0" w:space="0" w:color="auto"/>
                <w:bottom w:val="none" w:sz="0" w:space="0" w:color="auto"/>
                <w:right w:val="none" w:sz="0" w:space="0" w:color="auto"/>
              </w:divBdr>
              <w:divsChild>
                <w:div w:id="574899127">
                  <w:marLeft w:val="0"/>
                  <w:marRight w:val="0"/>
                  <w:marTop w:val="0"/>
                  <w:marBottom w:val="0"/>
                  <w:divBdr>
                    <w:top w:val="none" w:sz="0" w:space="0" w:color="auto"/>
                    <w:left w:val="none" w:sz="0" w:space="0" w:color="auto"/>
                    <w:bottom w:val="none" w:sz="0" w:space="0" w:color="auto"/>
                    <w:right w:val="none" w:sz="0" w:space="0" w:color="auto"/>
                  </w:divBdr>
                </w:div>
              </w:divsChild>
            </w:div>
            <w:div w:id="1721856537">
              <w:marLeft w:val="0"/>
              <w:marRight w:val="0"/>
              <w:marTop w:val="0"/>
              <w:marBottom w:val="0"/>
              <w:divBdr>
                <w:top w:val="none" w:sz="0" w:space="0" w:color="auto"/>
                <w:left w:val="none" w:sz="0" w:space="0" w:color="auto"/>
                <w:bottom w:val="none" w:sz="0" w:space="0" w:color="auto"/>
                <w:right w:val="none" w:sz="0" w:space="0" w:color="auto"/>
              </w:divBdr>
              <w:divsChild>
                <w:div w:id="621351680">
                  <w:marLeft w:val="0"/>
                  <w:marRight w:val="0"/>
                  <w:marTop w:val="0"/>
                  <w:marBottom w:val="0"/>
                  <w:divBdr>
                    <w:top w:val="none" w:sz="0" w:space="0" w:color="auto"/>
                    <w:left w:val="none" w:sz="0" w:space="0" w:color="auto"/>
                    <w:bottom w:val="none" w:sz="0" w:space="0" w:color="auto"/>
                    <w:right w:val="none" w:sz="0" w:space="0" w:color="auto"/>
                  </w:divBdr>
                </w:div>
              </w:divsChild>
            </w:div>
            <w:div w:id="1743214490">
              <w:marLeft w:val="0"/>
              <w:marRight w:val="0"/>
              <w:marTop w:val="0"/>
              <w:marBottom w:val="0"/>
              <w:divBdr>
                <w:top w:val="none" w:sz="0" w:space="0" w:color="auto"/>
                <w:left w:val="none" w:sz="0" w:space="0" w:color="auto"/>
                <w:bottom w:val="none" w:sz="0" w:space="0" w:color="auto"/>
                <w:right w:val="none" w:sz="0" w:space="0" w:color="auto"/>
              </w:divBdr>
              <w:divsChild>
                <w:div w:id="1283459709">
                  <w:marLeft w:val="0"/>
                  <w:marRight w:val="0"/>
                  <w:marTop w:val="0"/>
                  <w:marBottom w:val="0"/>
                  <w:divBdr>
                    <w:top w:val="none" w:sz="0" w:space="0" w:color="auto"/>
                    <w:left w:val="none" w:sz="0" w:space="0" w:color="auto"/>
                    <w:bottom w:val="none" w:sz="0" w:space="0" w:color="auto"/>
                    <w:right w:val="none" w:sz="0" w:space="0" w:color="auto"/>
                  </w:divBdr>
                </w:div>
              </w:divsChild>
            </w:div>
            <w:div w:id="1813250948">
              <w:marLeft w:val="0"/>
              <w:marRight w:val="0"/>
              <w:marTop w:val="0"/>
              <w:marBottom w:val="0"/>
              <w:divBdr>
                <w:top w:val="none" w:sz="0" w:space="0" w:color="auto"/>
                <w:left w:val="none" w:sz="0" w:space="0" w:color="auto"/>
                <w:bottom w:val="none" w:sz="0" w:space="0" w:color="auto"/>
                <w:right w:val="none" w:sz="0" w:space="0" w:color="auto"/>
              </w:divBdr>
              <w:divsChild>
                <w:div w:id="83848259">
                  <w:marLeft w:val="0"/>
                  <w:marRight w:val="0"/>
                  <w:marTop w:val="0"/>
                  <w:marBottom w:val="0"/>
                  <w:divBdr>
                    <w:top w:val="none" w:sz="0" w:space="0" w:color="auto"/>
                    <w:left w:val="none" w:sz="0" w:space="0" w:color="auto"/>
                    <w:bottom w:val="none" w:sz="0" w:space="0" w:color="auto"/>
                    <w:right w:val="none" w:sz="0" w:space="0" w:color="auto"/>
                  </w:divBdr>
                </w:div>
              </w:divsChild>
            </w:div>
            <w:div w:id="1829982503">
              <w:marLeft w:val="0"/>
              <w:marRight w:val="0"/>
              <w:marTop w:val="0"/>
              <w:marBottom w:val="0"/>
              <w:divBdr>
                <w:top w:val="none" w:sz="0" w:space="0" w:color="auto"/>
                <w:left w:val="none" w:sz="0" w:space="0" w:color="auto"/>
                <w:bottom w:val="none" w:sz="0" w:space="0" w:color="auto"/>
                <w:right w:val="none" w:sz="0" w:space="0" w:color="auto"/>
              </w:divBdr>
              <w:divsChild>
                <w:div w:id="173888087">
                  <w:marLeft w:val="0"/>
                  <w:marRight w:val="0"/>
                  <w:marTop w:val="0"/>
                  <w:marBottom w:val="0"/>
                  <w:divBdr>
                    <w:top w:val="none" w:sz="0" w:space="0" w:color="auto"/>
                    <w:left w:val="none" w:sz="0" w:space="0" w:color="auto"/>
                    <w:bottom w:val="none" w:sz="0" w:space="0" w:color="auto"/>
                    <w:right w:val="none" w:sz="0" w:space="0" w:color="auto"/>
                  </w:divBdr>
                </w:div>
              </w:divsChild>
            </w:div>
            <w:div w:id="2041857339">
              <w:marLeft w:val="0"/>
              <w:marRight w:val="0"/>
              <w:marTop w:val="0"/>
              <w:marBottom w:val="0"/>
              <w:divBdr>
                <w:top w:val="none" w:sz="0" w:space="0" w:color="auto"/>
                <w:left w:val="none" w:sz="0" w:space="0" w:color="auto"/>
                <w:bottom w:val="none" w:sz="0" w:space="0" w:color="auto"/>
                <w:right w:val="none" w:sz="0" w:space="0" w:color="auto"/>
              </w:divBdr>
              <w:divsChild>
                <w:div w:id="1298607083">
                  <w:marLeft w:val="0"/>
                  <w:marRight w:val="0"/>
                  <w:marTop w:val="0"/>
                  <w:marBottom w:val="0"/>
                  <w:divBdr>
                    <w:top w:val="none" w:sz="0" w:space="0" w:color="auto"/>
                    <w:left w:val="none" w:sz="0" w:space="0" w:color="auto"/>
                    <w:bottom w:val="none" w:sz="0" w:space="0" w:color="auto"/>
                    <w:right w:val="none" w:sz="0" w:space="0" w:color="auto"/>
                  </w:divBdr>
                </w:div>
              </w:divsChild>
            </w:div>
            <w:div w:id="2121952347">
              <w:marLeft w:val="0"/>
              <w:marRight w:val="0"/>
              <w:marTop w:val="0"/>
              <w:marBottom w:val="0"/>
              <w:divBdr>
                <w:top w:val="none" w:sz="0" w:space="0" w:color="auto"/>
                <w:left w:val="none" w:sz="0" w:space="0" w:color="auto"/>
                <w:bottom w:val="none" w:sz="0" w:space="0" w:color="auto"/>
                <w:right w:val="none" w:sz="0" w:space="0" w:color="auto"/>
              </w:divBdr>
              <w:divsChild>
                <w:div w:id="5737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sg/books?id=cxew92azWWMC&amp;pg=PA369&amp;lpg=PA369&amp;dq=&#31616;&#21270;&#24335;&#27169;&#22411;&amp;source=bl&amp;ots=MW1tHfLJ7Q&amp;sig=ACfU3U0spcNhvoerAPD73NaI1ahwLkPZiw&amp;hl=zh-CN&amp;sa=X&amp;ved=2ahUKEwj89bKVk-bkAhVR73MBHeIkBesQ6AEwAXoECAkQAQ%20-%20v=onepage&amp;q=&#31616;&#21270;&#24335;&#27169;&#22411;&amp;f=fals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ruanyifeng.com/blog/2015/06/poisson-distribution.htm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2394</Words>
  <Characters>13652</Characters>
  <Application>Microsoft Office Word</Application>
  <DocSecurity>0</DocSecurity>
  <Lines>113</Lines>
  <Paragraphs>32</Paragraphs>
  <ScaleCrop>false</ScaleCrop>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Yingying</dc:creator>
  <cp:keywords/>
  <dc:description/>
  <cp:lastModifiedBy>Microsoft Office 用户</cp:lastModifiedBy>
  <cp:revision>1</cp:revision>
  <dcterms:created xsi:type="dcterms:W3CDTF">2019-09-23T03:53:00Z</dcterms:created>
  <dcterms:modified xsi:type="dcterms:W3CDTF">2019-12-24T02:27:00Z</dcterms:modified>
</cp:coreProperties>
</file>