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t xml:space="preserve">Defect Log — Job Application Tracker</w:t>
      </w:r>
    </w:p>
    <w:p>
      <w:pPr>
        <w:spacing w:after="80"/>
      </w:pPr>
      <w:r>
        <w:rPr>
          <w:b/>
          <w:bCs/>
        </w:rPr>
        <w:t xml:space="preserve">Student:</w:t>
      </w:r>
      <w:r>
        <w:t xml:space="preserve"> Stanley Okafor (101529064)</w:t>
      </w:r>
    </w:p>
    <w:p>
      <w:pPr>
        <w:spacing w:after="80"/>
      </w:pPr>
      <w:r>
        <w:rPr>
          <w:b/>
          <w:bCs/>
        </w:rPr>
        <w:t xml:space="preserve">Course:</w:t>
      </w:r>
      <w:r>
        <w:t xml:space="preserve"> COMP 2154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25%"/>
            <w:shd w:fill="EDEDED"/>
          </w:tcPr>
          <w:p>
            <w:r>
              <w:t xml:space="preserve">Defect ID</w:t>
            </w:r>
          </w:p>
        </w:tc>
        <w:tc>
          <w:tcPr>
            <w:tcW w:type="pct" w:w="25%"/>
            <w:shd w:fill="EDEDED"/>
          </w:tcPr>
          <w:p>
            <w:r>
              <w:t xml:space="preserve">Description</w:t>
            </w:r>
          </w:p>
        </w:tc>
        <w:tc>
          <w:tcPr>
            <w:tcW w:type="pct" w:w="25%"/>
            <w:shd w:fill="EDEDED"/>
          </w:tcPr>
          <w:p>
            <w:r>
              <w:t xml:space="preserve">Severity</w:t>
            </w:r>
          </w:p>
        </w:tc>
        <w:tc>
          <w:tcPr>
            <w:tcW w:type="pct" w:w="25%"/>
            <w:shd w:fill="EDEDED"/>
          </w:tcPr>
          <w:p>
            <w:r>
              <w:t xml:space="preserve">Status</w:t>
            </w:r>
          </w:p>
        </w:tc>
        <w:tc>
          <w:tcPr>
            <w:tcW w:type="pct" w:w="25%"/>
            <w:shd w:fill="EDEDED"/>
          </w:tcPr>
          <w:p>
            <w:r>
              <w:t xml:space="preserve">Fixed Week</w:t>
            </w:r>
          </w:p>
        </w:tc>
        <w:tc>
          <w:tcPr>
            <w:tcW w:type="pct" w:w="25%"/>
            <w:shd w:fill="EDEDED"/>
          </w:tcPr>
          <w:p>
            <w:r>
              <w:t xml:space="preserve">Notes</w:t>
            </w:r>
          </w:p>
        </w:tc>
      </w:tr>
      <w:tr>
        <w:tc>
          <w:tcPr>
            <w:tcW w:type="pct" w:w="25%"/>
          </w:tcPr>
          <w:p>
            <w:r>
              <w:t xml:space="preserve">DEF-001</w:t>
            </w:r>
          </w:p>
        </w:tc>
        <w:tc>
          <w:tcPr>
            <w:tcW w:type="pct" w:w="25%"/>
          </w:tcPr>
          <w:p>
            <w:r>
              <w:t xml:space="preserve">Dashboard did not expose edit functionality for existing applications</w:t>
            </w:r>
          </w:p>
        </w:tc>
        <w:tc>
          <w:tcPr>
            <w:tcW w:type="pct" w:w="25%"/>
          </w:tcPr>
          <w:p>
            <w:r>
              <w:t xml:space="preserve">Major</w:t>
            </w:r>
          </w:p>
        </w:tc>
        <w:tc>
          <w:tcPr>
            <w:tcW w:type="pct" w:w="25%"/>
          </w:tcPr>
          <w:p>
            <w:r>
              <w:t xml:space="preserve">✅ Resolved</w:t>
            </w:r>
          </w:p>
        </w:tc>
        <w:tc>
          <w:tcPr>
            <w:tcW w:type="pct" w:w="25%"/>
          </w:tcPr>
          <w:p>
            <w:r>
              <w:t xml:space="preserve">Week 10</w:t>
            </w:r>
          </w:p>
        </w:tc>
        <w:tc>
          <w:tcPr>
            <w:tcW w:type="pct" w:w="25%"/>
          </w:tcPr>
          <w:p>
            <w:r>
              <w:t xml:space="preserve">Edit button added to table; form re-used for updates via PUT endpoint</w:t>
            </w:r>
          </w:p>
        </w:tc>
      </w:tr>
      <w:tr>
        <w:tc>
          <w:tcPr>
            <w:tcW w:type="pct" w:w="25%"/>
          </w:tcPr>
          <w:p>
            <w:r>
              <w:t xml:space="preserve">DEF-002</w:t>
            </w:r>
          </w:p>
        </w:tc>
        <w:tc>
          <w:tcPr>
            <w:tcW w:type="pct" w:w="25%"/>
          </w:tcPr>
          <w:p>
            <w:r>
              <w:t xml:space="preserve">Dashboard did not expose delete functionality</w:t>
            </w:r>
          </w:p>
        </w:tc>
        <w:tc>
          <w:tcPr>
            <w:tcW w:type="pct" w:w="25%"/>
          </w:tcPr>
          <w:p>
            <w:r>
              <w:t xml:space="preserve">Major</w:t>
            </w:r>
          </w:p>
        </w:tc>
        <w:tc>
          <w:tcPr>
            <w:tcW w:type="pct" w:w="25%"/>
          </w:tcPr>
          <w:p>
            <w:r>
              <w:t xml:space="preserve">✅ Resolved</w:t>
            </w:r>
          </w:p>
        </w:tc>
        <w:tc>
          <w:tcPr>
            <w:tcW w:type="pct" w:w="25%"/>
          </w:tcPr>
          <w:p>
            <w:r>
              <w:t xml:space="preserve">Week 10</w:t>
            </w:r>
          </w:p>
        </w:tc>
        <w:tc>
          <w:tcPr>
            <w:tcW w:type="pct" w:w="25%"/>
          </w:tcPr>
          <w:p>
            <w:r>
              <w:t xml:space="preserve">Delete button with confirmation added to each table row</w:t>
            </w:r>
          </w:p>
        </w:tc>
      </w:tr>
      <w:tr>
        <w:tc>
          <w:tcPr>
            <w:tcW w:type="pct" w:w="25%"/>
          </w:tcPr>
          <w:p>
            <w:r>
              <w:t xml:space="preserve">DEF-003</w:t>
            </w:r>
          </w:p>
        </w:tc>
        <w:tc>
          <w:tcPr>
            <w:tcW w:type="pct" w:w="25%"/>
          </w:tcPr>
          <w:p>
            <w:r>
              <w:t xml:space="preserve">Data layer uses JSON file instead of PostgreSQL</w:t>
            </w:r>
          </w:p>
        </w:tc>
        <w:tc>
          <w:tcPr>
            <w:tcW w:type="pct" w:w="25%"/>
          </w:tcPr>
          <w:p>
            <w:r>
              <w:t xml:space="preserve">Minor</w:t>
            </w:r>
          </w:p>
        </w:tc>
        <w:tc>
          <w:tcPr>
            <w:tcW w:type="pct" w:w="25%"/>
          </w:tcPr>
          <w:p>
            <w:r>
              <w:t xml:space="preserve">Open</w:t>
            </w:r>
          </w:p>
        </w:tc>
        <w:tc>
          <w:tcPr>
            <w:tcW w:type="pct" w:w="25%"/>
          </w:tcPr>
          <w:p>
            <w:r>
              <w:t xml:space="preserve">—</w:t>
            </w:r>
          </w:p>
        </w:tc>
        <w:tc>
          <w:tcPr>
            <w:tcW w:type="pct" w:w="25%"/>
          </w:tcPr>
          <w:p>
            <w:r>
              <w:t xml:space="preserve">Temporary implementation to unblock development; PostgreSQL migration planned for Week 11 deployment phase</w:t>
            </w:r>
          </w:p>
        </w:tc>
      </w:tr>
      <w:tr>
        <w:tc>
          <w:tcPr>
            <w:tcW w:type="pct" w:w="25%"/>
          </w:tcPr>
          <w:p>
            <w:r>
              <w:t xml:space="preserve">DEF-004</w:t>
            </w:r>
          </w:p>
        </w:tc>
        <w:tc>
          <w:tcPr>
            <w:tcW w:type="pct" w:w="25%"/>
          </w:tcPr>
          <w:p>
            <w:r>
              <w:rPr>
                <w:rFonts w:ascii="Consolas" w:cs="Consolas" w:eastAsia="Consolas" w:hAnsi="Consolas"/>
              </w:rPr>
              <w:t xml:space="preserve">comparePassword</w:t>
            </w:r>
            <w:r>
              <w:t xml:space="preserve"> not awaited in login route — all passwords accepted</w:t>
            </w:r>
          </w:p>
        </w:tc>
        <w:tc>
          <w:tcPr>
            <w:tcW w:type="pct" w:w="25%"/>
          </w:tcPr>
          <w:p>
            <w:r>
              <w:t xml:space="preserve">🔴 Critical</w:t>
            </w:r>
          </w:p>
        </w:tc>
        <w:tc>
          <w:tcPr>
            <w:tcW w:type="pct" w:w="25%"/>
          </w:tcPr>
          <w:p>
            <w:r>
              <w:t xml:space="preserve">✅ Resolved</w:t>
            </w:r>
          </w:p>
        </w:tc>
        <w:tc>
          <w:tcPr>
            <w:tcW w:type="pct" w:w="25%"/>
          </w:tcPr>
          <w:p>
            <w:r>
              <w:t xml:space="preserve">Week 10</w:t>
            </w:r>
          </w:p>
        </w:tc>
        <w:tc>
          <w:tcPr>
            <w:tcW w:type="pct" w:w="25%"/>
          </w:tcPr>
          <w:p>
            <w:r>
              <w:rPr>
                <w:rFonts w:ascii="Consolas" w:cs="Consolas" w:eastAsia="Consolas" w:hAnsi="Consolas"/>
              </w:rPr>
              <w:t xml:space="preserve">authRoutes.js</w:t>
            </w:r>
            <w:r>
              <w:t xml:space="preserve"> missing </w:t>
            </w:r>
            <w:r>
              <w:rPr>
                <w:rFonts w:ascii="Consolas" w:cs="Consolas" w:eastAsia="Consolas" w:hAnsi="Consolas"/>
              </w:rPr>
              <w:t xml:space="preserve">await</w:t>
            </w:r>
            <w:r>
              <w:t xml:space="preserve"> after bcrypt migration; caught by TC-AUTH-005 automated test</w:t>
            </w:r>
          </w:p>
        </w:tc>
      </w:tr>
      <w:tr>
        <w:tc>
          <w:tcPr>
            <w:tcW w:type="pct" w:w="25%"/>
          </w:tcPr>
          <w:p>
            <w:r>
              <w:t xml:space="preserve">DEF-005</w:t>
            </w:r>
          </w:p>
        </w:tc>
        <w:tc>
          <w:tcPr>
            <w:tcW w:type="pct" w:w="25%"/>
          </w:tcPr>
          <w:p>
            <w:r>
              <w:t xml:space="preserve">Password hashing used SHA256 (not bcrypt) — insecure</w:t>
            </w:r>
          </w:p>
        </w:tc>
        <w:tc>
          <w:tcPr>
            <w:tcW w:type="pct" w:w="25%"/>
          </w:tcPr>
          <w:p>
            <w:r>
              <w:t xml:space="preserve">🔴 Critical</w:t>
            </w:r>
          </w:p>
        </w:tc>
        <w:tc>
          <w:tcPr>
            <w:tcW w:type="pct" w:w="25%"/>
          </w:tcPr>
          <w:p>
            <w:r>
              <w:t xml:space="preserve">✅ Resolved</w:t>
            </w:r>
          </w:p>
        </w:tc>
        <w:tc>
          <w:tcPr>
            <w:tcW w:type="pct" w:w="25%"/>
          </w:tcPr>
          <w:p>
            <w:r>
              <w:t xml:space="preserve">Week 10</w:t>
            </w:r>
          </w:p>
        </w:tc>
        <w:tc>
          <w:tcPr>
            <w:tcW w:type="pct" w:w="25%"/>
          </w:tcPr>
          <w:p>
            <w:r>
              <w:t xml:space="preserve">Migrated </w:t>
            </w:r>
            <w:r>
              <w:rPr>
                <w:rFonts w:ascii="Consolas" w:cs="Consolas" w:eastAsia="Consolas" w:hAnsi="Consolas"/>
              </w:rPr>
              <w:t xml:space="preserve">password.js</w:t>
            </w:r>
            <w:r>
              <w:t xml:space="preserve"> to </w:t>
            </w:r>
            <w:r>
              <w:rPr>
                <w:rFonts w:ascii="Consolas" w:cs="Consolas" w:eastAsia="Consolas" w:hAnsi="Consolas"/>
              </w:rPr>
              <w:t xml:space="preserve">bcryptjs</w:t>
            </w:r>
            <w:r>
              <w:t xml:space="preserve"> with cost factor 12; old database cleared</w:t>
            </w:r>
          </w:p>
        </w:tc>
      </w:tr>
      <w:tr>
        <w:tc>
          <w:tcPr>
            <w:tcW w:type="pct" w:w="25%"/>
          </w:tcPr>
          <w:p>
            <w:r>
              <w:t xml:space="preserve">DEF-006</w:t>
            </w:r>
          </w:p>
        </w:tc>
        <w:tc>
          <w:tcPr>
            <w:tcW w:type="pct" w:w="25%"/>
          </w:tcPr>
          <w:p>
            <w:r>
              <w:t xml:space="preserve">API base URL hardcoded as </w:t>
            </w:r>
            <w:r>
              <w:rPr>
                <w:rFonts w:ascii="Consolas" w:cs="Consolas" w:eastAsia="Consolas" w:hAnsi="Consolas"/>
              </w:rPr>
              <w:t xml:space="preserve">http://localhost:5000</w:t>
            </w:r>
            <w:r>
              <w:t xml:space="preserve"> in frontend</w:t>
            </w:r>
          </w:p>
        </w:tc>
        <w:tc>
          <w:tcPr>
            <w:tcW w:type="pct" w:w="25%"/>
          </w:tcPr>
          <w:p>
            <w:r>
              <w:t xml:space="preserve">Minor</w:t>
            </w:r>
          </w:p>
        </w:tc>
        <w:tc>
          <w:tcPr>
            <w:tcW w:type="pct" w:w="25%"/>
          </w:tcPr>
          <w:p>
            <w:r>
              <w:t xml:space="preserve">✅ Resolved</w:t>
            </w:r>
          </w:p>
        </w:tc>
        <w:tc>
          <w:tcPr>
            <w:tcW w:type="pct" w:w="25%"/>
          </w:tcPr>
          <w:p>
            <w:r>
              <w:t xml:space="preserve">Week 10</w:t>
            </w:r>
          </w:p>
        </w:tc>
        <w:tc>
          <w:tcPr>
            <w:tcW w:type="pct" w:w="25%"/>
          </w:tcPr>
          <w:p>
            <w:r>
              <w:t xml:space="preserve">Changed to </w:t>
            </w:r>
            <w:r>
              <w:rPr>
                <w:rFonts w:ascii="Consolas" w:cs="Consolas" w:eastAsia="Consolas" w:hAnsi="Consolas"/>
              </w:rPr>
              <w:t xml:space="preserve">import.meta.env.VITE_API_URL</w:t>
            </w:r>
            <w:r>
              <w:t xml:space="preserve"> with localhost fallback; </w:t>
            </w:r>
            <w:r>
              <w:rPr>
                <w:rFonts w:ascii="Consolas" w:cs="Consolas" w:eastAsia="Consolas" w:hAnsi="Consolas"/>
              </w:rPr>
              <w:t xml:space="preserve">.env.example</w:t>
            </w:r>
            <w:r>
              <w:t xml:space="preserve"> added</w:t>
            </w:r>
          </w:p>
        </w:tc>
      </w:tr>
      <w:tr>
        <w:tc>
          <w:tcPr>
            <w:tcW w:type="pct" w:w="25%"/>
          </w:tcPr>
          <w:p>
            <w:r>
              <w:t xml:space="preserve">DEF-007</w:t>
            </w:r>
          </w:p>
        </w:tc>
        <w:tc>
          <w:tcPr>
            <w:tcW w:type="pct" w:w="25%"/>
          </w:tcPr>
          <w:p>
            <w:r>
              <w:t xml:space="preserve">No filter or search UI on dashboard</w:t>
            </w:r>
          </w:p>
        </w:tc>
        <w:tc>
          <w:tcPr>
            <w:tcW w:type="pct" w:w="25%"/>
          </w:tcPr>
          <w:p>
            <w:r>
              <w:t xml:space="preserve">Minor</w:t>
            </w:r>
          </w:p>
        </w:tc>
        <w:tc>
          <w:tcPr>
            <w:tcW w:type="pct" w:w="25%"/>
          </w:tcPr>
          <w:p>
            <w:r>
              <w:t xml:space="preserve">✅ Resolved</w:t>
            </w:r>
          </w:p>
        </w:tc>
        <w:tc>
          <w:tcPr>
            <w:tcW w:type="pct" w:w="25%"/>
          </w:tcPr>
          <w:p>
            <w:r>
              <w:t xml:space="preserve">Week 10</w:t>
            </w:r>
          </w:p>
        </w:tc>
        <w:tc>
          <w:tcPr>
            <w:tcW w:type="pct" w:w="25%"/>
          </w:tcPr>
          <w:p>
            <w:r>
              <w:t xml:space="preserve">Status filter dropdown and company/role search input added; react to changes via </w:t>
            </w:r>
            <w:r>
              <w:rPr>
                <w:rFonts w:ascii="Consolas" w:cs="Consolas" w:eastAsia="Consolas" w:hAnsi="Consolas"/>
              </w:rPr>
              <w:t xml:space="preserve">useEffect</w:t>
            </w:r>
            <w:r>
              <w:t xml:space="preserve"> dependency</w:t>
            </w:r>
          </w:p>
        </w:tc>
      </w:tr>
    </w:tbl>
    <w:p/>
    <w:p/>
    <w:p/>
    <w:p>
      <w:pPr>
        <w:pStyle w:val="Heading2"/>
        <w:spacing w:after="120" w:before="240"/>
      </w:pPr>
      <w:r>
        <w:t xml:space="preserve">Defect Resolution Summary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EDEDED"/>
          </w:tcPr>
          <w:p>
            <w:r>
              <w:t xml:space="preserve">Priority</w:t>
            </w:r>
          </w:p>
        </w:tc>
        <w:tc>
          <w:tcPr>
            <w:tcW w:type="pct" w:w="25%"/>
            <w:shd w:fill="EDEDED"/>
          </w:tcPr>
          <w:p>
            <w:r>
              <w:t xml:space="preserve">Total Found</w:t>
            </w:r>
          </w:p>
        </w:tc>
        <w:tc>
          <w:tcPr>
            <w:tcW w:type="pct" w:w="25%"/>
            <w:shd w:fill="EDEDED"/>
          </w:tcPr>
          <w:p>
            <w:r>
              <w:t xml:space="preserve">Resolved</w:t>
            </w:r>
          </w:p>
        </w:tc>
        <w:tc>
          <w:tcPr>
            <w:tcW w:type="pct" w:w="25%"/>
            <w:shd w:fill="EDEDED"/>
          </w:tcPr>
          <w:p>
            <w:r>
              <w:t xml:space="preserve">Open</w:t>
            </w:r>
          </w:p>
        </w:tc>
      </w:tr>
      <w:tr>
        <w:tc>
          <w:tcPr>
            <w:tcW w:type="pct" w:w="25%"/>
          </w:tcPr>
          <w:p>
            <w:r>
              <w:t xml:space="preserve">🔴 Critical</w:t>
            </w:r>
          </w:p>
        </w:tc>
        <w:tc>
          <w:tcPr>
            <w:tcW w:type="pct" w:w="25%"/>
          </w:tcPr>
          <w:p>
            <w:r>
              <w:t xml:space="preserve">2</w:t>
            </w:r>
          </w:p>
        </w:tc>
        <w:tc>
          <w:tcPr>
            <w:tcW w:type="pct" w:w="25%"/>
          </w:tcPr>
          <w:p>
            <w:r>
              <w:t xml:space="preserve">2</w:t>
            </w:r>
          </w:p>
        </w:tc>
        <w:tc>
          <w:tcPr>
            <w:tcW w:type="pct" w:w="25%"/>
          </w:tcPr>
          <w:p>
            <w:r>
              <w:t xml:space="preserve">0</w:t>
            </w:r>
          </w:p>
        </w:tc>
      </w:tr>
      <w:tr>
        <w:tc>
          <w:tcPr>
            <w:tcW w:type="pct" w:w="25%"/>
          </w:tcPr>
          <w:p>
            <w:r>
              <w:t xml:space="preserve">🟠 Major</w:t>
            </w:r>
          </w:p>
        </w:tc>
        <w:tc>
          <w:tcPr>
            <w:tcW w:type="pct" w:w="25%"/>
          </w:tcPr>
          <w:p>
            <w:r>
              <w:t xml:space="preserve">2</w:t>
            </w:r>
          </w:p>
        </w:tc>
        <w:tc>
          <w:tcPr>
            <w:tcW w:type="pct" w:w="25%"/>
          </w:tcPr>
          <w:p>
            <w:r>
              <w:t xml:space="preserve">2</w:t>
            </w:r>
          </w:p>
        </w:tc>
        <w:tc>
          <w:tcPr>
            <w:tcW w:type="pct" w:w="25%"/>
          </w:tcPr>
          <w:p>
            <w:r>
              <w:t xml:space="preserve">0</w:t>
            </w:r>
          </w:p>
        </w:tc>
      </w:tr>
      <w:tr>
        <w:tc>
          <w:tcPr>
            <w:tcW w:type="pct" w:w="25%"/>
          </w:tcPr>
          <w:p>
            <w:r>
              <w:t xml:space="preserve">🟡 Minor</w:t>
            </w:r>
          </w:p>
        </w:tc>
        <w:tc>
          <w:tcPr>
            <w:tcW w:type="pct" w:w="25%"/>
          </w:tcPr>
          <w:p>
            <w:r>
              <w:t xml:space="preserve">3</w:t>
            </w:r>
          </w:p>
        </w:tc>
        <w:tc>
          <w:tcPr>
            <w:tcW w:type="pct" w:w="25%"/>
          </w:tcPr>
          <w:p>
            <w:r>
              <w:t xml:space="preserve">2</w:t>
            </w:r>
          </w:p>
        </w:tc>
        <w:tc>
          <w:tcPr>
            <w:tcW w:type="pct" w:w="25%"/>
          </w:tcPr>
          <w:p>
            <w:r>
              <w:t xml:space="preserve">1</w:t>
            </w:r>
          </w:p>
        </w:tc>
      </w:tr>
      <w:tr>
        <w:tc>
          <w:tcPr>
            <w:tcW w:type="pct" w:w="25%"/>
          </w:tcPr>
          <w:p>
            <w:r>
              <w:rPr>
                <w:b/>
                <w:bCs/>
              </w:rPr>
              <w:t xml:space="preserve">Total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7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6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1</w:t>
            </w:r>
          </w:p>
        </w:tc>
      </w:tr>
    </w:tbl>
    <w:p/>
    <w:p>
      <w:pPr>
        <w:spacing w:after="80"/>
      </w:pPr>
      <w:r>
        <w:t xml:space="preserve">All critical and major defects have been resolved. The remaining open defect (DEF-003, JSON vs PostgreSQL) is tracked and scheduled for the deployment phase (Week 11).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Defect Log - Job Application Tracker</dc:title>
  <dc:creator>Codex</dc:creator>
  <cp:lastModifiedBy>Un-named</cp:lastModifiedBy>
  <cp:revision>1</cp:revision>
  <dcterms:created xsi:type="dcterms:W3CDTF">2026-04-15T21:04:13.030Z</dcterms:created>
  <dcterms:modified xsi:type="dcterms:W3CDTF">2026-04-15T21:04:13.030Z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