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49B2" w14:textId="6FEF4BC1" w:rsidR="0044422E" w:rsidRPr="00D20F25" w:rsidRDefault="00776931" w:rsidP="5ABC12B7">
      <w:pPr>
        <w:pStyle w:val="Default"/>
        <w:rPr>
          <w:rFonts w:asciiTheme="majorHAnsi" w:eastAsiaTheme="majorEastAsia" w:hAnsiTheme="majorHAnsi" w:cstheme="majorBidi"/>
          <w:color w:val="2D74B5"/>
          <w:sz w:val="28"/>
          <w:szCs w:val="28"/>
          <w:lang w:val="en-CA"/>
        </w:rPr>
      </w:pPr>
      <w:r w:rsidRPr="00D20F25">
        <w:rPr>
          <w:rFonts w:asciiTheme="majorHAnsi" w:eastAsiaTheme="majorEastAsia" w:hAnsiTheme="majorHAnsi" w:cstheme="majorBidi"/>
          <w:color w:val="2D74B5"/>
          <w:sz w:val="28"/>
          <w:szCs w:val="28"/>
          <w:lang w:val="en-CA"/>
        </w:rPr>
        <w:t>The Bid Calculation</w:t>
      </w:r>
    </w:p>
    <w:p w14:paraId="5D6D3405" w14:textId="77777777" w:rsidR="0044422E" w:rsidRPr="00D20F25" w:rsidRDefault="0044422E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</w:p>
    <w:p w14:paraId="03A3AD19" w14:textId="269A5C0C" w:rsidR="00971A26" w:rsidRDefault="00971A26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  <w:t>Objecti</w:t>
      </w:r>
      <w:r w:rsidR="00776931" w:rsidRPr="00D20F25"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  <w:t>ve</w:t>
      </w:r>
    </w:p>
    <w:p w14:paraId="23CEB334" w14:textId="77777777" w:rsidR="00452F4A" w:rsidRPr="00D20F25" w:rsidRDefault="00452F4A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</w:p>
    <w:p w14:paraId="39150A14" w14:textId="77777777" w:rsidR="00A47559" w:rsidRDefault="00776931" w:rsidP="5ABC12B7">
      <w:pPr>
        <w:pStyle w:val="Default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The purpose of the following exercise is to assess a programmer's ability to develop a minimum viable product.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Note that this exercise does not simulate a real work situation. The aim is to develop a complete software without </w:t>
      </w:r>
      <w:r w:rsidR="00D20F25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using 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large templates.</w:t>
      </w:r>
    </w:p>
    <w:p w14:paraId="1B59BC30" w14:textId="77777777" w:rsidR="00A47559" w:rsidRDefault="00A47559" w:rsidP="5ABC12B7">
      <w:pPr>
        <w:pStyle w:val="Default"/>
        <w:rPr>
          <w:rFonts w:asciiTheme="majorHAnsi" w:eastAsiaTheme="majorEastAsia" w:hAnsiTheme="majorHAnsi" w:cstheme="majorBidi"/>
          <w:sz w:val="22"/>
          <w:szCs w:val="22"/>
          <w:lang w:val="en-CA"/>
        </w:rPr>
      </w:pPr>
    </w:p>
    <w:p w14:paraId="3433625E" w14:textId="13216539" w:rsidR="5ABC12B7" w:rsidRDefault="00A47559" w:rsidP="5ABC12B7">
      <w:pPr>
        <w:pStyle w:val="Default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A47559">
        <w:rPr>
          <w:rFonts w:asciiTheme="majorHAnsi" w:eastAsiaTheme="majorEastAsia" w:hAnsiTheme="majorHAnsi" w:cstheme="majorBidi"/>
          <w:sz w:val="22"/>
          <w:szCs w:val="22"/>
          <w:lang w:val="en-CA"/>
        </w:rPr>
        <w:t>Important</w:t>
      </w: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: </w:t>
      </w:r>
      <w:r w:rsidR="00776931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The </w:t>
      </w:r>
      <w:r w:rsidR="003C6C51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programming language to use </w:t>
      </w:r>
      <w:r w:rsidR="00CD18F9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is the </w:t>
      </w: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one specified in the job description</w:t>
      </w:r>
      <w:r w:rsidR="00776931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.</w:t>
      </w:r>
    </w:p>
    <w:p w14:paraId="1DD703A1" w14:textId="77777777" w:rsidR="000A6B06" w:rsidRDefault="000A6B06" w:rsidP="5ABC12B7">
      <w:pPr>
        <w:pStyle w:val="Default"/>
        <w:rPr>
          <w:rFonts w:asciiTheme="majorHAnsi" w:eastAsiaTheme="majorEastAsia" w:hAnsiTheme="majorHAnsi" w:cstheme="majorBidi"/>
          <w:sz w:val="22"/>
          <w:szCs w:val="22"/>
          <w:lang w:val="en-CA"/>
        </w:rPr>
      </w:pPr>
    </w:p>
    <w:p w14:paraId="5AA16CB9" w14:textId="7759719E" w:rsidR="000A6B06" w:rsidRDefault="000A6B06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  <w:r w:rsidRPr="000A6B06"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  <w:t>Evaluation Criteria</w:t>
      </w:r>
    </w:p>
    <w:p w14:paraId="44611CF6" w14:textId="77777777" w:rsidR="00452F4A" w:rsidRDefault="00452F4A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</w:p>
    <w:p w14:paraId="31ECEB94" w14:textId="691649C1" w:rsidR="00E10C55" w:rsidRPr="000A6B06" w:rsidRDefault="00E10C55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The final solution will be evaluated according to the following criteria:</w:t>
      </w:r>
    </w:p>
    <w:p w14:paraId="7216E25E" w14:textId="686EA1C6" w:rsidR="000A6B06" w:rsidRDefault="00D66773" w:rsidP="000A6B06">
      <w:pPr>
        <w:pStyle w:val="Default"/>
        <w:numPr>
          <w:ilvl w:val="0"/>
          <w:numId w:val="6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Code clarity</w:t>
      </w:r>
    </w:p>
    <w:p w14:paraId="19EACDFE" w14:textId="30634E11" w:rsidR="00D66773" w:rsidRDefault="00506D82" w:rsidP="000A6B06">
      <w:pPr>
        <w:pStyle w:val="Default"/>
        <w:numPr>
          <w:ilvl w:val="0"/>
          <w:numId w:val="6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Algorithm</w:t>
      </w:r>
      <w:r w:rsidR="004F6D90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and </w:t>
      </w: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c</w:t>
      </w:r>
      <w:r w:rsidR="00D66773">
        <w:rPr>
          <w:rFonts w:asciiTheme="majorHAnsi" w:eastAsiaTheme="majorEastAsia" w:hAnsiTheme="majorHAnsi" w:cstheme="majorBidi"/>
          <w:sz w:val="22"/>
          <w:szCs w:val="22"/>
          <w:lang w:val="en-CA"/>
        </w:rPr>
        <w:t>alculation result</w:t>
      </w:r>
    </w:p>
    <w:p w14:paraId="1BE66F19" w14:textId="3CC4E481" w:rsidR="00E10C55" w:rsidRPr="00E10C55" w:rsidRDefault="00894ED8" w:rsidP="00E10C55">
      <w:pPr>
        <w:pStyle w:val="Default"/>
        <w:numPr>
          <w:ilvl w:val="0"/>
          <w:numId w:val="6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Use of </w:t>
      </w:r>
      <w:r w:rsidR="00E10C55">
        <w:rPr>
          <w:rFonts w:asciiTheme="majorHAnsi" w:eastAsiaTheme="majorEastAsia" w:hAnsiTheme="majorHAnsi" w:cstheme="majorBidi"/>
          <w:sz w:val="22"/>
          <w:szCs w:val="22"/>
          <w:lang w:val="en-CA"/>
        </w:rPr>
        <w:t>Object</w:t>
      </w: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-Oriented</w:t>
      </w:r>
      <w:r w:rsidR="00E10C5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Programming principles</w:t>
      </w:r>
    </w:p>
    <w:p w14:paraId="723A98C2" w14:textId="4F02A005" w:rsidR="008112FB" w:rsidRDefault="008112FB" w:rsidP="000A6B06">
      <w:pPr>
        <w:pStyle w:val="Default"/>
        <w:numPr>
          <w:ilvl w:val="0"/>
          <w:numId w:val="6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Implementation of good </w:t>
      </w:r>
      <w:r w:rsidR="002B0C95">
        <w:rPr>
          <w:rFonts w:asciiTheme="majorHAnsi" w:eastAsiaTheme="majorEastAsia" w:hAnsiTheme="majorHAnsi" w:cstheme="majorBidi"/>
          <w:sz w:val="22"/>
          <w:szCs w:val="22"/>
          <w:lang w:val="en-CA"/>
        </w:rPr>
        <w:t>software architecture practices</w:t>
      </w:r>
      <w:r w:rsidR="006467B9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(Clean Code, SOLID, KISS, DRY, etc.)</w:t>
      </w:r>
    </w:p>
    <w:p w14:paraId="3B0F80E2" w14:textId="56E67B96" w:rsidR="002B0C95" w:rsidRPr="00744271" w:rsidRDefault="003601B7" w:rsidP="00744271">
      <w:pPr>
        <w:pStyle w:val="Default"/>
        <w:numPr>
          <w:ilvl w:val="0"/>
          <w:numId w:val="6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Proper </w:t>
      </w:r>
      <w:r w:rsidR="00894ED8">
        <w:rPr>
          <w:rFonts w:asciiTheme="majorHAnsi" w:eastAsiaTheme="majorEastAsia" w:hAnsiTheme="majorHAnsi" w:cstheme="majorBidi"/>
          <w:sz w:val="22"/>
          <w:szCs w:val="22"/>
          <w:lang w:val="en-CA"/>
        </w:rPr>
        <w:t>use</w:t>
      </w:r>
      <w:r w:rsidR="002B0C9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of </w:t>
      </w:r>
      <w:r w:rsidR="006467B9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frameworks, </w:t>
      </w:r>
      <w:r w:rsidR="00506D82">
        <w:rPr>
          <w:rFonts w:asciiTheme="majorHAnsi" w:eastAsiaTheme="majorEastAsia" w:hAnsiTheme="majorHAnsi" w:cstheme="majorBidi"/>
          <w:sz w:val="22"/>
          <w:szCs w:val="22"/>
          <w:lang w:val="en-CA"/>
        </w:rPr>
        <w:t>tools,</w:t>
      </w:r>
      <w:r w:rsidR="006467B9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and </w:t>
      </w:r>
      <w:r w:rsidR="002B0C9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libraries </w:t>
      </w:r>
      <w:r w:rsidR="003E575C">
        <w:rPr>
          <w:rFonts w:asciiTheme="majorHAnsi" w:eastAsiaTheme="majorEastAsia" w:hAnsiTheme="majorHAnsi" w:cstheme="majorBidi"/>
          <w:sz w:val="22"/>
          <w:szCs w:val="22"/>
          <w:lang w:val="en-CA"/>
        </w:rPr>
        <w:t>related</w:t>
      </w:r>
      <w:r w:rsidR="002B0C9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to the programming language</w:t>
      </w:r>
      <w:r w:rsidR="00D23BB2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used</w:t>
      </w:r>
    </w:p>
    <w:p w14:paraId="47650E1D" w14:textId="77777777" w:rsidR="00776931" w:rsidRPr="00D20F25" w:rsidRDefault="00776931" w:rsidP="5ABC12B7">
      <w:pPr>
        <w:pStyle w:val="Default"/>
        <w:rPr>
          <w:rFonts w:asciiTheme="majorHAnsi" w:eastAsiaTheme="majorEastAsia" w:hAnsiTheme="majorHAnsi" w:cstheme="majorBidi"/>
          <w:sz w:val="22"/>
          <w:szCs w:val="22"/>
          <w:lang w:val="en-CA"/>
        </w:rPr>
      </w:pPr>
    </w:p>
    <w:p w14:paraId="1E8AEB6D" w14:textId="212D9FCF" w:rsidR="5ABC12B7" w:rsidRDefault="00220AF7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  <w:t>Task</w:t>
      </w:r>
      <w:r w:rsidR="00776931" w:rsidRPr="00D20F25"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  <w:t xml:space="preserve"> Description</w:t>
      </w:r>
    </w:p>
    <w:p w14:paraId="49FFC501" w14:textId="77777777" w:rsidR="00452F4A" w:rsidRPr="00D20F25" w:rsidRDefault="00452F4A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</w:p>
    <w:p w14:paraId="552FD05D" w14:textId="3D8F0587" w:rsidR="5ABC12B7" w:rsidRPr="00D20F25" w:rsidRDefault="29DD93B4" w:rsidP="29DD93B4">
      <w:pPr>
        <w:pStyle w:val="Default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Develop </w:t>
      </w:r>
      <w:r w:rsidR="00744271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an application </w:t>
      </w: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that will allow a </w:t>
      </w:r>
      <w:r w:rsidR="00630AC7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buyer </w:t>
      </w: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to calculate </w:t>
      </w:r>
      <w:r w:rsidR="00744271">
        <w:rPr>
          <w:rFonts w:asciiTheme="majorHAnsi" w:eastAsiaTheme="majorEastAsia" w:hAnsiTheme="majorHAnsi" w:cstheme="majorBidi"/>
          <w:sz w:val="22"/>
          <w:szCs w:val="22"/>
          <w:lang w:val="en-CA"/>
        </w:rPr>
        <w:t>the total price of a vehicle</w:t>
      </w: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at a car auction. The software must consider several costs in the calculation. The buyer must pay various fees for the transaction, all of which are calculated on the </w:t>
      </w:r>
      <w:r w:rsidR="00744271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base price </w:t>
      </w: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amount. The total amount calculated is the </w:t>
      </w:r>
      <w:r w:rsidR="00EE134B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winning </w:t>
      </w: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bid amount (vehicle </w:t>
      </w:r>
      <w:r w:rsidR="00630AC7">
        <w:rPr>
          <w:rFonts w:asciiTheme="majorHAnsi" w:eastAsiaTheme="majorEastAsia" w:hAnsiTheme="majorHAnsi" w:cstheme="majorBidi"/>
          <w:sz w:val="22"/>
          <w:szCs w:val="22"/>
          <w:lang w:val="en-CA"/>
        </w:rPr>
        <w:t>base price</w:t>
      </w: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) plus the fees based on the vehicle </w:t>
      </w:r>
      <w:r w:rsidR="00630AC7">
        <w:rPr>
          <w:rFonts w:asciiTheme="majorHAnsi" w:eastAsiaTheme="majorEastAsia" w:hAnsiTheme="majorHAnsi" w:cstheme="majorBidi"/>
          <w:sz w:val="22"/>
          <w:szCs w:val="22"/>
          <w:lang w:val="en-CA"/>
        </w:rPr>
        <w:t>price and vehicle type</w:t>
      </w: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. Fees must be </w:t>
      </w:r>
      <w:r w:rsidR="00E77F04">
        <w:rPr>
          <w:rFonts w:asciiTheme="majorHAnsi" w:eastAsiaTheme="majorEastAsia" w:hAnsiTheme="majorHAnsi" w:cstheme="majorBidi"/>
          <w:sz w:val="22"/>
          <w:szCs w:val="22"/>
          <w:lang w:val="en-CA"/>
        </w:rPr>
        <w:t>dynamically computed.</w:t>
      </w:r>
    </w:p>
    <w:p w14:paraId="3A0B2669" w14:textId="05306752" w:rsidR="0044422E" w:rsidRPr="00D20F25" w:rsidRDefault="0044422E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</w:p>
    <w:p w14:paraId="686AC7EC" w14:textId="696C0B7E" w:rsidR="00971A26" w:rsidRDefault="00D16237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  <w:t>Requirements</w:t>
      </w:r>
    </w:p>
    <w:p w14:paraId="00F82B3F" w14:textId="77777777" w:rsidR="00452F4A" w:rsidRPr="00D20F25" w:rsidRDefault="00452F4A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</w:p>
    <w:p w14:paraId="512D1636" w14:textId="0E12A0BA" w:rsidR="0044422E" w:rsidRDefault="00D16237" w:rsidP="5ABC12B7">
      <w:pPr>
        <w:pStyle w:val="Default"/>
        <w:numPr>
          <w:ilvl w:val="0"/>
          <w:numId w:val="3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The</w:t>
      </w:r>
      <w:r w:rsidR="009C5B16">
        <w:rPr>
          <w:rFonts w:asciiTheme="majorHAnsi" w:eastAsiaTheme="majorEastAsia" w:hAnsiTheme="majorHAnsi" w:cstheme="majorBidi"/>
          <w:sz w:val="22"/>
          <w:szCs w:val="22"/>
          <w:lang w:val="en-CA"/>
        </w:rPr>
        <w:t>re is a field to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enter </w:t>
      </w:r>
      <w:r w:rsidR="00646A36">
        <w:rPr>
          <w:rFonts w:asciiTheme="majorHAnsi" w:eastAsiaTheme="majorEastAsia" w:hAnsiTheme="majorHAnsi" w:cstheme="majorBidi"/>
          <w:sz w:val="22"/>
          <w:szCs w:val="22"/>
          <w:lang w:val="en-CA"/>
        </w:rPr>
        <w:t>the vehicle base price</w:t>
      </w:r>
    </w:p>
    <w:p w14:paraId="683B77EB" w14:textId="3B528C3F" w:rsidR="00E94689" w:rsidRPr="00D20F25" w:rsidRDefault="00E94689" w:rsidP="5ABC12B7">
      <w:pPr>
        <w:pStyle w:val="Default"/>
        <w:numPr>
          <w:ilvl w:val="0"/>
          <w:numId w:val="3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There is a field to specify the vehicle type (Common or Luxury)</w:t>
      </w:r>
    </w:p>
    <w:p w14:paraId="0892E661" w14:textId="77777777" w:rsidR="00E77F04" w:rsidRDefault="00D16237" w:rsidP="5ABC12B7">
      <w:pPr>
        <w:pStyle w:val="Default"/>
        <w:numPr>
          <w:ilvl w:val="0"/>
          <w:numId w:val="3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Th</w:t>
      </w:r>
      <w:r w:rsidR="00E77F0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e 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list of fees and </w:t>
      </w:r>
      <w:r w:rsidR="00E77F04">
        <w:rPr>
          <w:rFonts w:asciiTheme="majorHAnsi" w:eastAsiaTheme="majorEastAsia" w:hAnsiTheme="majorHAnsi" w:cstheme="majorBidi"/>
          <w:sz w:val="22"/>
          <w:szCs w:val="22"/>
          <w:lang w:val="en-CA"/>
        </w:rPr>
        <w:t>their amount are displayed</w:t>
      </w:r>
    </w:p>
    <w:p w14:paraId="58F9C52E" w14:textId="7CA8D482" w:rsidR="00D16237" w:rsidRPr="00D20F25" w:rsidRDefault="00E77F04" w:rsidP="5ABC12B7">
      <w:pPr>
        <w:pStyle w:val="Default"/>
        <w:numPr>
          <w:ilvl w:val="0"/>
          <w:numId w:val="3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T</w:t>
      </w:r>
      <w:r w:rsidR="00D1623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he total </w:t>
      </w: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cost is </w:t>
      </w:r>
      <w:r w:rsidR="0011383D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automatically computed and </w:t>
      </w: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displayed</w:t>
      </w:r>
      <w:r w:rsidR="0011383D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every time the price or type change</w:t>
      </w:r>
      <w:r w:rsidR="00170D72">
        <w:rPr>
          <w:rFonts w:asciiTheme="majorHAnsi" w:eastAsiaTheme="majorEastAsia" w:hAnsiTheme="majorHAnsi" w:cstheme="majorBidi"/>
          <w:sz w:val="22"/>
          <w:szCs w:val="22"/>
          <w:lang w:val="en-CA"/>
        </w:rPr>
        <w:t>s</w:t>
      </w:r>
    </w:p>
    <w:p w14:paraId="1EA113CB" w14:textId="77777777" w:rsidR="00D16237" w:rsidRPr="00D20F25" w:rsidRDefault="00D16237" w:rsidP="00D16237">
      <w:pPr>
        <w:pStyle w:val="Default"/>
        <w:ind w:left="720"/>
        <w:rPr>
          <w:rFonts w:asciiTheme="majorHAnsi" w:eastAsiaTheme="majorEastAsia" w:hAnsiTheme="majorHAnsi" w:cstheme="majorBidi"/>
          <w:sz w:val="22"/>
          <w:szCs w:val="22"/>
          <w:lang w:val="en-CA"/>
        </w:rPr>
      </w:pPr>
    </w:p>
    <w:p w14:paraId="6F2760D6" w14:textId="5602E276" w:rsidR="00971A26" w:rsidRDefault="00F83FF4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  <w:t>List of Fixed and Variable Costs</w:t>
      </w:r>
    </w:p>
    <w:p w14:paraId="67EE8F37" w14:textId="77777777" w:rsidR="00452F4A" w:rsidRPr="00D20F25" w:rsidRDefault="00452F4A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</w:p>
    <w:p w14:paraId="6BC4D2C4" w14:textId="77777777" w:rsidR="00E94689" w:rsidRDefault="00F83FF4" w:rsidP="5ABC12B7">
      <w:pPr>
        <w:pStyle w:val="Default"/>
        <w:numPr>
          <w:ilvl w:val="0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Basic user fee: 10% of the price of the vehicle</w:t>
      </w:r>
    </w:p>
    <w:p w14:paraId="4D0C01CB" w14:textId="666B860D" w:rsidR="00F83FF4" w:rsidRDefault="00B62F03" w:rsidP="00E94689">
      <w:pPr>
        <w:pStyle w:val="Default"/>
        <w:numPr>
          <w:ilvl w:val="1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Common car: </w:t>
      </w:r>
      <w:r w:rsidR="00F83FF4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minimum $10 and maximum $50</w:t>
      </w:r>
    </w:p>
    <w:p w14:paraId="7284D4CC" w14:textId="60CB98BA" w:rsidR="00AF4CA3" w:rsidRPr="00D20F25" w:rsidRDefault="00B62F03" w:rsidP="00E94689">
      <w:pPr>
        <w:pStyle w:val="Default"/>
        <w:numPr>
          <w:ilvl w:val="1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Luxury car: </w:t>
      </w:r>
      <w:r w:rsidR="00AF4CA3">
        <w:rPr>
          <w:rFonts w:asciiTheme="majorHAnsi" w:eastAsiaTheme="majorEastAsia" w:hAnsiTheme="majorHAnsi" w:cstheme="majorBidi"/>
          <w:sz w:val="22"/>
          <w:szCs w:val="22"/>
          <w:lang w:val="en-CA"/>
        </w:rPr>
        <w:t>minimum 25$ and maximum 200$</w:t>
      </w:r>
    </w:p>
    <w:p w14:paraId="710449EC" w14:textId="77777777" w:rsidR="00652145" w:rsidRDefault="00F83FF4" w:rsidP="5ABC12B7">
      <w:pPr>
        <w:pStyle w:val="Default"/>
        <w:numPr>
          <w:ilvl w:val="0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The seller's special fee:</w:t>
      </w:r>
    </w:p>
    <w:p w14:paraId="5EEB9081" w14:textId="77777777" w:rsidR="00652145" w:rsidRDefault="00652145" w:rsidP="00652145">
      <w:pPr>
        <w:pStyle w:val="Default"/>
        <w:numPr>
          <w:ilvl w:val="1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Common car: </w:t>
      </w:r>
      <w:r w:rsidR="00F83FF4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2% of the vehicle price</w:t>
      </w:r>
      <w:r w:rsidR="00083257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</w:p>
    <w:p w14:paraId="3E2D12CD" w14:textId="6C6A18B8" w:rsidR="00F83FF4" w:rsidRPr="00D20F25" w:rsidRDefault="00652145" w:rsidP="00652145">
      <w:pPr>
        <w:pStyle w:val="Default"/>
        <w:numPr>
          <w:ilvl w:val="1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Luxury car: </w:t>
      </w:r>
      <w:r w:rsidR="00083257">
        <w:rPr>
          <w:rFonts w:asciiTheme="majorHAnsi" w:eastAsiaTheme="majorEastAsia" w:hAnsiTheme="majorHAnsi" w:cstheme="majorBidi"/>
          <w:sz w:val="22"/>
          <w:szCs w:val="22"/>
          <w:lang w:val="en-CA"/>
        </w:rPr>
        <w:t>4% of the vehicle price</w:t>
      </w:r>
    </w:p>
    <w:p w14:paraId="41A5E74C" w14:textId="62371D22" w:rsidR="00F83FF4" w:rsidRPr="00D20F25" w:rsidRDefault="00F83FF4" w:rsidP="5ABC12B7">
      <w:pPr>
        <w:pStyle w:val="Default"/>
        <w:numPr>
          <w:ilvl w:val="0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The added costs for the association based on the price of the vehicle:</w:t>
      </w:r>
    </w:p>
    <w:p w14:paraId="49AA0DD5" w14:textId="1BE17E12" w:rsidR="00F83FF4" w:rsidRPr="00D20F25" w:rsidRDefault="00F83FF4" w:rsidP="5ABC12B7">
      <w:pPr>
        <w:pStyle w:val="Default"/>
        <w:numPr>
          <w:ilvl w:val="1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$5 for an amount between $1 and $500</w:t>
      </w:r>
    </w:p>
    <w:p w14:paraId="32F333AE" w14:textId="318426CC" w:rsidR="00F83FF4" w:rsidRPr="00D20F25" w:rsidRDefault="29DD93B4" w:rsidP="29DD93B4">
      <w:pPr>
        <w:pStyle w:val="Default"/>
        <w:numPr>
          <w:ilvl w:val="1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>$10 for an amount greater than $500 up to $1000</w:t>
      </w:r>
    </w:p>
    <w:p w14:paraId="61DFB9A9" w14:textId="1C3400EB" w:rsidR="00F83FF4" w:rsidRPr="00D20F25" w:rsidRDefault="29DD93B4" w:rsidP="29DD93B4">
      <w:pPr>
        <w:pStyle w:val="Default"/>
        <w:numPr>
          <w:ilvl w:val="1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>$15 for an amount greater than $1000 up to $3000</w:t>
      </w:r>
    </w:p>
    <w:p w14:paraId="34AE3C46" w14:textId="6D720585" w:rsidR="00F83FF4" w:rsidRPr="00D20F25" w:rsidRDefault="29DD93B4" w:rsidP="29DD93B4">
      <w:pPr>
        <w:pStyle w:val="Default"/>
        <w:numPr>
          <w:ilvl w:val="1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>$20 for an amount over $3000</w:t>
      </w:r>
    </w:p>
    <w:p w14:paraId="6F237DCB" w14:textId="7DFEAAF1" w:rsidR="00971A26" w:rsidRPr="00D20F25" w:rsidRDefault="00F83FF4" w:rsidP="5ABC12B7">
      <w:pPr>
        <w:pStyle w:val="Default"/>
        <w:numPr>
          <w:ilvl w:val="0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A fixed storage fee of $100</w:t>
      </w:r>
    </w:p>
    <w:p w14:paraId="3F9DC1D8" w14:textId="3D184F32" w:rsidR="00971A26" w:rsidRPr="00D20F25" w:rsidRDefault="00971A26" w:rsidP="5ABC12B7">
      <w:pPr>
        <w:pStyle w:val="Default"/>
        <w:rPr>
          <w:rFonts w:asciiTheme="majorHAnsi" w:eastAsiaTheme="majorEastAsia" w:hAnsiTheme="majorHAnsi" w:cstheme="majorBidi"/>
          <w:sz w:val="22"/>
          <w:szCs w:val="22"/>
          <w:lang w:val="en-CA"/>
        </w:rPr>
      </w:pPr>
    </w:p>
    <w:p w14:paraId="4836EABC" w14:textId="77777777" w:rsidR="00641AB6" w:rsidRDefault="00641AB6">
      <w:pPr>
        <w:rPr>
          <w:rFonts w:asciiTheme="majorHAnsi" w:eastAsiaTheme="majorEastAsia" w:hAnsiTheme="majorHAnsi" w:cstheme="majorBidi"/>
          <w:color w:val="2D74B5"/>
          <w:lang w:val="en-CA"/>
        </w:rPr>
      </w:pPr>
      <w:r>
        <w:rPr>
          <w:rFonts w:asciiTheme="majorHAnsi" w:eastAsiaTheme="majorEastAsia" w:hAnsiTheme="majorHAnsi" w:cstheme="majorBidi"/>
          <w:color w:val="2D74B5"/>
          <w:lang w:val="en-CA"/>
        </w:rPr>
        <w:br w:type="page"/>
      </w:r>
    </w:p>
    <w:p w14:paraId="261B7167" w14:textId="3B6C63A1" w:rsidR="5ABC12B7" w:rsidRDefault="00725835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  <w:lastRenderedPageBreak/>
        <w:t>Calculation Example</w:t>
      </w:r>
    </w:p>
    <w:p w14:paraId="44F2C38F" w14:textId="77777777" w:rsidR="00452F4A" w:rsidRPr="00D20F25" w:rsidRDefault="00452F4A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</w:p>
    <w:p w14:paraId="46135E65" w14:textId="4C6A31FB" w:rsidR="5ABC12B7" w:rsidRPr="00D20F25" w:rsidRDefault="009C5B16" w:rsidP="00D60CA5">
      <w:pPr>
        <w:pStyle w:val="Default"/>
        <w:numPr>
          <w:ilvl w:val="0"/>
          <w:numId w:val="7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Vehicle Price</w:t>
      </w:r>
      <w:r w:rsidR="001336DC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(Common)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: </w:t>
      </w:r>
      <w:r w:rsidR="00725835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$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1</w:t>
      </w:r>
      <w:r w:rsidR="002C400A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000</w:t>
      </w:r>
    </w:p>
    <w:p w14:paraId="0202DA19" w14:textId="254D5B6A" w:rsidR="5ABC12B7" w:rsidRPr="00D20F25" w:rsidRDefault="00725835" w:rsidP="00D60CA5">
      <w:pPr>
        <w:pStyle w:val="Default"/>
        <w:numPr>
          <w:ilvl w:val="0"/>
          <w:numId w:val="7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Basic fee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: 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$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50 (10%, min:</w:t>
      </w:r>
      <w:r w:rsidR="00522139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$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10, max</w:t>
      </w:r>
      <w:r w:rsidR="00BE358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.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$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50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)</w:t>
      </w:r>
    </w:p>
    <w:p w14:paraId="2020C9EC" w14:textId="50EF161C" w:rsidR="5ABC12B7" w:rsidRPr="00D20F25" w:rsidRDefault="00725835" w:rsidP="00D60CA5">
      <w:pPr>
        <w:pStyle w:val="Default"/>
        <w:numPr>
          <w:ilvl w:val="0"/>
          <w:numId w:val="7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Special fee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: 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$</w:t>
      </w:r>
      <w:r w:rsidR="007275B3">
        <w:rPr>
          <w:rFonts w:asciiTheme="majorHAnsi" w:eastAsiaTheme="majorEastAsia" w:hAnsiTheme="majorHAnsi" w:cstheme="majorBidi"/>
          <w:sz w:val="22"/>
          <w:szCs w:val="22"/>
          <w:lang w:val="en-CA"/>
        </w:rPr>
        <w:t>20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(2%)</w:t>
      </w:r>
    </w:p>
    <w:p w14:paraId="3B894B83" w14:textId="43391E34" w:rsidR="5ABC12B7" w:rsidRPr="00D20F25" w:rsidRDefault="00725835" w:rsidP="00D60CA5">
      <w:pPr>
        <w:pStyle w:val="Default"/>
        <w:numPr>
          <w:ilvl w:val="0"/>
          <w:numId w:val="7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Association fee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: </w:t>
      </w:r>
      <w:r w:rsidR="00D20F25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$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10</w:t>
      </w:r>
      <w:r w:rsidR="00522139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 </w:t>
      </w:r>
    </w:p>
    <w:p w14:paraId="6A189882" w14:textId="77777777" w:rsidR="00226D3F" w:rsidRDefault="00725835" w:rsidP="5ABC12B7">
      <w:pPr>
        <w:pStyle w:val="Default"/>
        <w:numPr>
          <w:ilvl w:val="0"/>
          <w:numId w:val="7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Storage fee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: </w:t>
      </w:r>
      <w:r w:rsidR="00D20F25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$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100</w:t>
      </w:r>
      <w:r w:rsidR="00522139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 </w:t>
      </w:r>
    </w:p>
    <w:p w14:paraId="23DA5C5A" w14:textId="14524CDA" w:rsidR="5ABC12B7" w:rsidRPr="00226D3F" w:rsidRDefault="00B242D9" w:rsidP="5ABC12B7">
      <w:pPr>
        <w:pStyle w:val="Default"/>
        <w:numPr>
          <w:ilvl w:val="0"/>
          <w:numId w:val="7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226D3F">
        <w:rPr>
          <w:rFonts w:asciiTheme="majorHAnsi" w:eastAsiaTheme="majorEastAsia" w:hAnsiTheme="majorHAnsi" w:cstheme="majorBidi"/>
          <w:b/>
          <w:bCs/>
          <w:sz w:val="22"/>
          <w:szCs w:val="22"/>
          <w:lang w:val="en-CA"/>
        </w:rPr>
        <w:t>Total</w:t>
      </w:r>
      <w:r w:rsidR="003D7F5D">
        <w:rPr>
          <w:rFonts w:asciiTheme="majorHAnsi" w:eastAsiaTheme="majorEastAsia" w:hAnsiTheme="majorHAnsi" w:cstheme="majorBidi"/>
          <w:sz w:val="22"/>
          <w:szCs w:val="22"/>
          <w:lang w:val="en-CA"/>
        </w:rPr>
        <w:t>:</w:t>
      </w:r>
      <w:r w:rsidR="5ABC12B7" w:rsidRPr="00226D3F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  <w:r w:rsidR="00725835" w:rsidRPr="00226D3F">
        <w:rPr>
          <w:rFonts w:asciiTheme="majorHAnsi" w:eastAsiaTheme="majorEastAsia" w:hAnsiTheme="majorHAnsi" w:cstheme="majorBidi"/>
          <w:sz w:val="22"/>
          <w:szCs w:val="22"/>
          <w:lang w:val="en-CA"/>
        </w:rPr>
        <w:t>$</w:t>
      </w:r>
      <w:r w:rsidR="5ABC12B7" w:rsidRPr="00226D3F">
        <w:rPr>
          <w:rFonts w:asciiTheme="majorHAnsi" w:eastAsiaTheme="majorEastAsia" w:hAnsiTheme="majorHAnsi" w:cstheme="majorBidi"/>
          <w:sz w:val="22"/>
          <w:szCs w:val="22"/>
          <w:lang w:val="en-CA"/>
        </w:rPr>
        <w:t>1</w:t>
      </w:r>
      <w:r w:rsidR="00FC3528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  <w:r w:rsidR="009B3DEB" w:rsidRPr="00226D3F">
        <w:rPr>
          <w:rFonts w:asciiTheme="majorHAnsi" w:eastAsiaTheme="majorEastAsia" w:hAnsiTheme="majorHAnsi" w:cstheme="majorBidi"/>
          <w:sz w:val="22"/>
          <w:szCs w:val="22"/>
          <w:lang w:val="en-CA"/>
        </w:rPr>
        <w:t>180</w:t>
      </w:r>
      <w:r w:rsidR="5ABC12B7" w:rsidRPr="00226D3F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= </w:t>
      </w:r>
      <w:r w:rsidR="009B3DEB" w:rsidRPr="00226D3F">
        <w:rPr>
          <w:rFonts w:asciiTheme="majorHAnsi" w:eastAsiaTheme="majorEastAsia" w:hAnsiTheme="majorHAnsi" w:cstheme="majorBidi"/>
          <w:sz w:val="22"/>
          <w:szCs w:val="22"/>
          <w:lang w:val="en-CA"/>
        </w:rPr>
        <w:t>1</w:t>
      </w:r>
      <w:r w:rsidR="00793460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  <w:r w:rsidR="009B3DEB" w:rsidRPr="00226D3F">
        <w:rPr>
          <w:rFonts w:asciiTheme="majorHAnsi" w:eastAsiaTheme="majorEastAsia" w:hAnsiTheme="majorHAnsi" w:cstheme="majorBidi"/>
          <w:sz w:val="22"/>
          <w:szCs w:val="22"/>
          <w:lang w:val="en-CA"/>
        </w:rPr>
        <w:t>000$ + 50$ + 20$ + 10$ + 100$</w:t>
      </w:r>
    </w:p>
    <w:p w14:paraId="2600F125" w14:textId="77777777" w:rsidR="00226D3F" w:rsidRDefault="00226D3F" w:rsidP="29DD93B4">
      <w:pPr>
        <w:pStyle w:val="Default"/>
        <w:rPr>
          <w:rFonts w:ascii="Calibri Light" w:eastAsia="Calibri Light" w:hAnsi="Calibri Light" w:cs="Calibri Light"/>
          <w:color w:val="2D74B5"/>
          <w:sz w:val="22"/>
          <w:szCs w:val="22"/>
        </w:rPr>
      </w:pPr>
    </w:p>
    <w:p w14:paraId="2208D7D4" w14:textId="4C9FB574" w:rsidR="29DD93B4" w:rsidRDefault="29DD93B4" w:rsidP="29DD93B4">
      <w:pPr>
        <w:pStyle w:val="Default"/>
        <w:rPr>
          <w:rFonts w:ascii="Calibri Light" w:eastAsia="Calibri Light" w:hAnsi="Calibri Light" w:cs="Calibri Light"/>
          <w:color w:val="2D74B5"/>
          <w:sz w:val="22"/>
          <w:szCs w:val="22"/>
        </w:rPr>
      </w:pPr>
      <w:r w:rsidRPr="29DD93B4"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Test </w:t>
      </w:r>
      <w:r w:rsidR="00D60CA5">
        <w:rPr>
          <w:rFonts w:ascii="Calibri Light" w:eastAsia="Calibri Light" w:hAnsi="Calibri Light" w:cs="Calibri Light"/>
          <w:color w:val="2D74B5"/>
          <w:sz w:val="22"/>
          <w:szCs w:val="22"/>
        </w:rPr>
        <w:t>C</w:t>
      </w:r>
      <w:r w:rsidRPr="29DD93B4">
        <w:rPr>
          <w:rFonts w:ascii="Calibri Light" w:eastAsia="Calibri Light" w:hAnsi="Calibri Light" w:cs="Calibri Light"/>
          <w:color w:val="2D74B5"/>
          <w:sz w:val="22"/>
          <w:szCs w:val="22"/>
        </w:rPr>
        <w:t>ases</w:t>
      </w:r>
    </w:p>
    <w:p w14:paraId="6BE83913" w14:textId="77777777" w:rsidR="00892B8C" w:rsidRDefault="00892B8C" w:rsidP="29DD93B4">
      <w:pPr>
        <w:pStyle w:val="Default"/>
        <w:rPr>
          <w:rFonts w:ascii="Calibri Light" w:eastAsia="Calibri Light" w:hAnsi="Calibri Light" w:cs="Calibri Light"/>
          <w:color w:val="2D74B5"/>
          <w:sz w:val="22"/>
          <w:szCs w:val="22"/>
        </w:rPr>
      </w:pPr>
    </w:p>
    <w:p w14:paraId="2275DE6A" w14:textId="77777777" w:rsidR="00452F4A" w:rsidRDefault="00452F4A" w:rsidP="29DD93B4">
      <w:pPr>
        <w:pStyle w:val="Default"/>
        <w:rPr>
          <w:rFonts w:eastAsia="Calibri Light"/>
          <w:color w:val="000000" w:themeColor="text1"/>
        </w:rPr>
      </w:pPr>
    </w:p>
    <w:tbl>
      <w:tblPr>
        <w:tblStyle w:val="Tablaconcuadrcula"/>
        <w:tblW w:w="9652" w:type="dxa"/>
        <w:jc w:val="center"/>
        <w:tblLayout w:type="fixed"/>
        <w:tblLook w:val="06A0" w:firstRow="1" w:lastRow="0" w:firstColumn="1" w:lastColumn="0" w:noHBand="1" w:noVBand="1"/>
      </w:tblPr>
      <w:tblGrid>
        <w:gridCol w:w="1560"/>
        <w:gridCol w:w="1417"/>
        <w:gridCol w:w="1080"/>
        <w:gridCol w:w="1185"/>
        <w:gridCol w:w="1650"/>
        <w:gridCol w:w="1380"/>
        <w:gridCol w:w="1380"/>
      </w:tblGrid>
      <w:tr w:rsidR="001B5E10" w14:paraId="6221B45E" w14:textId="17010D68" w:rsidTr="00452F4A">
        <w:trPr>
          <w:jc w:val="center"/>
        </w:trPr>
        <w:tc>
          <w:tcPr>
            <w:tcW w:w="1560" w:type="dxa"/>
            <w:vMerge w:val="restart"/>
            <w:vAlign w:val="center"/>
          </w:tcPr>
          <w:p w14:paraId="71E898ED" w14:textId="4D0EDF3B" w:rsidR="001B5E10" w:rsidRPr="00C35683" w:rsidRDefault="001B5E10" w:rsidP="00E27F99">
            <w:pPr>
              <w:pStyle w:val="Default"/>
              <w:jc w:val="center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Vehicle Price</w:t>
            </w:r>
            <w:r w:rsidR="000611C1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 xml:space="preserve"> ($)</w:t>
            </w:r>
          </w:p>
        </w:tc>
        <w:tc>
          <w:tcPr>
            <w:tcW w:w="1417" w:type="dxa"/>
            <w:vMerge w:val="restart"/>
            <w:vAlign w:val="center"/>
          </w:tcPr>
          <w:p w14:paraId="6965B613" w14:textId="17C2675E" w:rsidR="001B5E10" w:rsidRPr="00C35683" w:rsidRDefault="001B5E10" w:rsidP="00E27F99">
            <w:pPr>
              <w:pStyle w:val="Default"/>
              <w:jc w:val="center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Vehicle Type</w:t>
            </w:r>
          </w:p>
        </w:tc>
        <w:tc>
          <w:tcPr>
            <w:tcW w:w="5295" w:type="dxa"/>
            <w:gridSpan w:val="4"/>
          </w:tcPr>
          <w:p w14:paraId="79D14B10" w14:textId="7BD64E2B" w:rsidR="001B5E10" w:rsidRDefault="001B5E10" w:rsidP="29DD93B4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29DD93B4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Fees</w:t>
            </w:r>
            <w:r w:rsidR="000611C1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 xml:space="preserve"> ($)</w:t>
            </w:r>
          </w:p>
        </w:tc>
        <w:tc>
          <w:tcPr>
            <w:tcW w:w="1380" w:type="dxa"/>
            <w:vMerge w:val="restart"/>
            <w:vAlign w:val="center"/>
          </w:tcPr>
          <w:p w14:paraId="1E6BFA3E" w14:textId="0086D65C" w:rsidR="001B5E10" w:rsidRPr="29DD93B4" w:rsidRDefault="001B5E10" w:rsidP="001B5E10">
            <w:pPr>
              <w:pStyle w:val="Default"/>
              <w:jc w:val="center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Total</w:t>
            </w:r>
            <w:r w:rsidR="000611C1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 xml:space="preserve"> ($)</w:t>
            </w:r>
          </w:p>
        </w:tc>
      </w:tr>
      <w:tr w:rsidR="001B5E10" w14:paraId="486ED107" w14:textId="638D5131" w:rsidTr="00452F4A">
        <w:trPr>
          <w:jc w:val="center"/>
        </w:trPr>
        <w:tc>
          <w:tcPr>
            <w:tcW w:w="1560" w:type="dxa"/>
            <w:vMerge/>
            <w:vAlign w:val="center"/>
          </w:tcPr>
          <w:p w14:paraId="002B995C" w14:textId="77777777" w:rsidR="001B5E10" w:rsidRDefault="001B5E10"/>
        </w:tc>
        <w:tc>
          <w:tcPr>
            <w:tcW w:w="1417" w:type="dxa"/>
            <w:vMerge/>
          </w:tcPr>
          <w:p w14:paraId="14759E6E" w14:textId="77777777" w:rsidR="001B5E10" w:rsidRDefault="001B5E10"/>
        </w:tc>
        <w:tc>
          <w:tcPr>
            <w:tcW w:w="1080" w:type="dxa"/>
          </w:tcPr>
          <w:p w14:paraId="28EDE927" w14:textId="3709D8B4" w:rsidR="001B5E10" w:rsidRDefault="001B5E10" w:rsidP="00D60CA5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29DD93B4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Basic</w:t>
            </w:r>
          </w:p>
        </w:tc>
        <w:tc>
          <w:tcPr>
            <w:tcW w:w="1185" w:type="dxa"/>
          </w:tcPr>
          <w:p w14:paraId="40F51594" w14:textId="301E751C" w:rsidR="001B5E10" w:rsidRDefault="001B5E10" w:rsidP="00D60CA5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29DD93B4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Special</w:t>
            </w:r>
          </w:p>
        </w:tc>
        <w:tc>
          <w:tcPr>
            <w:tcW w:w="1650" w:type="dxa"/>
          </w:tcPr>
          <w:p w14:paraId="7B88CB0C" w14:textId="10D0F33A" w:rsidR="001B5E10" w:rsidRDefault="001B5E10" w:rsidP="00D60CA5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29DD93B4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Association</w:t>
            </w:r>
          </w:p>
        </w:tc>
        <w:tc>
          <w:tcPr>
            <w:tcW w:w="1380" w:type="dxa"/>
          </w:tcPr>
          <w:p w14:paraId="77227931" w14:textId="0FBC066A" w:rsidR="001B5E10" w:rsidRDefault="001B5E10" w:rsidP="00D60CA5">
            <w:pPr>
              <w:pStyle w:val="Default"/>
              <w:jc w:val="center"/>
              <w:rPr>
                <w:rFonts w:eastAsia="Calibri Light"/>
                <w:b/>
                <w:bCs/>
                <w:color w:val="000000" w:themeColor="text1"/>
              </w:rPr>
            </w:pPr>
            <w:r w:rsidRPr="29DD93B4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Storage</w:t>
            </w:r>
          </w:p>
        </w:tc>
        <w:tc>
          <w:tcPr>
            <w:tcW w:w="1380" w:type="dxa"/>
            <w:vMerge/>
          </w:tcPr>
          <w:p w14:paraId="3F70B019" w14:textId="77777777" w:rsidR="001B5E10" w:rsidRPr="29DD93B4" w:rsidRDefault="001B5E10" w:rsidP="00D60CA5">
            <w:pPr>
              <w:pStyle w:val="Default"/>
              <w:jc w:val="center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077FC" w14:paraId="6305B492" w14:textId="00F1740D" w:rsidTr="00452F4A">
        <w:trPr>
          <w:jc w:val="center"/>
        </w:trPr>
        <w:tc>
          <w:tcPr>
            <w:tcW w:w="1560" w:type="dxa"/>
          </w:tcPr>
          <w:p w14:paraId="58C49BD2" w14:textId="4B0A8965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398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417" w:type="dxa"/>
          </w:tcPr>
          <w:p w14:paraId="319494FC" w14:textId="67FE4B0E" w:rsidR="002077FC" w:rsidRPr="002077FC" w:rsidRDefault="002077FC" w:rsidP="002077FC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Common</w:t>
            </w:r>
          </w:p>
        </w:tc>
        <w:tc>
          <w:tcPr>
            <w:tcW w:w="1080" w:type="dxa"/>
          </w:tcPr>
          <w:p w14:paraId="0CB429C9" w14:textId="3904A1EE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39.8</w:t>
            </w:r>
            <w:r w:rsidR="000611C1">
              <w:rPr>
                <w:sz w:val="20"/>
                <w:szCs w:val="20"/>
              </w:rPr>
              <w:t>0</w:t>
            </w:r>
          </w:p>
        </w:tc>
        <w:tc>
          <w:tcPr>
            <w:tcW w:w="1185" w:type="dxa"/>
          </w:tcPr>
          <w:p w14:paraId="009F6724" w14:textId="68C373F0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7.96</w:t>
            </w:r>
          </w:p>
        </w:tc>
        <w:tc>
          <w:tcPr>
            <w:tcW w:w="1650" w:type="dxa"/>
          </w:tcPr>
          <w:p w14:paraId="0BC41258" w14:textId="6E5CACC4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5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1423405A" w14:textId="5219ADA4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49FDD390" w14:textId="3EE01F12" w:rsidR="002077FC" w:rsidRPr="004319D8" w:rsidRDefault="002077FC" w:rsidP="00C35683">
            <w:pPr>
              <w:pStyle w:val="Default"/>
              <w:jc w:val="right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550.76</w:t>
            </w:r>
          </w:p>
        </w:tc>
      </w:tr>
      <w:tr w:rsidR="002077FC" w14:paraId="535A83F0" w14:textId="381DFC28" w:rsidTr="00452F4A">
        <w:trPr>
          <w:jc w:val="center"/>
        </w:trPr>
        <w:tc>
          <w:tcPr>
            <w:tcW w:w="1560" w:type="dxa"/>
          </w:tcPr>
          <w:p w14:paraId="78F336BA" w14:textId="6ACEE1A1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501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417" w:type="dxa"/>
          </w:tcPr>
          <w:p w14:paraId="5322E89E" w14:textId="4B54625B" w:rsidR="002077FC" w:rsidRPr="002077FC" w:rsidRDefault="002077FC" w:rsidP="002077FC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Common</w:t>
            </w:r>
          </w:p>
        </w:tc>
        <w:tc>
          <w:tcPr>
            <w:tcW w:w="1080" w:type="dxa"/>
          </w:tcPr>
          <w:p w14:paraId="566294ED" w14:textId="2954C4FF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50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185" w:type="dxa"/>
          </w:tcPr>
          <w:p w14:paraId="27832416" w14:textId="6378F69B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10.02</w:t>
            </w:r>
          </w:p>
        </w:tc>
        <w:tc>
          <w:tcPr>
            <w:tcW w:w="1650" w:type="dxa"/>
          </w:tcPr>
          <w:p w14:paraId="45DB8413" w14:textId="71856DA9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7DA7E378" w14:textId="7CA5C6BC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715F59E1" w14:textId="0C9C7A31" w:rsidR="002077FC" w:rsidRPr="004319D8" w:rsidRDefault="002077FC" w:rsidP="00C35683">
            <w:pPr>
              <w:pStyle w:val="Default"/>
              <w:jc w:val="right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671.02</w:t>
            </w:r>
          </w:p>
        </w:tc>
      </w:tr>
      <w:tr w:rsidR="002077FC" w14:paraId="0E7E7E7D" w14:textId="740B4CE2" w:rsidTr="00452F4A">
        <w:trPr>
          <w:jc w:val="center"/>
        </w:trPr>
        <w:tc>
          <w:tcPr>
            <w:tcW w:w="1560" w:type="dxa"/>
          </w:tcPr>
          <w:p w14:paraId="2BDD6AA8" w14:textId="7607395F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57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417" w:type="dxa"/>
          </w:tcPr>
          <w:p w14:paraId="4AC29256" w14:textId="2AD346C3" w:rsidR="002077FC" w:rsidRPr="002077FC" w:rsidRDefault="002077FC" w:rsidP="002077FC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Common</w:t>
            </w:r>
          </w:p>
        </w:tc>
        <w:tc>
          <w:tcPr>
            <w:tcW w:w="1080" w:type="dxa"/>
          </w:tcPr>
          <w:p w14:paraId="1BBF97D3" w14:textId="3CAFFC49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185" w:type="dxa"/>
          </w:tcPr>
          <w:p w14:paraId="13EF5945" w14:textId="7C7AB712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1.14</w:t>
            </w:r>
          </w:p>
        </w:tc>
        <w:tc>
          <w:tcPr>
            <w:tcW w:w="1650" w:type="dxa"/>
          </w:tcPr>
          <w:p w14:paraId="47AA789C" w14:textId="3A0EC2EB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5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0AA7A829" w14:textId="47CEC8C6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7091653F" w14:textId="38F4E5EA" w:rsidR="002077FC" w:rsidRPr="004319D8" w:rsidRDefault="002077FC" w:rsidP="00C35683">
            <w:pPr>
              <w:pStyle w:val="Default"/>
              <w:jc w:val="right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173.14</w:t>
            </w:r>
          </w:p>
        </w:tc>
      </w:tr>
      <w:tr w:rsidR="002077FC" w14:paraId="7846394A" w14:textId="64A739CC" w:rsidTr="00452F4A">
        <w:trPr>
          <w:jc w:val="center"/>
        </w:trPr>
        <w:tc>
          <w:tcPr>
            <w:tcW w:w="1560" w:type="dxa"/>
          </w:tcPr>
          <w:p w14:paraId="02238B2A" w14:textId="6472B45A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</w:t>
            </w:r>
            <w:r w:rsidR="000611C1">
              <w:rPr>
                <w:sz w:val="20"/>
                <w:szCs w:val="20"/>
              </w:rPr>
              <w:t xml:space="preserve"> </w:t>
            </w:r>
            <w:r w:rsidRPr="002077FC">
              <w:rPr>
                <w:sz w:val="20"/>
                <w:szCs w:val="20"/>
              </w:rPr>
              <w:t>800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417" w:type="dxa"/>
          </w:tcPr>
          <w:p w14:paraId="79DA414B" w14:textId="50FD914F" w:rsidR="002077FC" w:rsidRPr="002077FC" w:rsidRDefault="002077FC" w:rsidP="002077FC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Luxury</w:t>
            </w:r>
          </w:p>
        </w:tc>
        <w:tc>
          <w:tcPr>
            <w:tcW w:w="1080" w:type="dxa"/>
          </w:tcPr>
          <w:p w14:paraId="2EE61050" w14:textId="1207F230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180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185" w:type="dxa"/>
          </w:tcPr>
          <w:p w14:paraId="3B261C61" w14:textId="5ED3481F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72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650" w:type="dxa"/>
          </w:tcPr>
          <w:p w14:paraId="481AACA4" w14:textId="582A7BD2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15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6C608BCB" w14:textId="634C59B8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7E612DFC" w14:textId="2B0B2B9F" w:rsidR="002077FC" w:rsidRPr="004319D8" w:rsidRDefault="002077FC" w:rsidP="00C35683">
            <w:pPr>
              <w:pStyle w:val="Default"/>
              <w:jc w:val="right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0611C1"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167</w:t>
            </w:r>
            <w:r w:rsidR="000611C1"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.00</w:t>
            </w:r>
          </w:p>
        </w:tc>
      </w:tr>
      <w:tr w:rsidR="002077FC" w14:paraId="54AFAD45" w14:textId="79F83BB3" w:rsidTr="00452F4A">
        <w:trPr>
          <w:jc w:val="center"/>
        </w:trPr>
        <w:tc>
          <w:tcPr>
            <w:tcW w:w="1560" w:type="dxa"/>
          </w:tcPr>
          <w:p w14:paraId="20B84129" w14:textId="1F7DD297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</w:t>
            </w:r>
            <w:r w:rsidR="000611C1">
              <w:rPr>
                <w:sz w:val="20"/>
                <w:szCs w:val="20"/>
              </w:rPr>
              <w:t xml:space="preserve"> </w:t>
            </w:r>
            <w:r w:rsidRPr="002077FC">
              <w:rPr>
                <w:sz w:val="20"/>
                <w:szCs w:val="20"/>
              </w:rPr>
              <w:t>100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417" w:type="dxa"/>
          </w:tcPr>
          <w:p w14:paraId="4256C352" w14:textId="57949DD8" w:rsidR="002077FC" w:rsidRPr="002077FC" w:rsidRDefault="002077FC" w:rsidP="002077FC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Common</w:t>
            </w:r>
          </w:p>
        </w:tc>
        <w:tc>
          <w:tcPr>
            <w:tcW w:w="1080" w:type="dxa"/>
          </w:tcPr>
          <w:p w14:paraId="7037D78F" w14:textId="2E4DC6F1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50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185" w:type="dxa"/>
          </w:tcPr>
          <w:p w14:paraId="65BDD9CF" w14:textId="7C31380B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22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650" w:type="dxa"/>
          </w:tcPr>
          <w:p w14:paraId="156617BD" w14:textId="15D4E245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15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2B413073" w14:textId="533F3AFF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43173C29" w14:textId="66954568" w:rsidR="002077FC" w:rsidRPr="004319D8" w:rsidRDefault="002077FC" w:rsidP="00C35683">
            <w:pPr>
              <w:pStyle w:val="Default"/>
              <w:jc w:val="right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0611C1"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287</w:t>
            </w:r>
            <w:r w:rsidR="000611C1"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.00</w:t>
            </w:r>
          </w:p>
        </w:tc>
      </w:tr>
      <w:tr w:rsidR="002077FC" w14:paraId="1CE49760" w14:textId="7D681242" w:rsidTr="00452F4A">
        <w:trPr>
          <w:jc w:val="center"/>
        </w:trPr>
        <w:tc>
          <w:tcPr>
            <w:tcW w:w="1560" w:type="dxa"/>
          </w:tcPr>
          <w:p w14:paraId="0421B886" w14:textId="42B2E7C8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</w:t>
            </w:r>
            <w:r w:rsidR="000611C1">
              <w:rPr>
                <w:sz w:val="20"/>
                <w:szCs w:val="20"/>
              </w:rPr>
              <w:t> </w:t>
            </w:r>
            <w:r w:rsidRPr="002077FC">
              <w:rPr>
                <w:sz w:val="20"/>
                <w:szCs w:val="20"/>
              </w:rPr>
              <w:t>000</w:t>
            </w:r>
            <w:r w:rsidR="000611C1">
              <w:rPr>
                <w:sz w:val="20"/>
                <w:szCs w:val="20"/>
              </w:rPr>
              <w:t xml:space="preserve"> </w:t>
            </w:r>
            <w:r w:rsidRPr="002077FC">
              <w:rPr>
                <w:sz w:val="20"/>
                <w:szCs w:val="20"/>
              </w:rPr>
              <w:t>000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417" w:type="dxa"/>
          </w:tcPr>
          <w:p w14:paraId="17B053BC" w14:textId="3A9C8856" w:rsidR="002077FC" w:rsidRPr="002077FC" w:rsidRDefault="002077FC" w:rsidP="002077FC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Luxury</w:t>
            </w:r>
          </w:p>
        </w:tc>
        <w:tc>
          <w:tcPr>
            <w:tcW w:w="1080" w:type="dxa"/>
          </w:tcPr>
          <w:p w14:paraId="5EF53B5B" w14:textId="04709D1C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200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185" w:type="dxa"/>
          </w:tcPr>
          <w:p w14:paraId="6F756B3F" w14:textId="26509EDB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40</w:t>
            </w:r>
            <w:r w:rsidR="000611C1">
              <w:rPr>
                <w:sz w:val="20"/>
                <w:szCs w:val="20"/>
              </w:rPr>
              <w:t xml:space="preserve"> </w:t>
            </w:r>
            <w:r w:rsidRPr="002077FC">
              <w:rPr>
                <w:sz w:val="20"/>
                <w:szCs w:val="20"/>
              </w:rPr>
              <w:t>000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650" w:type="dxa"/>
          </w:tcPr>
          <w:p w14:paraId="15CB373E" w14:textId="19A674C7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20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6AC68067" w14:textId="7E7A0291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1C915920" w14:textId="7E27E08E" w:rsidR="002077FC" w:rsidRPr="004319D8" w:rsidRDefault="002077FC" w:rsidP="00C35683">
            <w:pPr>
              <w:pStyle w:val="Default"/>
              <w:jc w:val="right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0611C1"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 </w:t>
            </w: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040</w:t>
            </w:r>
            <w:r w:rsidR="000611C1"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320</w:t>
            </w:r>
            <w:r w:rsidR="000611C1"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.00</w:t>
            </w:r>
          </w:p>
        </w:tc>
      </w:tr>
    </w:tbl>
    <w:p w14:paraId="17506789" w14:textId="041867FF" w:rsidR="29DD93B4" w:rsidRDefault="29DD93B4" w:rsidP="29DD93B4">
      <w:pPr>
        <w:pStyle w:val="Default"/>
        <w:rPr>
          <w:color w:val="000000" w:themeColor="text1"/>
          <w:lang w:val="en-CA"/>
        </w:rPr>
      </w:pPr>
    </w:p>
    <w:p w14:paraId="28C7BE89" w14:textId="08B4274F" w:rsidR="00353665" w:rsidRPr="00D20F25" w:rsidRDefault="00353665" w:rsidP="29DD93B4">
      <w:pPr>
        <w:pStyle w:val="Default"/>
        <w:spacing w:after="51"/>
        <w:rPr>
          <w:rFonts w:asciiTheme="majorHAnsi" w:eastAsiaTheme="majorEastAsia" w:hAnsiTheme="majorHAnsi" w:cstheme="majorBidi"/>
          <w:sz w:val="22"/>
          <w:szCs w:val="22"/>
          <w:lang w:val="en-CA"/>
        </w:rPr>
      </w:pPr>
    </w:p>
    <w:sectPr w:rsidR="00353665" w:rsidRPr="00D20F25" w:rsidSect="00594A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CD33" w14:textId="77777777" w:rsidR="0064513F" w:rsidRDefault="0064513F" w:rsidP="00522139">
      <w:pPr>
        <w:spacing w:after="0" w:line="240" w:lineRule="auto"/>
      </w:pPr>
      <w:r>
        <w:separator/>
      </w:r>
    </w:p>
  </w:endnote>
  <w:endnote w:type="continuationSeparator" w:id="0">
    <w:p w14:paraId="7A9E5E5D" w14:textId="77777777" w:rsidR="0064513F" w:rsidRDefault="0064513F" w:rsidP="00522139">
      <w:pPr>
        <w:spacing w:after="0" w:line="240" w:lineRule="auto"/>
      </w:pPr>
      <w:r>
        <w:continuationSeparator/>
      </w:r>
    </w:p>
  </w:endnote>
  <w:endnote w:type="continuationNotice" w:id="1">
    <w:p w14:paraId="4672C53F" w14:textId="77777777" w:rsidR="0064513F" w:rsidRDefault="006451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2FBE" w14:textId="77777777" w:rsidR="00522139" w:rsidRDefault="005221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7ED0" w14:textId="77777777" w:rsidR="00522139" w:rsidRDefault="005221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F7CB" w14:textId="77777777" w:rsidR="00522139" w:rsidRDefault="005221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EDB4" w14:textId="77777777" w:rsidR="0064513F" w:rsidRDefault="0064513F" w:rsidP="00522139">
      <w:pPr>
        <w:spacing w:after="0" w:line="240" w:lineRule="auto"/>
      </w:pPr>
      <w:r>
        <w:separator/>
      </w:r>
    </w:p>
  </w:footnote>
  <w:footnote w:type="continuationSeparator" w:id="0">
    <w:p w14:paraId="4096672D" w14:textId="77777777" w:rsidR="0064513F" w:rsidRDefault="0064513F" w:rsidP="00522139">
      <w:pPr>
        <w:spacing w:after="0" w:line="240" w:lineRule="auto"/>
      </w:pPr>
      <w:r>
        <w:continuationSeparator/>
      </w:r>
    </w:p>
  </w:footnote>
  <w:footnote w:type="continuationNotice" w:id="1">
    <w:p w14:paraId="7134ED81" w14:textId="77777777" w:rsidR="0064513F" w:rsidRDefault="006451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FF6CE" w14:textId="77777777" w:rsidR="00522139" w:rsidRDefault="005221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2B73" w14:textId="77777777" w:rsidR="00522139" w:rsidRDefault="005221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9686" w14:textId="77777777" w:rsidR="00522139" w:rsidRDefault="005221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876C"/>
    <w:multiLevelType w:val="hybridMultilevel"/>
    <w:tmpl w:val="60A8643C"/>
    <w:lvl w:ilvl="0" w:tplc="E0AE2B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D142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6D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60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8E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482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68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445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8C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E32"/>
    <w:multiLevelType w:val="hybridMultilevel"/>
    <w:tmpl w:val="96662BB8"/>
    <w:lvl w:ilvl="0" w:tplc="A7CCB9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C60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EB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A1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87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A1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A2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2F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0E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06C6"/>
    <w:multiLevelType w:val="hybridMultilevel"/>
    <w:tmpl w:val="227C41CE"/>
    <w:lvl w:ilvl="0" w:tplc="FED4D5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386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D8B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46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03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C7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76B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47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8E6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B6AE7"/>
    <w:multiLevelType w:val="hybridMultilevel"/>
    <w:tmpl w:val="D5D28140"/>
    <w:lvl w:ilvl="0" w:tplc="3318AF4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0445B"/>
    <w:multiLevelType w:val="hybridMultilevel"/>
    <w:tmpl w:val="35E8797C"/>
    <w:lvl w:ilvl="0" w:tplc="25E2C9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A05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2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08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89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02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61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C3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6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668CF"/>
    <w:multiLevelType w:val="hybridMultilevel"/>
    <w:tmpl w:val="C7629F08"/>
    <w:lvl w:ilvl="0" w:tplc="77C8C2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206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E8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AA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AF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E1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43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4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8CD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71B4A"/>
    <w:multiLevelType w:val="hybridMultilevel"/>
    <w:tmpl w:val="36D86C90"/>
    <w:lvl w:ilvl="0" w:tplc="3318AF4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895139">
    <w:abstractNumId w:val="1"/>
  </w:num>
  <w:num w:numId="2" w16cid:durableId="469057539">
    <w:abstractNumId w:val="5"/>
  </w:num>
  <w:num w:numId="3" w16cid:durableId="1883714383">
    <w:abstractNumId w:val="2"/>
  </w:num>
  <w:num w:numId="4" w16cid:durableId="1251282191">
    <w:abstractNumId w:val="4"/>
  </w:num>
  <w:num w:numId="5" w16cid:durableId="1088841727">
    <w:abstractNumId w:val="0"/>
  </w:num>
  <w:num w:numId="6" w16cid:durableId="425884483">
    <w:abstractNumId w:val="3"/>
  </w:num>
  <w:num w:numId="7" w16cid:durableId="8222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26"/>
    <w:rsid w:val="00023498"/>
    <w:rsid w:val="00051946"/>
    <w:rsid w:val="000611C1"/>
    <w:rsid w:val="00083257"/>
    <w:rsid w:val="0008714F"/>
    <w:rsid w:val="000A6B06"/>
    <w:rsid w:val="000F4B53"/>
    <w:rsid w:val="0010624F"/>
    <w:rsid w:val="00107724"/>
    <w:rsid w:val="0011383D"/>
    <w:rsid w:val="001336DC"/>
    <w:rsid w:val="00170D72"/>
    <w:rsid w:val="001B5E10"/>
    <w:rsid w:val="002077FC"/>
    <w:rsid w:val="00220AF7"/>
    <w:rsid w:val="00226D3F"/>
    <w:rsid w:val="002900A6"/>
    <w:rsid w:val="002A7BFA"/>
    <w:rsid w:val="002B0C95"/>
    <w:rsid w:val="002C400A"/>
    <w:rsid w:val="002C5A99"/>
    <w:rsid w:val="00313CDD"/>
    <w:rsid w:val="00342986"/>
    <w:rsid w:val="00353665"/>
    <w:rsid w:val="003601B7"/>
    <w:rsid w:val="00362DF9"/>
    <w:rsid w:val="003A49F8"/>
    <w:rsid w:val="003C6C51"/>
    <w:rsid w:val="003D7F5D"/>
    <w:rsid w:val="003E575C"/>
    <w:rsid w:val="004319D8"/>
    <w:rsid w:val="0044422E"/>
    <w:rsid w:val="00452F4A"/>
    <w:rsid w:val="004839E5"/>
    <w:rsid w:val="004C24B4"/>
    <w:rsid w:val="004D2C3A"/>
    <w:rsid w:val="004E1B42"/>
    <w:rsid w:val="004E5A2A"/>
    <w:rsid w:val="004F6D90"/>
    <w:rsid w:val="00506D82"/>
    <w:rsid w:val="00522139"/>
    <w:rsid w:val="005647BB"/>
    <w:rsid w:val="00594AA2"/>
    <w:rsid w:val="00602A2E"/>
    <w:rsid w:val="00630AC7"/>
    <w:rsid w:val="00641AB6"/>
    <w:rsid w:val="0064513F"/>
    <w:rsid w:val="006467B9"/>
    <w:rsid w:val="00646A36"/>
    <w:rsid w:val="00652145"/>
    <w:rsid w:val="00725835"/>
    <w:rsid w:val="007275B3"/>
    <w:rsid w:val="00744271"/>
    <w:rsid w:val="00744E3F"/>
    <w:rsid w:val="00760A15"/>
    <w:rsid w:val="00776931"/>
    <w:rsid w:val="00793460"/>
    <w:rsid w:val="008112FB"/>
    <w:rsid w:val="008244D2"/>
    <w:rsid w:val="00840654"/>
    <w:rsid w:val="00867476"/>
    <w:rsid w:val="00892B8C"/>
    <w:rsid w:val="00894ED8"/>
    <w:rsid w:val="008F403E"/>
    <w:rsid w:val="00952460"/>
    <w:rsid w:val="00971A26"/>
    <w:rsid w:val="00987832"/>
    <w:rsid w:val="00991EFF"/>
    <w:rsid w:val="009B3C21"/>
    <w:rsid w:val="009B3DEB"/>
    <w:rsid w:val="009C5B16"/>
    <w:rsid w:val="009C5D15"/>
    <w:rsid w:val="00A037B0"/>
    <w:rsid w:val="00A15D95"/>
    <w:rsid w:val="00A47559"/>
    <w:rsid w:val="00A96212"/>
    <w:rsid w:val="00AB1239"/>
    <w:rsid w:val="00AB355E"/>
    <w:rsid w:val="00AF4CA3"/>
    <w:rsid w:val="00B242D9"/>
    <w:rsid w:val="00B62F03"/>
    <w:rsid w:val="00B86536"/>
    <w:rsid w:val="00BA4A63"/>
    <w:rsid w:val="00BB3A19"/>
    <w:rsid w:val="00BD2E2B"/>
    <w:rsid w:val="00BE3587"/>
    <w:rsid w:val="00C1662F"/>
    <w:rsid w:val="00C27FE4"/>
    <w:rsid w:val="00C35683"/>
    <w:rsid w:val="00C82D92"/>
    <w:rsid w:val="00CD18F9"/>
    <w:rsid w:val="00D16237"/>
    <w:rsid w:val="00D20F25"/>
    <w:rsid w:val="00D2181F"/>
    <w:rsid w:val="00D23BB2"/>
    <w:rsid w:val="00D60CA5"/>
    <w:rsid w:val="00D66773"/>
    <w:rsid w:val="00D72799"/>
    <w:rsid w:val="00E10C55"/>
    <w:rsid w:val="00E27F99"/>
    <w:rsid w:val="00E35CF4"/>
    <w:rsid w:val="00E77F04"/>
    <w:rsid w:val="00E94689"/>
    <w:rsid w:val="00EB5998"/>
    <w:rsid w:val="00EC6D05"/>
    <w:rsid w:val="00EE134B"/>
    <w:rsid w:val="00F3699C"/>
    <w:rsid w:val="00F83FF4"/>
    <w:rsid w:val="00FC3528"/>
    <w:rsid w:val="00FD422F"/>
    <w:rsid w:val="01EFF20B"/>
    <w:rsid w:val="0323CE4A"/>
    <w:rsid w:val="038C8002"/>
    <w:rsid w:val="07F3BE30"/>
    <w:rsid w:val="0E6680F1"/>
    <w:rsid w:val="0ECF32A9"/>
    <w:rsid w:val="0FBB0816"/>
    <w:rsid w:val="0FE928F5"/>
    <w:rsid w:val="113DB01A"/>
    <w:rsid w:val="119E21B3"/>
    <w:rsid w:val="1206D36B"/>
    <w:rsid w:val="1361761B"/>
    <w:rsid w:val="169916DD"/>
    <w:rsid w:val="16EC2175"/>
    <w:rsid w:val="182E8E4A"/>
    <w:rsid w:val="1AEC7FE6"/>
    <w:rsid w:val="1B48B2AC"/>
    <w:rsid w:val="1E6D94F3"/>
    <w:rsid w:val="22DE696E"/>
    <w:rsid w:val="22F791CB"/>
    <w:rsid w:val="242AB074"/>
    <w:rsid w:val="2709CD23"/>
    <w:rsid w:val="28B8812B"/>
    <w:rsid w:val="28FE2197"/>
    <w:rsid w:val="29DD93B4"/>
    <w:rsid w:val="2B148097"/>
    <w:rsid w:val="2C9E7411"/>
    <w:rsid w:val="2E3A4472"/>
    <w:rsid w:val="2FC4D9FC"/>
    <w:rsid w:val="39C7EF08"/>
    <w:rsid w:val="39F0E547"/>
    <w:rsid w:val="3A9EDAEB"/>
    <w:rsid w:val="3B3291E7"/>
    <w:rsid w:val="3CECD14F"/>
    <w:rsid w:val="3F724C0E"/>
    <w:rsid w:val="40247211"/>
    <w:rsid w:val="410E1C6F"/>
    <w:rsid w:val="41A1D36B"/>
    <w:rsid w:val="42015282"/>
    <w:rsid w:val="4274807B"/>
    <w:rsid w:val="42A9ECD0"/>
    <w:rsid w:val="4675448E"/>
    <w:rsid w:val="46A8A897"/>
    <w:rsid w:val="46F4E706"/>
    <w:rsid w:val="481114EF"/>
    <w:rsid w:val="4A5C7AA2"/>
    <w:rsid w:val="4C5FA8D8"/>
    <w:rsid w:val="4EC73A0D"/>
    <w:rsid w:val="5127EEEC"/>
    <w:rsid w:val="51B79193"/>
    <w:rsid w:val="5ABC12B7"/>
    <w:rsid w:val="5C397411"/>
    <w:rsid w:val="5EDD5DD7"/>
    <w:rsid w:val="65548CE1"/>
    <w:rsid w:val="66F05D42"/>
    <w:rsid w:val="684426D1"/>
    <w:rsid w:val="6B635CCC"/>
    <w:rsid w:val="6EC602D2"/>
    <w:rsid w:val="7036CDEF"/>
    <w:rsid w:val="74854962"/>
    <w:rsid w:val="76A60F73"/>
    <w:rsid w:val="79E59DBB"/>
    <w:rsid w:val="7B798096"/>
    <w:rsid w:val="7B816E1C"/>
    <w:rsid w:val="7D1D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51A6"/>
  <w15:chartTrackingRefBased/>
  <w15:docId w15:val="{2F153EB5-7C29-4716-B057-E29D69DD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71A26"/>
    <w:rPr>
      <w:color w:val="0000FF"/>
      <w:u w:val="single"/>
    </w:rPr>
  </w:style>
  <w:style w:type="paragraph" w:customStyle="1" w:styleId="Default">
    <w:name w:val="Default"/>
    <w:rsid w:val="00971A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94AA2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594A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94AA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94AA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4A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4AA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22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139"/>
  </w:style>
  <w:style w:type="paragraph" w:styleId="Piedepgina">
    <w:name w:val="footer"/>
    <w:basedOn w:val="Normal"/>
    <w:link w:val="PiedepginaCar"/>
    <w:uiPriority w:val="99"/>
    <w:unhideWhenUsed/>
    <w:rsid w:val="00522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139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046">
          <w:marLeft w:val="0"/>
          <w:marRight w:val="0"/>
          <w:marTop w:val="0"/>
          <w:marBottom w:val="0"/>
          <w:divBdr>
            <w:top w:val="single" w:sz="6" w:space="18" w:color="auto"/>
            <w:left w:val="single" w:sz="6" w:space="27" w:color="auto"/>
            <w:bottom w:val="single" w:sz="6" w:space="31" w:color="auto"/>
            <w:right w:val="single" w:sz="6" w:space="31" w:color="auto"/>
          </w:divBdr>
          <w:divsChild>
            <w:div w:id="40053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0158670">
          <w:marLeft w:val="0"/>
          <w:marRight w:val="0"/>
          <w:marTop w:val="0"/>
          <w:marBottom w:val="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11297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1098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4379644">
              <w:marLeft w:val="0"/>
              <w:marRight w:val="135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3415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27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126626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846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287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8" w:color="auto"/>
                                    <w:bottom w:val="single" w:sz="2" w:space="0" w:color="auto"/>
                                    <w:right w:val="single" w:sz="2" w:space="8" w:color="auto"/>
                                  </w:divBdr>
                                  <w:divsChild>
                                    <w:div w:id="141204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46640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17264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9374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4106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89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6911">
          <w:marLeft w:val="0"/>
          <w:marRight w:val="0"/>
          <w:marTop w:val="0"/>
          <w:marBottom w:val="0"/>
          <w:divBdr>
            <w:top w:val="single" w:sz="6" w:space="18" w:color="auto"/>
            <w:left w:val="single" w:sz="6" w:space="27" w:color="auto"/>
            <w:bottom w:val="single" w:sz="6" w:space="31" w:color="auto"/>
            <w:right w:val="single" w:sz="6" w:space="31" w:color="auto"/>
          </w:divBdr>
          <w:divsChild>
            <w:div w:id="1854342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7199436">
          <w:marLeft w:val="0"/>
          <w:marRight w:val="0"/>
          <w:marTop w:val="0"/>
          <w:marBottom w:val="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38015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973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93395563">
              <w:marLeft w:val="0"/>
              <w:marRight w:val="135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871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6993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208215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487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084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8" w:color="auto"/>
                                    <w:bottom w:val="single" w:sz="2" w:space="0" w:color="auto"/>
                                    <w:right w:val="single" w:sz="2" w:space="8" w:color="auto"/>
                                  </w:divBdr>
                                  <w:divsChild>
                                    <w:div w:id="37712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1271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67348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07518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91651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C89362FD2D2A4DB1DB570E7B8114E2" ma:contentTypeVersion="12" ma:contentTypeDescription="Crear nuevo documento." ma:contentTypeScope="" ma:versionID="7fe1d95eae9408530c68dfb7673d5ab6">
  <xsd:schema xmlns:xsd="http://www.w3.org/2001/XMLSchema" xmlns:xs="http://www.w3.org/2001/XMLSchema" xmlns:p="http://schemas.microsoft.com/office/2006/metadata/properties" xmlns:ns2="e4741256-a8b8-4ee6-a3d0-a5793488cace" xmlns:ns3="f678b31e-f56e-4900-994a-cd9f92d8b1b5" targetNamespace="http://schemas.microsoft.com/office/2006/metadata/properties" ma:root="true" ma:fieldsID="4ead655f6c8914a4b1c1de1eb53f4b97" ns2:_="" ns3:_="">
    <xsd:import namespace="e4741256-a8b8-4ee6-a3d0-a5793488cace"/>
    <xsd:import namespace="f678b31e-f56e-4900-994a-cd9f92d8b1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41256-a8b8-4ee6-a3d0-a5793488c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8c0d98d-48c9-4e41-85ab-f8b077efa3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8b31e-f56e-4900-994a-cd9f92d8b1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760f397-d43f-4383-a6aa-e09317689b01}" ma:internalName="TaxCatchAll" ma:showField="CatchAllData" ma:web="f678b31e-f56e-4900-994a-cd9f92d8b1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78b31e-f56e-4900-994a-cd9f92d8b1b5">
      <UserInfo>
        <DisplayName>Stéphane Leblanc</DisplayName>
        <AccountId>21</AccountId>
        <AccountType/>
      </UserInfo>
      <UserInfo>
        <DisplayName>Carl Frenee</DisplayName>
        <AccountId>19</AccountId>
        <AccountType/>
      </UserInfo>
    </SharedWithUsers>
    <lcf76f155ced4ddcb4097134ff3c332f xmlns="e4741256-a8b8-4ee6-a3d0-a5793488cace">
      <Terms xmlns="http://schemas.microsoft.com/office/infopath/2007/PartnerControls"/>
    </lcf76f155ced4ddcb4097134ff3c332f>
    <TaxCatchAll xmlns="f678b31e-f56e-4900-994a-cd9f92d8b1b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4116F9-EC63-41D3-8FF5-BFE042217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741256-a8b8-4ee6-a3d0-a5793488cace"/>
    <ds:schemaRef ds:uri="f678b31e-f56e-4900-994a-cd9f92d8b1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A55B8C-55C0-4670-BE46-599BE8EF39CA}">
  <ds:schemaRefs>
    <ds:schemaRef ds:uri="http://schemas.microsoft.com/office/2006/metadata/properties"/>
    <ds:schemaRef ds:uri="http://schemas.microsoft.com/office/infopath/2007/PartnerControls"/>
    <ds:schemaRef ds:uri="f678b31e-f56e-4900-994a-cd9f92d8b1b5"/>
    <ds:schemaRef ds:uri="e4741256-a8b8-4ee6-a3d0-a5793488cace"/>
  </ds:schemaRefs>
</ds:datastoreItem>
</file>

<file path=customXml/itemProps3.xml><?xml version="1.0" encoding="utf-8"?>
<ds:datastoreItem xmlns:ds="http://schemas.openxmlformats.org/officeDocument/2006/customXml" ds:itemID="{ADED2DEE-3FA0-4A35-95EC-F954B89328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401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Frenee</dc:creator>
  <cp:keywords/>
  <dc:description/>
  <cp:lastModifiedBy>Jeison Stanlin Zabala Castrillon</cp:lastModifiedBy>
  <cp:revision>85</cp:revision>
  <dcterms:created xsi:type="dcterms:W3CDTF">2023-03-31T12:13:00Z</dcterms:created>
  <dcterms:modified xsi:type="dcterms:W3CDTF">2023-10-20T16:22:00Z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0x0101009DC89362FD2D2A4DB1DB570E7B8114E2</vt:lpwstr>
  </property>
  <property fmtid="{D5CDD505-2E9C-101B-9397-08002B2CF9AE}" pid="3" name="MediaServiceImageTags">
    <vt:lpwstr/>
  </property>
</Properties>
</file>