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sz w:val="36"/>
          <w:szCs w:val="36"/>
          <w:lang w:val="en-US" w:eastAsia="zh-CN"/>
        </w:rPr>
      </w:pPr>
      <w:r>
        <w:rPr>
          <w:rFonts w:hint="eastAsia"/>
          <w:sz w:val="36"/>
          <w:szCs w:val="36"/>
          <w:lang w:val="en-US" w:eastAsia="zh-CN"/>
        </w:rPr>
        <w:t>需求跟踪矩阵(RTN)</w:t>
      </w:r>
    </w:p>
    <w:p>
      <w:pPr>
        <w:jc w:val="center"/>
        <w:rPr>
          <w:rFonts w:hint="eastAsia"/>
          <w:sz w:val="30"/>
          <w:szCs w:val="30"/>
          <w:lang w:val="en-US" w:eastAsia="zh-CN"/>
        </w:rPr>
      </w:pPr>
      <w:r>
        <w:rPr>
          <w:rFonts w:hint="eastAsia"/>
          <w:b/>
          <w:bCs/>
          <w:sz w:val="30"/>
          <w:szCs w:val="30"/>
          <w:lang w:val="en-US" w:eastAsia="zh-CN"/>
        </w:rPr>
        <w:t>项目名称：智能家居小管家</w:t>
      </w:r>
    </w:p>
    <w:p>
      <w:pPr>
        <w:rPr>
          <w:rFonts w:hint="default"/>
          <w:lang w:val="en-US" w:eastAsia="zh-CN"/>
        </w:rPr>
      </w:pPr>
    </w:p>
    <w:tbl>
      <w:tblPr>
        <w:tblStyle w:val="4"/>
        <w:tblW w:w="148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618"/>
        <w:gridCol w:w="2222"/>
        <w:gridCol w:w="1898"/>
        <w:gridCol w:w="4680"/>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No.</w:t>
            </w:r>
          </w:p>
        </w:tc>
        <w:tc>
          <w:tcPr>
            <w:tcW w:w="2222" w:type="dxa"/>
            <w:vAlign w:val="center"/>
          </w:tcPr>
          <w:p>
            <w:pPr>
              <w:jc w:val="center"/>
              <w:rPr>
                <w:rFonts w:hint="eastAsia"/>
                <w:vertAlign w:val="baseline"/>
                <w:lang w:val="en-US" w:eastAsia="zh-CN"/>
              </w:rPr>
            </w:pPr>
            <w:r>
              <w:rPr>
                <w:rFonts w:hint="eastAsia"/>
                <w:vertAlign w:val="baseline"/>
                <w:lang w:val="en-US" w:eastAsia="zh-CN"/>
              </w:rPr>
              <w:t>大分类</w:t>
            </w:r>
          </w:p>
          <w:p>
            <w:pPr>
              <w:jc w:val="center"/>
              <w:rPr>
                <w:rFonts w:hint="default"/>
                <w:vertAlign w:val="baseline"/>
                <w:lang w:val="en-US" w:eastAsia="zh-CN"/>
              </w:rPr>
            </w:pPr>
            <w:r>
              <w:rPr>
                <w:rFonts w:hint="eastAsia"/>
                <w:vertAlign w:val="baseline"/>
                <w:lang w:val="en-US" w:eastAsia="zh-CN"/>
              </w:rPr>
              <w:t>(模块)</w:t>
            </w:r>
          </w:p>
        </w:tc>
        <w:tc>
          <w:tcPr>
            <w:tcW w:w="1898" w:type="dxa"/>
            <w:vAlign w:val="center"/>
          </w:tcPr>
          <w:p>
            <w:pPr>
              <w:jc w:val="center"/>
              <w:rPr>
                <w:rFonts w:hint="eastAsia"/>
                <w:vertAlign w:val="baseline"/>
                <w:lang w:val="en-US" w:eastAsia="zh-CN"/>
              </w:rPr>
            </w:pPr>
            <w:r>
              <w:rPr>
                <w:rFonts w:hint="eastAsia"/>
                <w:vertAlign w:val="baseline"/>
                <w:lang w:val="en-US" w:eastAsia="zh-CN"/>
              </w:rPr>
              <w:t>中分类</w:t>
            </w:r>
          </w:p>
          <w:p>
            <w:pPr>
              <w:jc w:val="center"/>
              <w:rPr>
                <w:rFonts w:hint="default"/>
                <w:vertAlign w:val="baseline"/>
                <w:lang w:val="en-US" w:eastAsia="zh-CN"/>
              </w:rPr>
            </w:pPr>
            <w:r>
              <w:rPr>
                <w:rFonts w:hint="eastAsia"/>
                <w:vertAlign w:val="baseline"/>
                <w:lang w:val="en-US" w:eastAsia="zh-CN"/>
              </w:rPr>
              <w:t>(子模块)</w:t>
            </w:r>
          </w:p>
        </w:tc>
        <w:tc>
          <w:tcPr>
            <w:tcW w:w="4680" w:type="dxa"/>
            <w:vAlign w:val="center"/>
          </w:tcPr>
          <w:p>
            <w:pPr>
              <w:jc w:val="center"/>
              <w:rPr>
                <w:rFonts w:hint="eastAsia"/>
                <w:vertAlign w:val="baseline"/>
                <w:lang w:val="en-US" w:eastAsia="zh-CN"/>
              </w:rPr>
            </w:pPr>
            <w:r>
              <w:rPr>
                <w:rFonts w:hint="eastAsia"/>
                <w:vertAlign w:val="baseline"/>
                <w:lang w:val="en-US" w:eastAsia="zh-CN"/>
              </w:rPr>
              <w:t>小分类</w:t>
            </w:r>
          </w:p>
          <w:p>
            <w:pPr>
              <w:jc w:val="center"/>
              <w:rPr>
                <w:rFonts w:hint="default"/>
                <w:vertAlign w:val="baseline"/>
                <w:lang w:val="en-US" w:eastAsia="zh-CN"/>
              </w:rPr>
            </w:pPr>
            <w:r>
              <w:rPr>
                <w:rFonts w:hint="eastAsia"/>
                <w:vertAlign w:val="baseline"/>
                <w:lang w:val="en-US" w:eastAsia="zh-CN"/>
              </w:rPr>
              <w:t>(功能点)</w:t>
            </w:r>
          </w:p>
        </w:tc>
        <w:tc>
          <w:tcPr>
            <w:tcW w:w="5409" w:type="dxa"/>
            <w:vAlign w:val="center"/>
          </w:tcPr>
          <w:p>
            <w:pPr>
              <w:jc w:val="center"/>
              <w:rPr>
                <w:rFonts w:hint="default"/>
                <w:vertAlign w:val="baseline"/>
                <w:lang w:val="en-US" w:eastAsia="zh-CN"/>
              </w:rPr>
            </w:pPr>
            <w:r>
              <w:rPr>
                <w:rFonts w:hint="eastAsia"/>
                <w:vertAlign w:val="baseline"/>
                <w:lang w:val="en-US" w:eastAsia="zh-CN"/>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1</w:t>
            </w:r>
          </w:p>
        </w:tc>
        <w:tc>
          <w:tcPr>
            <w:tcW w:w="2222" w:type="dxa"/>
            <w:vMerge w:val="restart"/>
            <w:vAlign w:val="center"/>
          </w:tcPr>
          <w:p>
            <w:pPr>
              <w:tabs>
                <w:tab w:val="left" w:pos="444"/>
              </w:tabs>
              <w:jc w:val="center"/>
              <w:rPr>
                <w:rFonts w:hint="default"/>
                <w:vertAlign w:val="baseline"/>
                <w:lang w:val="en-US" w:eastAsia="zh-CN"/>
              </w:rPr>
            </w:pPr>
            <w:r>
              <w:rPr>
                <w:rFonts w:hint="eastAsia"/>
                <w:vertAlign w:val="baseline"/>
                <w:lang w:val="en-US" w:eastAsia="zh-CN"/>
              </w:rPr>
              <w:t>数据采集模块</w:t>
            </w:r>
          </w:p>
        </w:tc>
        <w:tc>
          <w:tcPr>
            <w:tcW w:w="1898" w:type="dxa"/>
            <w:vMerge w:val="restart"/>
            <w:vAlign w:val="center"/>
          </w:tcPr>
          <w:p>
            <w:pPr>
              <w:jc w:val="center"/>
              <w:rPr>
                <w:rFonts w:hint="default"/>
                <w:vertAlign w:val="baseline"/>
                <w:lang w:val="en-US" w:eastAsia="zh-CN"/>
              </w:rPr>
            </w:pPr>
            <w:r>
              <w:rPr>
                <w:rFonts w:hint="eastAsia"/>
                <w:vertAlign w:val="baseline"/>
                <w:lang w:val="en-US" w:eastAsia="zh-CN"/>
              </w:rPr>
              <w:t>温度数据采集模块</w:t>
            </w:r>
          </w:p>
        </w:tc>
        <w:tc>
          <w:tcPr>
            <w:tcW w:w="4680" w:type="dxa"/>
            <w:vAlign w:val="center"/>
          </w:tcPr>
          <w:p>
            <w:pPr>
              <w:jc w:val="center"/>
              <w:rPr>
                <w:rFonts w:hint="default"/>
                <w:vertAlign w:val="baseline"/>
                <w:lang w:val="en-US" w:eastAsia="zh-CN"/>
              </w:rPr>
            </w:pPr>
            <w:r>
              <w:rPr>
                <w:rFonts w:hint="eastAsia"/>
                <w:vertAlign w:val="baseline"/>
                <w:lang w:val="en-US" w:eastAsia="zh-CN"/>
              </w:rPr>
              <w:t>模拟温度数据采集</w:t>
            </w:r>
          </w:p>
        </w:tc>
        <w:tc>
          <w:tcPr>
            <w:tcW w:w="5409" w:type="dxa"/>
            <w:vAlign w:val="center"/>
          </w:tcPr>
          <w:p>
            <w:pPr>
              <w:jc w:val="center"/>
              <w:rPr>
                <w:rFonts w:hint="default"/>
                <w:vertAlign w:val="baseline"/>
                <w:lang w:val="en-US" w:eastAsia="zh-CN"/>
              </w:rPr>
            </w:pPr>
            <w:r>
              <w:rPr>
                <w:rFonts w:hint="eastAsia"/>
                <w:vertAlign w:val="baseline"/>
                <w:lang w:val="en-US" w:eastAsia="zh-CN"/>
              </w:rPr>
              <w:t>使用随机数生成模拟温度数据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05" w:hRule="atLeast"/>
        </w:trPr>
        <w:tc>
          <w:tcPr>
            <w:tcW w:w="618" w:type="dxa"/>
            <w:vAlign w:val="center"/>
          </w:tcPr>
          <w:p>
            <w:pPr>
              <w:jc w:val="center"/>
              <w:rPr>
                <w:rFonts w:hint="default"/>
                <w:vertAlign w:val="baseline"/>
                <w:lang w:val="en-US" w:eastAsia="zh-CN"/>
              </w:rPr>
            </w:pPr>
            <w:r>
              <w:rPr>
                <w:rFonts w:hint="eastAsia"/>
                <w:vertAlign w:val="baseline"/>
                <w:lang w:val="en-US" w:eastAsia="zh-CN"/>
              </w:rPr>
              <w:t>2</w:t>
            </w:r>
          </w:p>
        </w:tc>
        <w:tc>
          <w:tcPr>
            <w:tcW w:w="2222" w:type="dxa"/>
            <w:vMerge w:val="continue"/>
            <w:tcBorders/>
            <w:vAlign w:val="center"/>
          </w:tcPr>
          <w:p>
            <w:pPr>
              <w:jc w:val="center"/>
              <w:rPr>
                <w:rFonts w:hint="eastAsia"/>
                <w:vertAlign w:val="baseline"/>
                <w:lang w:val="en-US" w:eastAsia="zh-CN"/>
              </w:rPr>
            </w:pPr>
          </w:p>
        </w:tc>
        <w:tc>
          <w:tcPr>
            <w:tcW w:w="1898" w:type="dxa"/>
            <w:vMerge w:val="continue"/>
            <w:tcBorders/>
            <w:vAlign w:val="center"/>
          </w:tcPr>
          <w:p>
            <w:pPr>
              <w:jc w:val="center"/>
              <w:rPr>
                <w:rFonts w:hint="eastAsia"/>
                <w:vertAlign w:val="baseline"/>
                <w:lang w:val="en-US" w:eastAsia="zh-CN"/>
              </w:rPr>
            </w:pPr>
          </w:p>
        </w:tc>
        <w:tc>
          <w:tcPr>
            <w:tcW w:w="4680" w:type="dxa"/>
            <w:vAlign w:val="center"/>
          </w:tcPr>
          <w:p>
            <w:pPr>
              <w:jc w:val="center"/>
              <w:rPr>
                <w:rFonts w:hint="default"/>
                <w:vertAlign w:val="baseline"/>
                <w:lang w:val="en-US" w:eastAsia="zh-CN"/>
              </w:rPr>
            </w:pPr>
            <w:r>
              <w:rPr>
                <w:rFonts w:hint="eastAsia"/>
                <w:vertAlign w:val="baseline"/>
                <w:lang w:val="en-US" w:eastAsia="zh-CN"/>
              </w:rPr>
              <w:t>温度数据异常检测和处理</w:t>
            </w:r>
          </w:p>
        </w:tc>
        <w:tc>
          <w:tcPr>
            <w:tcW w:w="5409" w:type="dxa"/>
            <w:vAlign w:val="center"/>
          </w:tcPr>
          <w:p>
            <w:pPr>
              <w:jc w:val="center"/>
              <w:rPr>
                <w:rFonts w:hint="default"/>
                <w:vertAlign w:val="baseline"/>
                <w:lang w:val="en-US" w:eastAsia="zh-CN"/>
              </w:rPr>
            </w:pPr>
            <w:r>
              <w:rPr>
                <w:rFonts w:hint="eastAsia"/>
                <w:vertAlign w:val="baseline"/>
                <w:lang w:val="en-US" w:eastAsia="zh-CN"/>
              </w:rPr>
              <w:t>检测温度数据是否超出预设范围，如果异常则触发相应的报警和处理逻辑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3</w:t>
            </w:r>
          </w:p>
        </w:tc>
        <w:tc>
          <w:tcPr>
            <w:tcW w:w="2222" w:type="dxa"/>
            <w:vMerge w:val="continue"/>
            <w:tcBorders/>
            <w:vAlign w:val="center"/>
          </w:tcPr>
          <w:p>
            <w:pPr>
              <w:jc w:val="center"/>
              <w:rPr>
                <w:rFonts w:hint="eastAsia"/>
                <w:vertAlign w:val="baseline"/>
                <w:lang w:val="en-US" w:eastAsia="zh-CN"/>
              </w:rPr>
            </w:pPr>
          </w:p>
        </w:tc>
        <w:tc>
          <w:tcPr>
            <w:tcW w:w="1898" w:type="dxa"/>
            <w:vMerge w:val="restart"/>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湿度数据采集模块</w:t>
            </w:r>
          </w:p>
        </w:tc>
        <w:tc>
          <w:tcPr>
            <w:tcW w:w="4680"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模拟湿度数据采集</w:t>
            </w:r>
          </w:p>
        </w:tc>
        <w:tc>
          <w:tcPr>
            <w:tcW w:w="5409"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使用随机数生成模拟湿度数据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4</w:t>
            </w:r>
          </w:p>
        </w:tc>
        <w:tc>
          <w:tcPr>
            <w:tcW w:w="2222" w:type="dxa"/>
            <w:vMerge w:val="continue"/>
            <w:tcBorders/>
            <w:vAlign w:val="center"/>
          </w:tcPr>
          <w:p>
            <w:pPr>
              <w:jc w:val="center"/>
              <w:rPr>
                <w:rFonts w:hint="eastAsia"/>
                <w:vertAlign w:val="baseline"/>
                <w:lang w:val="en-US" w:eastAsia="zh-CN"/>
              </w:rPr>
            </w:pPr>
          </w:p>
        </w:tc>
        <w:tc>
          <w:tcPr>
            <w:tcW w:w="1898" w:type="dxa"/>
            <w:vMerge w:val="continue"/>
            <w:tcBorders/>
            <w:vAlign w:val="center"/>
          </w:tcPr>
          <w:p>
            <w:pPr>
              <w:jc w:val="center"/>
              <w:rPr>
                <w:rFonts w:hint="default"/>
                <w:vertAlign w:val="baseline"/>
                <w:lang w:val="en-US" w:eastAsia="zh-CN"/>
              </w:rPr>
            </w:pPr>
          </w:p>
        </w:tc>
        <w:tc>
          <w:tcPr>
            <w:tcW w:w="4680"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湿度数据异常检测和处理</w:t>
            </w:r>
          </w:p>
        </w:tc>
        <w:tc>
          <w:tcPr>
            <w:tcW w:w="5409"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检测湿度数据是否超出预设范围，如果异常则触发相应的报警和处理逻辑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5</w:t>
            </w:r>
          </w:p>
        </w:tc>
        <w:tc>
          <w:tcPr>
            <w:tcW w:w="2222" w:type="dxa"/>
            <w:vMerge w:val="continue"/>
            <w:tcBorders/>
            <w:vAlign w:val="center"/>
          </w:tcPr>
          <w:p>
            <w:pPr>
              <w:jc w:val="center"/>
              <w:rPr>
                <w:rFonts w:hint="eastAsia"/>
                <w:vertAlign w:val="baseline"/>
                <w:lang w:val="en-US" w:eastAsia="zh-CN"/>
              </w:rPr>
            </w:pPr>
          </w:p>
        </w:tc>
        <w:tc>
          <w:tcPr>
            <w:tcW w:w="1898" w:type="dxa"/>
            <w:vMerge w:val="restart"/>
            <w:vAlign w:val="center"/>
          </w:tcPr>
          <w:p>
            <w:pPr>
              <w:jc w:val="center"/>
              <w:rPr>
                <w:rFonts w:hint="eastAsia"/>
                <w:vertAlign w:val="baseline"/>
                <w:lang w:val="en-US" w:eastAsia="zh-CN"/>
              </w:rPr>
            </w:pPr>
            <w:r>
              <w:rPr>
                <w:rFonts w:hint="eastAsia"/>
                <w:vertAlign w:val="baseline"/>
                <w:lang w:val="en-US" w:eastAsia="zh-CN"/>
              </w:rPr>
              <w:t>光照数据采集模块</w:t>
            </w:r>
          </w:p>
        </w:tc>
        <w:tc>
          <w:tcPr>
            <w:tcW w:w="4680"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模拟光照数据采集</w:t>
            </w:r>
          </w:p>
        </w:tc>
        <w:tc>
          <w:tcPr>
            <w:tcW w:w="5409" w:type="dxa"/>
            <w:vAlign w:val="center"/>
          </w:tcPr>
          <w:p>
            <w:pPr>
              <w:jc w:val="center"/>
              <w:rPr>
                <w:rFonts w:hint="eastAsia"/>
                <w:vertAlign w:val="baseline"/>
                <w:lang w:val="en-US" w:eastAsia="zh-CN"/>
              </w:rPr>
            </w:pPr>
            <w:r>
              <w:rPr>
                <w:rFonts w:hint="eastAsia"/>
                <w:vertAlign w:val="baseline"/>
                <w:lang w:val="en-US" w:eastAsia="zh-CN"/>
              </w:rPr>
              <w:t>检测光照数据是否超出预设范围，如果异常则触发相应的报警和处理逻辑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6</w:t>
            </w:r>
          </w:p>
        </w:tc>
        <w:tc>
          <w:tcPr>
            <w:tcW w:w="2222" w:type="dxa"/>
            <w:vMerge w:val="continue"/>
            <w:tcBorders/>
            <w:vAlign w:val="center"/>
          </w:tcPr>
          <w:p>
            <w:pPr>
              <w:jc w:val="center"/>
              <w:rPr>
                <w:rFonts w:hint="default"/>
                <w:vertAlign w:val="baseline"/>
                <w:lang w:val="en-US" w:eastAsia="zh-CN"/>
              </w:rPr>
            </w:pPr>
          </w:p>
        </w:tc>
        <w:tc>
          <w:tcPr>
            <w:tcW w:w="1898" w:type="dxa"/>
            <w:vMerge w:val="continue"/>
            <w:tcBorders/>
            <w:vAlign w:val="center"/>
          </w:tcPr>
          <w:p>
            <w:pPr>
              <w:jc w:val="center"/>
              <w:rPr>
                <w:rFonts w:hint="eastAsia"/>
                <w:vertAlign w:val="baseline"/>
                <w:lang w:val="en-US" w:eastAsia="zh-CN"/>
              </w:rPr>
            </w:pPr>
          </w:p>
        </w:tc>
        <w:tc>
          <w:tcPr>
            <w:tcW w:w="4680"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光照数据异常检测和处理</w:t>
            </w: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7</w:t>
            </w:r>
          </w:p>
        </w:tc>
        <w:tc>
          <w:tcPr>
            <w:tcW w:w="2222" w:type="dxa"/>
            <w:vMerge w:val="continue"/>
            <w:tcBorders/>
            <w:vAlign w:val="center"/>
          </w:tcPr>
          <w:p>
            <w:pPr>
              <w:jc w:val="center"/>
              <w:rPr>
                <w:rFonts w:hint="eastAsia"/>
                <w:vertAlign w:val="baseline"/>
                <w:lang w:val="en-US" w:eastAsia="zh-CN"/>
              </w:rPr>
            </w:pPr>
          </w:p>
        </w:tc>
        <w:tc>
          <w:tcPr>
            <w:tcW w:w="1898" w:type="dxa"/>
            <w:vAlign w:val="center"/>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其他智能家居参数数据采集模块</w:t>
            </w:r>
          </w:p>
        </w:tc>
        <w:tc>
          <w:tcPr>
            <w:tcW w:w="4680" w:type="dxa"/>
            <w:vAlign w:val="center"/>
          </w:tcPr>
          <w:p>
            <w:pPr>
              <w:jc w:val="center"/>
              <w:rPr>
                <w:rFonts w:hint="default"/>
                <w:vertAlign w:val="baseline"/>
                <w:lang w:val="en-US" w:eastAsia="zh-CN"/>
              </w:rPr>
            </w:pPr>
            <w:r>
              <w:rPr>
                <w:rFonts w:hint="eastAsia"/>
                <w:vertAlign w:val="baseline"/>
                <w:lang w:val="en-US" w:eastAsia="zh-CN"/>
              </w:rPr>
              <w:t>根据其他家居需求采集相关数据并处理</w:t>
            </w:r>
          </w:p>
        </w:tc>
        <w:tc>
          <w:tcPr>
            <w:tcW w:w="5409" w:type="dxa"/>
            <w:vAlign w:val="center"/>
          </w:tcPr>
          <w:p>
            <w:pPr>
              <w:jc w:val="center"/>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8</w:t>
            </w:r>
          </w:p>
        </w:tc>
        <w:tc>
          <w:tcPr>
            <w:tcW w:w="2222" w:type="dxa"/>
            <w:vMerge w:val="restart"/>
            <w:vAlign w:val="center"/>
          </w:tcPr>
          <w:p>
            <w:pPr>
              <w:jc w:val="center"/>
              <w:rPr>
                <w:rFonts w:hint="default"/>
                <w:vertAlign w:val="baseline"/>
                <w:lang w:val="en-US" w:eastAsia="zh-CN"/>
              </w:rPr>
            </w:pPr>
            <w:r>
              <w:rPr>
                <w:rFonts w:hint="eastAsia"/>
                <w:vertAlign w:val="baseline"/>
                <w:lang w:val="en-US" w:eastAsia="zh-CN"/>
              </w:rPr>
              <w:t>通讯模块</w:t>
            </w:r>
          </w:p>
        </w:tc>
        <w:tc>
          <w:tcPr>
            <w:tcW w:w="1898" w:type="dxa"/>
            <w:vMerge w:val="restart"/>
            <w:vAlign w:val="center"/>
          </w:tcPr>
          <w:p>
            <w:pPr>
              <w:jc w:val="center"/>
              <w:rPr>
                <w:rFonts w:hint="default"/>
                <w:vertAlign w:val="baseline"/>
                <w:lang w:val="en-US" w:eastAsia="zh-CN"/>
              </w:rPr>
            </w:pPr>
            <w:r>
              <w:rPr>
                <w:rFonts w:hint="eastAsia"/>
                <w:vertAlign w:val="baseline"/>
                <w:lang w:val="en-US" w:eastAsia="zh-CN"/>
              </w:rPr>
              <w:t>网络通信模块</w:t>
            </w:r>
          </w:p>
        </w:tc>
        <w:tc>
          <w:tcPr>
            <w:tcW w:w="4680" w:type="dxa"/>
            <w:vAlign w:val="center"/>
          </w:tcPr>
          <w:p>
            <w:pPr>
              <w:jc w:val="center"/>
              <w:rPr>
                <w:rFonts w:hint="default"/>
                <w:vertAlign w:val="baseline"/>
                <w:lang w:val="en-US" w:eastAsia="zh-CN"/>
              </w:rPr>
            </w:pPr>
            <w:r>
              <w:rPr>
                <w:rFonts w:hint="eastAsia"/>
                <w:vertAlign w:val="baseline"/>
                <w:lang w:val="en-US" w:eastAsia="zh-CN"/>
              </w:rPr>
              <w:t>建立与服务器的网络连接</w:t>
            </w:r>
          </w:p>
        </w:tc>
        <w:tc>
          <w:tcPr>
            <w:tcW w:w="5409" w:type="dxa"/>
            <w:vAlign w:val="center"/>
          </w:tcPr>
          <w:p>
            <w:pPr>
              <w:jc w:val="center"/>
              <w:rPr>
                <w:rFonts w:hint="default"/>
                <w:vertAlign w:val="baseline"/>
                <w:lang w:val="en-US" w:eastAsia="zh-CN"/>
              </w:rPr>
            </w:pPr>
            <w:r>
              <w:rPr>
                <w:rFonts w:hint="eastAsia"/>
                <w:vertAlign w:val="baseline"/>
                <w:lang w:val="en-US" w:eastAsia="zh-CN"/>
              </w:rPr>
              <w:t>通过Socket建立与服务器的TCP/IP连接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9</w:t>
            </w:r>
          </w:p>
        </w:tc>
        <w:tc>
          <w:tcPr>
            <w:tcW w:w="2222" w:type="dxa"/>
            <w:vMerge w:val="continue"/>
            <w:tcBorders/>
            <w:vAlign w:val="center"/>
          </w:tcPr>
          <w:p>
            <w:pPr>
              <w:jc w:val="center"/>
              <w:rPr>
                <w:rFonts w:hint="eastAsia"/>
                <w:vertAlign w:val="baseline"/>
                <w:lang w:val="en-US" w:eastAsia="zh-CN"/>
              </w:rPr>
            </w:pPr>
          </w:p>
        </w:tc>
        <w:tc>
          <w:tcPr>
            <w:tcW w:w="1898" w:type="dxa"/>
            <w:vMerge w:val="continue"/>
            <w:tcBorders/>
            <w:vAlign w:val="center"/>
          </w:tcPr>
          <w:p>
            <w:pPr>
              <w:jc w:val="center"/>
              <w:rPr>
                <w:rFonts w:hint="eastAsia"/>
                <w:vertAlign w:val="baseline"/>
                <w:lang w:val="en-US" w:eastAsia="zh-CN"/>
              </w:rPr>
            </w:pPr>
          </w:p>
        </w:tc>
        <w:tc>
          <w:tcPr>
            <w:tcW w:w="4680" w:type="dxa"/>
            <w:vAlign w:val="center"/>
          </w:tcPr>
          <w:p>
            <w:pPr>
              <w:jc w:val="center"/>
              <w:rPr>
                <w:rFonts w:hint="default"/>
                <w:vertAlign w:val="baseline"/>
                <w:lang w:val="en-US" w:eastAsia="zh-CN"/>
              </w:rPr>
            </w:pPr>
            <w:r>
              <w:rPr>
                <w:rFonts w:hint="eastAsia"/>
                <w:vertAlign w:val="baseline"/>
                <w:lang w:val="en-US" w:eastAsia="zh-CN"/>
              </w:rPr>
              <w:t>实现Socket通信协议</w:t>
            </w:r>
          </w:p>
        </w:tc>
        <w:tc>
          <w:tcPr>
            <w:tcW w:w="5409" w:type="dxa"/>
            <w:vAlign w:val="center"/>
          </w:tcPr>
          <w:p>
            <w:pPr>
              <w:jc w:val="center"/>
              <w:rPr>
                <w:rFonts w:hint="default"/>
                <w:vertAlign w:val="baseline"/>
                <w:lang w:val="en-US" w:eastAsia="zh-CN"/>
              </w:rPr>
            </w:pPr>
            <w:r>
              <w:rPr>
                <w:rFonts w:hint="eastAsia"/>
                <w:vertAlign w:val="baseline"/>
                <w:lang w:val="en-US" w:eastAsia="zh-CN"/>
              </w:rPr>
              <w:t>使用C语言和Socket库实现数据的发送和接收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10</w:t>
            </w:r>
          </w:p>
        </w:tc>
        <w:tc>
          <w:tcPr>
            <w:tcW w:w="2222" w:type="dxa"/>
            <w:vMerge w:val="continue"/>
            <w:tcBorders/>
            <w:vAlign w:val="center"/>
          </w:tcPr>
          <w:p>
            <w:pPr>
              <w:jc w:val="center"/>
              <w:rPr>
                <w:rFonts w:hint="eastAsia"/>
                <w:vertAlign w:val="baseline"/>
                <w:lang w:val="en-US" w:eastAsia="zh-CN"/>
              </w:rPr>
            </w:pPr>
          </w:p>
        </w:tc>
        <w:tc>
          <w:tcPr>
            <w:tcW w:w="1898" w:type="dxa"/>
            <w:vMerge w:val="continue"/>
            <w:tcBorders/>
            <w:vAlign w:val="center"/>
          </w:tcPr>
          <w:p>
            <w:pPr>
              <w:jc w:val="center"/>
              <w:rPr>
                <w:rFonts w:hint="default"/>
                <w:vertAlign w:val="baseline"/>
                <w:lang w:val="en-US" w:eastAsia="zh-CN"/>
              </w:rPr>
            </w:pPr>
          </w:p>
        </w:tc>
        <w:tc>
          <w:tcPr>
            <w:tcW w:w="4680" w:type="dxa"/>
            <w:vAlign w:val="center"/>
          </w:tcPr>
          <w:p>
            <w:pPr>
              <w:jc w:val="center"/>
              <w:rPr>
                <w:rFonts w:hint="default"/>
                <w:vertAlign w:val="baseline"/>
                <w:lang w:val="en-US" w:eastAsia="zh-CN"/>
              </w:rPr>
            </w:pPr>
            <w:r>
              <w:rPr>
                <w:rFonts w:hint="eastAsia"/>
                <w:vertAlign w:val="baseline"/>
                <w:lang w:val="en-US" w:eastAsia="zh-CN"/>
              </w:rPr>
              <w:t>数据的发送和接收</w:t>
            </w:r>
          </w:p>
        </w:tc>
        <w:tc>
          <w:tcPr>
            <w:tcW w:w="5409" w:type="dxa"/>
            <w:vAlign w:val="center"/>
          </w:tcPr>
          <w:p>
            <w:pPr>
              <w:jc w:val="center"/>
              <w:rPr>
                <w:rFonts w:hint="default"/>
                <w:vertAlign w:val="baseline"/>
                <w:lang w:val="en-US" w:eastAsia="zh-CN"/>
              </w:rPr>
            </w:pPr>
            <w:r>
              <w:rPr>
                <w:rFonts w:hint="eastAsia"/>
                <w:vertAlign w:val="baseline"/>
                <w:lang w:val="en-US" w:eastAsia="zh-CN"/>
              </w:rPr>
              <w:t>将采集的数据封装成数据包发送给服务器，并接收服务器的响应数据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77" w:hRule="atLeast"/>
        </w:trPr>
        <w:tc>
          <w:tcPr>
            <w:tcW w:w="618" w:type="dxa"/>
            <w:vAlign w:val="center"/>
          </w:tcPr>
          <w:p>
            <w:pPr>
              <w:jc w:val="center"/>
              <w:rPr>
                <w:rFonts w:hint="default"/>
                <w:vertAlign w:val="baseline"/>
                <w:lang w:val="en-US" w:eastAsia="zh-CN"/>
              </w:rPr>
            </w:pPr>
            <w:r>
              <w:rPr>
                <w:rFonts w:hint="eastAsia"/>
                <w:vertAlign w:val="baseline"/>
                <w:lang w:val="en-US" w:eastAsia="zh-CN"/>
              </w:rPr>
              <w:t>11</w:t>
            </w:r>
          </w:p>
        </w:tc>
        <w:tc>
          <w:tcPr>
            <w:tcW w:w="2222" w:type="dxa"/>
            <w:vMerge w:val="continue"/>
            <w:tcBorders/>
            <w:vAlign w:val="center"/>
          </w:tcPr>
          <w:p>
            <w:pPr>
              <w:jc w:val="center"/>
              <w:rPr>
                <w:rFonts w:hint="eastAsia"/>
                <w:vertAlign w:val="baseline"/>
                <w:lang w:val="en-US" w:eastAsia="zh-CN"/>
              </w:rPr>
            </w:pPr>
          </w:p>
        </w:tc>
        <w:tc>
          <w:tcPr>
            <w:tcW w:w="1898" w:type="dxa"/>
            <w:vMerge w:val="continue"/>
            <w:tcBorders/>
            <w:vAlign w:val="center"/>
          </w:tcPr>
          <w:p>
            <w:pPr>
              <w:jc w:val="center"/>
              <w:rPr>
                <w:rFonts w:hint="eastAsia"/>
                <w:vertAlign w:val="baseline"/>
                <w:lang w:val="en-US" w:eastAsia="zh-CN"/>
              </w:rPr>
            </w:pPr>
          </w:p>
        </w:tc>
        <w:tc>
          <w:tcPr>
            <w:tcW w:w="4680" w:type="dxa"/>
            <w:vAlign w:val="center"/>
          </w:tcPr>
          <w:p>
            <w:pPr>
              <w:jc w:val="center"/>
              <w:rPr>
                <w:rFonts w:hint="default"/>
                <w:vertAlign w:val="baseline"/>
                <w:lang w:val="en-US" w:eastAsia="zh-CN"/>
              </w:rPr>
            </w:pPr>
            <w:r>
              <w:rPr>
                <w:rFonts w:hint="eastAsia"/>
                <w:vertAlign w:val="baseline"/>
                <w:lang w:val="en-US" w:eastAsia="zh-CN"/>
              </w:rPr>
              <w:t>错误处理和重连机制</w:t>
            </w:r>
          </w:p>
        </w:tc>
        <w:tc>
          <w:tcPr>
            <w:tcW w:w="5409" w:type="dxa"/>
            <w:vAlign w:val="center"/>
          </w:tcPr>
          <w:p>
            <w:pPr>
              <w:jc w:val="center"/>
              <w:rPr>
                <w:rFonts w:hint="default"/>
                <w:vertAlign w:val="baseline"/>
                <w:lang w:val="en-US" w:eastAsia="zh-CN"/>
              </w:rPr>
            </w:pPr>
            <w:r>
              <w:rPr>
                <w:rFonts w:hint="eastAsia"/>
                <w:vertAlign w:val="baseline"/>
                <w:lang w:val="en-US" w:eastAsia="zh-CN"/>
              </w:rPr>
              <w:t>处理网络通信过程中的错误，包括连接断开、数据包丢失等情况，并实现自动重连机制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12</w:t>
            </w:r>
          </w:p>
        </w:tc>
        <w:tc>
          <w:tcPr>
            <w:tcW w:w="2222" w:type="dxa"/>
            <w:vMerge w:val="restart"/>
            <w:vAlign w:val="center"/>
          </w:tcPr>
          <w:p>
            <w:pPr>
              <w:jc w:val="center"/>
              <w:rPr>
                <w:rFonts w:hint="default"/>
                <w:vertAlign w:val="baseline"/>
                <w:lang w:val="en-US" w:eastAsia="zh-CN"/>
              </w:rPr>
            </w:pPr>
            <w:r>
              <w:rPr>
                <w:rFonts w:hint="eastAsia"/>
                <w:vertAlign w:val="baseline"/>
                <w:lang w:val="en-US" w:eastAsia="zh-CN"/>
              </w:rPr>
              <w:t>服务端处理模块</w:t>
            </w:r>
          </w:p>
        </w:tc>
        <w:tc>
          <w:tcPr>
            <w:tcW w:w="1898" w:type="dxa"/>
            <w:vMerge w:val="restart"/>
            <w:vAlign w:val="center"/>
          </w:tcPr>
          <w:p>
            <w:pPr>
              <w:jc w:val="center"/>
              <w:rPr>
                <w:rFonts w:hint="default"/>
                <w:vertAlign w:val="baseline"/>
                <w:lang w:val="en-US" w:eastAsia="zh-CN"/>
              </w:rPr>
            </w:pPr>
            <w:r>
              <w:rPr>
                <w:rFonts w:hint="eastAsia"/>
                <w:vertAlign w:val="baseline"/>
                <w:lang w:val="en-US" w:eastAsia="zh-CN"/>
              </w:rPr>
              <w:t>数据接收和存储模块</w:t>
            </w:r>
          </w:p>
        </w:tc>
        <w:tc>
          <w:tcPr>
            <w:tcW w:w="4680" w:type="dxa"/>
            <w:vAlign w:val="center"/>
          </w:tcPr>
          <w:p>
            <w:pPr>
              <w:jc w:val="center"/>
              <w:rPr>
                <w:rFonts w:hint="default"/>
                <w:vertAlign w:val="baseline"/>
                <w:lang w:val="en-US" w:eastAsia="zh-CN"/>
              </w:rPr>
            </w:pPr>
            <w:r>
              <w:rPr>
                <w:rFonts w:hint="eastAsia"/>
                <w:vertAlign w:val="baseline"/>
                <w:lang w:val="en-US" w:eastAsia="zh-CN"/>
              </w:rPr>
              <w:t>接收收集的数据并存储到数据库或文件系统</w:t>
            </w:r>
          </w:p>
        </w:tc>
        <w:tc>
          <w:tcPr>
            <w:tcW w:w="5409" w:type="dxa"/>
            <w:vAlign w:val="center"/>
          </w:tcPr>
          <w:p>
            <w:pPr>
              <w:jc w:val="center"/>
              <w:rPr>
                <w:rFonts w:hint="default"/>
                <w:vertAlign w:val="baseline"/>
                <w:lang w:val="en-US" w:eastAsia="zh-CN"/>
              </w:rPr>
            </w:pPr>
            <w:r>
              <w:rPr>
                <w:rFonts w:hint="eastAsia"/>
                <w:vertAlign w:val="baseline"/>
                <w:lang w:val="en-US" w:eastAsia="zh-CN"/>
              </w:rPr>
              <w:t>接收从客户端发送的数据包，并将数据存储到数据库或文件系统中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13</w:t>
            </w:r>
          </w:p>
        </w:tc>
        <w:tc>
          <w:tcPr>
            <w:tcW w:w="2222" w:type="dxa"/>
            <w:vMerge w:val="continue"/>
            <w:tcBorders/>
            <w:vAlign w:val="center"/>
          </w:tcPr>
          <w:p>
            <w:pPr>
              <w:jc w:val="center"/>
              <w:rPr>
                <w:rFonts w:hint="eastAsia"/>
                <w:vertAlign w:val="baseline"/>
                <w:lang w:val="en-US" w:eastAsia="zh-CN"/>
              </w:rPr>
            </w:pPr>
          </w:p>
        </w:tc>
        <w:tc>
          <w:tcPr>
            <w:tcW w:w="1898" w:type="dxa"/>
            <w:vMerge w:val="continue"/>
            <w:tcBorders/>
            <w:vAlign w:val="center"/>
          </w:tcPr>
          <w:p>
            <w:pPr>
              <w:jc w:val="center"/>
              <w:rPr>
                <w:rFonts w:hint="default"/>
                <w:vertAlign w:val="baseline"/>
                <w:lang w:val="en-US" w:eastAsia="zh-CN"/>
              </w:rPr>
            </w:pPr>
          </w:p>
        </w:tc>
        <w:tc>
          <w:tcPr>
            <w:tcW w:w="4680" w:type="dxa"/>
            <w:vAlign w:val="center"/>
          </w:tcPr>
          <w:p>
            <w:pPr>
              <w:jc w:val="center"/>
              <w:rPr>
                <w:rFonts w:hint="default"/>
                <w:vertAlign w:val="baseline"/>
                <w:lang w:val="en-US" w:eastAsia="zh-CN"/>
              </w:rPr>
            </w:pPr>
            <w:r>
              <w:rPr>
                <w:rFonts w:hint="eastAsia"/>
                <w:vertAlign w:val="baseline"/>
                <w:lang w:val="en-US" w:eastAsia="zh-CN"/>
              </w:rPr>
              <w:t>数据的去重和校验</w:t>
            </w:r>
          </w:p>
        </w:tc>
        <w:tc>
          <w:tcPr>
            <w:tcW w:w="5409" w:type="dxa"/>
            <w:vAlign w:val="center"/>
          </w:tcPr>
          <w:p>
            <w:pPr>
              <w:jc w:val="center"/>
              <w:rPr>
                <w:rFonts w:hint="default"/>
                <w:vertAlign w:val="baseline"/>
                <w:lang w:val="en-US" w:eastAsia="zh-CN"/>
              </w:rPr>
            </w:pPr>
            <w:r>
              <w:rPr>
                <w:rFonts w:hint="eastAsia"/>
                <w:vertAlign w:val="baseline"/>
                <w:lang w:val="en-US" w:eastAsia="zh-CN"/>
              </w:rPr>
              <w:t>对接收到的数据进行去重和校验，确保数据的完整性和准确性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93" w:hRule="atLeast"/>
        </w:trPr>
        <w:tc>
          <w:tcPr>
            <w:tcW w:w="618" w:type="dxa"/>
            <w:vAlign w:val="center"/>
          </w:tcPr>
          <w:p>
            <w:pPr>
              <w:jc w:val="center"/>
              <w:rPr>
                <w:rFonts w:hint="default"/>
                <w:vertAlign w:val="baseline"/>
                <w:lang w:val="en-US" w:eastAsia="zh-CN"/>
              </w:rPr>
            </w:pPr>
            <w:r>
              <w:rPr>
                <w:rFonts w:hint="eastAsia"/>
                <w:vertAlign w:val="baseline"/>
                <w:lang w:val="en-US" w:eastAsia="zh-CN"/>
              </w:rPr>
              <w:t>14</w:t>
            </w:r>
          </w:p>
        </w:tc>
        <w:tc>
          <w:tcPr>
            <w:tcW w:w="2222" w:type="dxa"/>
            <w:vMerge w:val="continue"/>
            <w:tcBorders/>
            <w:vAlign w:val="center"/>
          </w:tcPr>
          <w:p>
            <w:pPr>
              <w:jc w:val="center"/>
              <w:rPr>
                <w:rFonts w:hint="eastAsia"/>
                <w:vertAlign w:val="baseline"/>
                <w:lang w:val="en-US" w:eastAsia="zh-CN"/>
              </w:rPr>
            </w:pPr>
          </w:p>
        </w:tc>
        <w:tc>
          <w:tcPr>
            <w:tcW w:w="1898" w:type="dxa"/>
            <w:vMerge w:val="continue"/>
            <w:tcBorders/>
            <w:vAlign w:val="center"/>
          </w:tcPr>
          <w:p>
            <w:pPr>
              <w:jc w:val="center"/>
              <w:rPr>
                <w:rFonts w:hint="default"/>
                <w:vertAlign w:val="baseline"/>
                <w:lang w:val="en-US" w:eastAsia="zh-CN"/>
              </w:rPr>
            </w:pPr>
          </w:p>
        </w:tc>
        <w:tc>
          <w:tcPr>
            <w:tcW w:w="4680" w:type="dxa"/>
            <w:vAlign w:val="center"/>
          </w:tcPr>
          <w:p>
            <w:pPr>
              <w:jc w:val="center"/>
              <w:rPr>
                <w:rFonts w:hint="default"/>
                <w:vertAlign w:val="baseline"/>
                <w:lang w:val="en-US" w:eastAsia="zh-CN"/>
              </w:rPr>
            </w:pPr>
            <w:r>
              <w:rPr>
                <w:rFonts w:hint="eastAsia"/>
                <w:vertAlign w:val="baseline"/>
                <w:lang w:val="en-US" w:eastAsia="zh-CN"/>
              </w:rPr>
              <w:t>数据存储的容错机制</w:t>
            </w:r>
          </w:p>
        </w:tc>
        <w:tc>
          <w:tcPr>
            <w:tcW w:w="5409" w:type="dxa"/>
            <w:vAlign w:val="center"/>
          </w:tcPr>
          <w:p>
            <w:pPr>
              <w:jc w:val="center"/>
              <w:rPr>
                <w:rFonts w:hint="default"/>
                <w:vertAlign w:val="baseline"/>
                <w:lang w:val="en-US" w:eastAsia="zh-CN"/>
              </w:rPr>
            </w:pPr>
            <w:r>
              <w:rPr>
                <w:rFonts w:hint="eastAsia"/>
                <w:vertAlign w:val="baseline"/>
                <w:lang w:val="en-US" w:eastAsia="zh-CN"/>
              </w:rPr>
              <w:t>实现数据的持久化存储，并具备容错机制，以防数据丢失或损坏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15</w:t>
            </w:r>
          </w:p>
        </w:tc>
        <w:tc>
          <w:tcPr>
            <w:tcW w:w="2222" w:type="dxa"/>
            <w:vMerge w:val="continue"/>
            <w:tcBorders/>
            <w:vAlign w:val="center"/>
          </w:tcPr>
          <w:p>
            <w:pPr>
              <w:jc w:val="center"/>
              <w:rPr>
                <w:rFonts w:hint="eastAsia"/>
                <w:vertAlign w:val="baseline"/>
                <w:lang w:val="en-US" w:eastAsia="zh-CN"/>
              </w:rPr>
            </w:pPr>
          </w:p>
        </w:tc>
        <w:tc>
          <w:tcPr>
            <w:tcW w:w="1898" w:type="dxa"/>
            <w:vAlign w:val="center"/>
          </w:tcPr>
          <w:p>
            <w:pPr>
              <w:jc w:val="cente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数据识别和加工模块</w:t>
            </w:r>
          </w:p>
        </w:tc>
        <w:tc>
          <w:tcPr>
            <w:tcW w:w="4680" w:type="dxa"/>
            <w:vAlign w:val="center"/>
          </w:tcPr>
          <w:p>
            <w:pPr>
              <w:jc w:val="center"/>
              <w:rPr>
                <w:rFonts w:hint="default"/>
                <w:vertAlign w:val="baseline"/>
                <w:lang w:val="en-US" w:eastAsia="zh-CN"/>
              </w:rPr>
            </w:pPr>
            <w:r>
              <w:rPr>
                <w:rFonts w:hint="eastAsia"/>
                <w:vertAlign w:val="baseline"/>
                <w:lang w:val="en-US" w:eastAsia="zh-CN"/>
              </w:rPr>
              <w:t>对收集的数据进行解析和识别</w:t>
            </w:r>
          </w:p>
        </w:tc>
        <w:tc>
          <w:tcPr>
            <w:tcW w:w="5409" w:type="dxa"/>
            <w:vAlign w:val="center"/>
          </w:tcPr>
          <w:p>
            <w:pPr>
              <w:jc w:val="center"/>
              <w:rPr>
                <w:rFonts w:hint="default"/>
                <w:vertAlign w:val="baseline"/>
                <w:lang w:val="en-US" w:eastAsia="zh-CN"/>
              </w:rPr>
            </w:pPr>
            <w:r>
              <w:rPr>
                <w:rFonts w:hint="eastAsia"/>
                <w:vertAlign w:val="baseline"/>
                <w:lang w:val="en-US" w:eastAsia="zh-CN"/>
              </w:rPr>
              <w:t>识别出各个传感器的数据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16</w:t>
            </w:r>
          </w:p>
        </w:tc>
        <w:tc>
          <w:tcPr>
            <w:tcW w:w="2222" w:type="dxa"/>
            <w:vMerge w:val="continue"/>
            <w:tcBorders/>
            <w:vAlign w:val="center"/>
          </w:tcPr>
          <w:p>
            <w:pPr>
              <w:jc w:val="center"/>
              <w:rPr>
                <w:rFonts w:hint="eastAsia"/>
                <w:vertAlign w:val="baseline"/>
                <w:lang w:val="en-US" w:eastAsia="zh-CN"/>
              </w:rPr>
            </w:pPr>
          </w:p>
        </w:tc>
        <w:tc>
          <w:tcPr>
            <w:tcW w:w="1898"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p>
        </w:tc>
        <w:tc>
          <w:tcPr>
            <w:tcW w:w="4680" w:type="dxa"/>
            <w:vAlign w:val="center"/>
          </w:tcPr>
          <w:p>
            <w:pPr>
              <w:jc w:val="center"/>
              <w:rPr>
                <w:rFonts w:hint="default"/>
                <w:vertAlign w:val="baseline"/>
                <w:lang w:val="en-US" w:eastAsia="zh-CN"/>
              </w:rPr>
            </w:pPr>
            <w:r>
              <w:rPr>
                <w:rFonts w:hint="eastAsia"/>
                <w:vertAlign w:val="baseline"/>
                <w:lang w:val="en-US" w:eastAsia="zh-CN"/>
              </w:rPr>
              <w:t>数据的预处理和清洗</w:t>
            </w:r>
          </w:p>
        </w:tc>
        <w:tc>
          <w:tcPr>
            <w:tcW w:w="5409" w:type="dxa"/>
            <w:vAlign w:val="center"/>
          </w:tcPr>
          <w:p>
            <w:pPr>
              <w:jc w:val="center"/>
              <w:rPr>
                <w:rFonts w:hint="default"/>
                <w:vertAlign w:val="baseline"/>
                <w:lang w:val="en-US" w:eastAsia="zh-CN"/>
              </w:rPr>
            </w:pPr>
            <w:r>
              <w:rPr>
                <w:rFonts w:hint="eastAsia"/>
                <w:vertAlign w:val="baseline"/>
                <w:lang w:val="en-US" w:eastAsia="zh-CN"/>
              </w:rPr>
              <w:t>去除异常值、平滑数据等.....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17</w:t>
            </w:r>
          </w:p>
        </w:tc>
        <w:tc>
          <w:tcPr>
            <w:tcW w:w="2222" w:type="dxa"/>
            <w:vMerge w:val="continue"/>
            <w:tcBorders/>
            <w:vAlign w:val="center"/>
          </w:tcPr>
          <w:p>
            <w:pPr>
              <w:jc w:val="center"/>
              <w:rPr>
                <w:rFonts w:hint="eastAsia"/>
                <w:vertAlign w:val="baseline"/>
                <w:lang w:val="en-US" w:eastAsia="zh-CN"/>
              </w:rPr>
            </w:pPr>
          </w:p>
        </w:tc>
        <w:tc>
          <w:tcPr>
            <w:tcW w:w="1898"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p>
        </w:tc>
        <w:tc>
          <w:tcPr>
            <w:tcW w:w="4680" w:type="dxa"/>
            <w:vAlign w:val="center"/>
          </w:tcPr>
          <w:p>
            <w:pPr>
              <w:jc w:val="center"/>
              <w:rPr>
                <w:rFonts w:hint="default"/>
                <w:vertAlign w:val="baseline"/>
                <w:lang w:val="en-US" w:eastAsia="zh-CN"/>
              </w:rPr>
            </w:pPr>
            <w:r>
              <w:rPr>
                <w:rFonts w:hint="eastAsia"/>
                <w:vertAlign w:val="baseline"/>
                <w:lang w:val="en-US" w:eastAsia="zh-CN"/>
              </w:rPr>
              <w:t>数据转换与归一化</w:t>
            </w:r>
          </w:p>
        </w:tc>
        <w:tc>
          <w:tcPr>
            <w:tcW w:w="5409" w:type="dxa"/>
            <w:vAlign w:val="center"/>
          </w:tcPr>
          <w:p>
            <w:pPr>
              <w:jc w:val="center"/>
              <w:rPr>
                <w:rFonts w:hint="default"/>
                <w:vertAlign w:val="baseline"/>
                <w:lang w:val="en-US" w:eastAsia="zh-CN"/>
              </w:rPr>
            </w:pPr>
            <w:r>
              <w:rPr>
                <w:rFonts w:hint="eastAsia"/>
                <w:vertAlign w:val="baseline"/>
                <w:lang w:val="en-US" w:eastAsia="zh-CN"/>
              </w:rPr>
              <w:t>将收集的数据进行转换与归一化处理，以便后续的数据分析与处理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18</w:t>
            </w:r>
          </w:p>
        </w:tc>
        <w:tc>
          <w:tcPr>
            <w:tcW w:w="2222" w:type="dxa"/>
            <w:vMerge w:val="continue"/>
            <w:tcBorders/>
            <w:vAlign w:val="center"/>
          </w:tcPr>
          <w:p>
            <w:pPr>
              <w:jc w:val="center"/>
              <w:rPr>
                <w:rFonts w:hint="eastAsia"/>
                <w:vertAlign w:val="baseline"/>
                <w:lang w:val="en-US" w:eastAsia="zh-CN"/>
              </w:rPr>
            </w:pPr>
          </w:p>
        </w:tc>
        <w:tc>
          <w:tcPr>
            <w:tcW w:w="1898"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数据分析和处理模块</w:t>
            </w:r>
          </w:p>
        </w:tc>
        <w:tc>
          <w:tcPr>
            <w:tcW w:w="4680" w:type="dxa"/>
            <w:vAlign w:val="center"/>
          </w:tcPr>
          <w:p>
            <w:pPr>
              <w:jc w:val="center"/>
              <w:rPr>
                <w:rFonts w:hint="default"/>
                <w:vertAlign w:val="baseline"/>
                <w:lang w:val="en-US" w:eastAsia="zh-CN"/>
              </w:rPr>
            </w:pPr>
            <w:r>
              <w:rPr>
                <w:rFonts w:hint="eastAsia"/>
                <w:vertAlign w:val="baseline"/>
                <w:lang w:val="en-US" w:eastAsia="zh-CN"/>
              </w:rPr>
              <w:t>对数据进行统计和分析</w:t>
            </w:r>
          </w:p>
        </w:tc>
        <w:tc>
          <w:tcPr>
            <w:tcW w:w="5409" w:type="dxa"/>
            <w:vAlign w:val="center"/>
          </w:tcPr>
          <w:p>
            <w:pPr>
              <w:jc w:val="center"/>
              <w:rPr>
                <w:rFonts w:hint="default"/>
                <w:vertAlign w:val="baseline"/>
                <w:lang w:val="en-US" w:eastAsia="zh-CN"/>
              </w:rPr>
            </w:pPr>
            <w:r>
              <w:rPr>
                <w:rFonts w:hint="eastAsia"/>
                <w:vertAlign w:val="baseline"/>
                <w:lang w:val="en-US" w:eastAsia="zh-CN"/>
              </w:rPr>
              <w:t>平均值、最大值、最小值等指标计算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both"/>
              <w:rPr>
                <w:rFonts w:hint="default"/>
                <w:vertAlign w:val="baseline"/>
                <w:lang w:val="en-US" w:eastAsia="zh-CN"/>
              </w:rPr>
            </w:pPr>
            <w:r>
              <w:rPr>
                <w:rFonts w:hint="eastAsia"/>
                <w:vertAlign w:val="baseline"/>
                <w:lang w:val="en-US" w:eastAsia="zh-CN"/>
              </w:rPr>
              <w:t xml:space="preserve"> 19</w:t>
            </w:r>
          </w:p>
        </w:tc>
        <w:tc>
          <w:tcPr>
            <w:tcW w:w="2222" w:type="dxa"/>
            <w:vMerge w:val="continue"/>
            <w:tcBorders/>
            <w:vAlign w:val="center"/>
          </w:tcPr>
          <w:p>
            <w:pPr>
              <w:jc w:val="center"/>
              <w:rPr>
                <w:rFonts w:hint="eastAsia"/>
                <w:vertAlign w:val="baseline"/>
                <w:lang w:val="en-US" w:eastAsia="zh-CN"/>
              </w:rPr>
            </w:pPr>
          </w:p>
        </w:tc>
        <w:tc>
          <w:tcPr>
            <w:tcW w:w="1898"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p>
        </w:tc>
        <w:tc>
          <w:tcPr>
            <w:tcW w:w="4680" w:type="dxa"/>
            <w:vAlign w:val="center"/>
          </w:tcPr>
          <w:p>
            <w:pPr>
              <w:jc w:val="center"/>
              <w:rPr>
                <w:rFonts w:hint="default"/>
                <w:vertAlign w:val="baseline"/>
                <w:lang w:val="en-US" w:eastAsia="zh-CN"/>
              </w:rPr>
            </w:pPr>
            <w:r>
              <w:rPr>
                <w:rFonts w:hint="eastAsia"/>
                <w:vertAlign w:val="baseline"/>
                <w:lang w:val="en-US" w:eastAsia="zh-CN"/>
              </w:rPr>
              <w:t>数据的模式识别和异常检测</w:t>
            </w:r>
          </w:p>
        </w:tc>
        <w:tc>
          <w:tcPr>
            <w:tcW w:w="5409" w:type="dxa"/>
            <w:vAlign w:val="center"/>
          </w:tcPr>
          <w:p>
            <w:pPr>
              <w:jc w:val="center"/>
              <w:rPr>
                <w:rFonts w:hint="default"/>
                <w:vertAlign w:val="baseline"/>
                <w:lang w:val="en-US" w:eastAsia="zh-CN"/>
              </w:rPr>
            </w:pPr>
            <w:r>
              <w:rPr>
                <w:rFonts w:hint="eastAsia"/>
                <w:vertAlign w:val="baseline"/>
                <w:lang w:val="en-US" w:eastAsia="zh-CN"/>
              </w:rPr>
              <w:t>利用规则引擎来检测数据中的异常模式并触发相应的报警或处理逻辑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20</w:t>
            </w: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default"/>
                <w:vertAlign w:val="baseline"/>
                <w:lang w:val="en-US" w:eastAsia="zh-CN"/>
              </w:rPr>
            </w:pPr>
            <w:r>
              <w:rPr>
                <w:rFonts w:hint="eastAsia"/>
                <w:vertAlign w:val="baseline"/>
                <w:lang w:val="en-US" w:eastAsia="zh-CN"/>
              </w:rPr>
              <w:t>智能决策算法和策略</w:t>
            </w: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default"/>
                <w:vertAlign w:val="baseline"/>
                <w:lang w:val="en-US" w:eastAsia="zh-CN"/>
              </w:rPr>
            </w:pPr>
            <w:r>
              <w:rPr>
                <w:rFonts w:hint="eastAsia"/>
                <w:vertAlign w:val="baseline"/>
                <w:lang w:val="en-US" w:eastAsia="zh-CN"/>
              </w:rPr>
              <w:t>21</w:t>
            </w: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报警和自动处理模块</w:t>
            </w: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asciiTheme="minorHAnsi" w:hAnsiTheme="minorHAnsi" w:eastAsiaTheme="minorEastAsia" w:cstheme="minorBidi"/>
                <w:kern w:val="2"/>
                <w:sz w:val="21"/>
                <w:szCs w:val="24"/>
                <w:vertAlign w:val="baseline"/>
                <w:lang w:val="en-US" w:eastAsia="zh-CN" w:bidi="ar-SA"/>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18" w:type="dxa"/>
            <w:vAlign w:val="center"/>
          </w:tcPr>
          <w:p>
            <w:pPr>
              <w:jc w:val="center"/>
              <w:rPr>
                <w:rFonts w:hint="eastAsia"/>
                <w:vertAlign w:val="baseline"/>
                <w:lang w:val="en-US" w:eastAsia="zh-CN"/>
              </w:rPr>
            </w:pPr>
          </w:p>
        </w:tc>
        <w:tc>
          <w:tcPr>
            <w:tcW w:w="2222" w:type="dxa"/>
            <w:vAlign w:val="center"/>
          </w:tcPr>
          <w:p>
            <w:pPr>
              <w:jc w:val="center"/>
              <w:rPr>
                <w:rFonts w:hint="eastAsia"/>
                <w:vertAlign w:val="baseline"/>
                <w:lang w:val="en-US" w:eastAsia="zh-CN"/>
              </w:rPr>
            </w:pPr>
          </w:p>
        </w:tc>
        <w:tc>
          <w:tcPr>
            <w:tcW w:w="1898" w:type="dxa"/>
            <w:vAlign w:val="center"/>
          </w:tcPr>
          <w:p>
            <w:pPr>
              <w:jc w:val="center"/>
              <w:rPr>
                <w:rFonts w:hint="eastAsia"/>
                <w:vertAlign w:val="baseline"/>
                <w:lang w:val="en-US" w:eastAsia="zh-CN"/>
              </w:rPr>
            </w:pPr>
          </w:p>
        </w:tc>
        <w:tc>
          <w:tcPr>
            <w:tcW w:w="4680" w:type="dxa"/>
            <w:vAlign w:val="center"/>
          </w:tcPr>
          <w:p>
            <w:pPr>
              <w:jc w:val="center"/>
              <w:rPr>
                <w:rFonts w:hint="eastAsia"/>
                <w:vertAlign w:val="baseline"/>
                <w:lang w:val="en-US" w:eastAsia="zh-CN"/>
              </w:rPr>
            </w:pPr>
          </w:p>
        </w:tc>
        <w:tc>
          <w:tcPr>
            <w:tcW w:w="5409" w:type="dxa"/>
            <w:vAlign w:val="center"/>
          </w:tcPr>
          <w:p>
            <w:pPr>
              <w:jc w:val="center"/>
              <w:rPr>
                <w:rFonts w:hint="eastAsia"/>
                <w:vertAlign w:val="baseline"/>
                <w:lang w:val="en-US" w:eastAsia="zh-CN"/>
              </w:rPr>
            </w:pPr>
          </w:p>
        </w:tc>
      </w:tr>
    </w:tbl>
    <w:p>
      <w:pPr>
        <w:rPr>
          <w:rFonts w:hint="default"/>
          <w:lang w:val="en-US" w:eastAsia="zh-CN"/>
        </w:rPr>
      </w:pPr>
    </w:p>
    <w:p>
      <w:pPr>
        <w:rPr>
          <w:rFonts w:hint="default"/>
          <w:lang w:val="en-US" w:eastAsia="zh-CN"/>
        </w:rPr>
      </w:pPr>
    </w:p>
    <w:p>
      <w:r>
        <w:drawing>
          <wp:inline distT="0" distB="0" distL="114300" distR="114300">
            <wp:extent cx="3858895" cy="521970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858895" cy="5219700"/>
                    </a:xfrm>
                    <a:prstGeom prst="rect">
                      <a:avLst/>
                    </a:prstGeom>
                    <a:noFill/>
                    <a:ln>
                      <a:noFill/>
                    </a:ln>
                  </pic:spPr>
                </pic:pic>
              </a:graphicData>
            </a:graphic>
          </wp:inline>
        </w:drawing>
      </w:r>
      <w:r>
        <w:drawing>
          <wp:inline distT="0" distB="0" distL="114300" distR="114300">
            <wp:extent cx="4180840" cy="5271135"/>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180840" cy="5271135"/>
                    </a:xfrm>
                    <a:prstGeom prst="rect">
                      <a:avLst/>
                    </a:prstGeom>
                    <a:noFill/>
                    <a:ln>
                      <a:noFill/>
                    </a:ln>
                  </pic:spPr>
                </pic:pic>
              </a:graphicData>
            </a:graphic>
          </wp:inline>
        </w:drawing>
      </w:r>
    </w:p>
    <w:p>
      <w:pPr>
        <w:rPr>
          <w:rFonts w:hint="default"/>
          <w:lang w:val="en-US" w:eastAsia="zh-CN"/>
        </w:rPr>
      </w:pPr>
      <w:r>
        <w:drawing>
          <wp:inline distT="0" distB="0" distL="114300" distR="114300">
            <wp:extent cx="4413885" cy="491490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413885" cy="4914900"/>
                    </a:xfrm>
                    <a:prstGeom prst="rect">
                      <a:avLst/>
                    </a:prstGeom>
                    <a:noFill/>
                    <a:ln>
                      <a:noFill/>
                    </a:ln>
                  </pic:spPr>
                </pic:pic>
              </a:graphicData>
            </a:graphic>
          </wp:inline>
        </w:drawing>
      </w:r>
      <w:r>
        <w:drawing>
          <wp:inline distT="0" distB="0" distL="114300" distR="114300">
            <wp:extent cx="4398010" cy="3788410"/>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98010" cy="3788410"/>
                    </a:xfrm>
                    <a:prstGeom prst="rect">
                      <a:avLst/>
                    </a:prstGeom>
                    <a:noFill/>
                    <a:ln>
                      <a:noFill/>
                    </a:ln>
                  </pic:spPr>
                </pic:pic>
              </a:graphicData>
            </a:graphic>
          </wp:inline>
        </w:drawing>
      </w:r>
      <w:r>
        <w:drawing>
          <wp:inline distT="0" distB="0" distL="114300" distR="114300">
            <wp:extent cx="4408805" cy="441960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408805" cy="4419600"/>
                    </a:xfrm>
                    <a:prstGeom prst="rect">
                      <a:avLst/>
                    </a:prstGeom>
                    <a:noFill/>
                    <a:ln>
                      <a:noFill/>
                    </a:ln>
                  </pic:spPr>
                </pic:pic>
              </a:graphicData>
            </a:graphic>
          </wp:inline>
        </w:drawing>
      </w:r>
      <w:bookmarkStart w:id="0" w:name="_GoBack"/>
      <w:bookmarkEnd w:id="0"/>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FlMDI2MDEwMmRiNjVkZTZmN2JhYTE4YTNkODlhNmYifQ=="/>
  </w:docVars>
  <w:rsids>
    <w:rsidRoot w:val="00000000"/>
    <w:rsid w:val="09FC095D"/>
    <w:rsid w:val="17E31192"/>
    <w:rsid w:val="3DD80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512</Words>
  <Characters>556</Characters>
  <Lines>0</Lines>
  <Paragraphs>0</Paragraphs>
  <TotalTime>2</TotalTime>
  <ScaleCrop>false</ScaleCrop>
  <LinksUpToDate>false</LinksUpToDate>
  <CharactersWithSpaces>581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2023-07-31T12:45:12Z</dcterms:created>
  <dc:creator>86186</dc:creator>
  <cp:lastModifiedBy>Lucky</cp:lastModifiedBy>
  <dcterms:modified xsi:type="dcterms:W3CDTF">2023-07-31T14:15:04Z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01874B8400F14D2A81F6D6743C4A57E8_12</vt:lpwstr>
  </property>
</Properties>
</file>