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ourier New" w:cs="Courier New" w:eastAsia="Courier New" w:hAnsi="Courier New"/>
          <w:sz w:val="20"/>
          <w:szCs w:val="20"/>
        </w:rPr>
        <w:t xml:space="preserve">Groupe de travail : USMD                                        [Auteur]</w:t>
      </w:r>
    </w:p>
    <w:p>
      <w:pPr>
        <w:spacing w:after="0"/>
      </w:pPr>
      <w:r>
        <w:rPr>
          <w:rFonts w:ascii="Courier New" w:cs="Courier New" w:eastAsia="Courier New" w:hAnsi="Courier New"/>
          <w:sz w:val="20"/>
          <w:szCs w:val="20"/>
        </w:rPr>
        <w:t xml:space="preserve">Projet Internet (Internet-Draft)                          [Organisation]</w:t>
      </w:r>
    </w:p>
    <w:p>
      <w:pPr>
        <w:spacing w:after="0"/>
      </w:pPr>
      <w:r>
        <w:rPr>
          <w:rFonts w:ascii="Courier New" w:cs="Courier New" w:eastAsia="Courier New" w:hAnsi="Courier New"/>
          <w:sz w:val="20"/>
          <w:szCs w:val="20"/>
        </w:rPr>
        <w:t xml:space="preserve">Catégorie : Standards Track                              22 octobre 2026</w:t>
      </w:r>
    </w:p>
    <w:p>
      <w:pPr>
        <w:spacing w:after="0"/>
      </w:pPr>
      <w:r>
        <w:rPr>
          <w:rFonts w:ascii="Courier New" w:cs="Courier New" w:eastAsia="Courier New" w:hAnsi="Courier New"/>
          <w:sz w:val="20"/>
          <w:szCs w:val="20"/>
        </w:rPr>
        <w:t xml:space="preserve">Expire le : 22 avril 2027                                               </w:t>
      </w:r>
    </w:p>
    <w:p>
      <w:pPr>
        <w:spacing w:after="240"/>
      </w:pPr>
      <w:r>
        <w:rPr>
          <w:rFonts w:ascii="Courier New" w:cs="Courier New" w:eastAsia="Courier New" w:hAnsi="Courier New"/>
          <w:sz w:val="20"/>
          <w:szCs w:val="20"/>
        </w:rPr>
        <w:t xml:space="preserve"/>
      </w:r>
    </w:p>
    <w:p>
      <w:pPr>
        <w:spacing w:after="120"/>
        <w:jc w:val="center"/>
      </w:pPr>
      <w:r>
        <w:rPr>
          <w:rFonts w:ascii="Courier New" w:cs="Courier New" w:eastAsia="Courier New" w:hAnsi="Courier New"/>
          <w:b/>
          <w:bCs/>
          <w:sz w:val="24"/>
          <w:szCs w:val="24"/>
        </w:rPr>
        <w:t xml:space="preserve">USMD-RDSH : Protocole de découverte de nœuds voisins (NNDP)</w:t>
      </w:r>
    </w:p>
    <w:p>
      <w:pPr>
        <w:spacing w:after="360"/>
        <w:jc w:val="center"/>
      </w:pPr>
      <w:r>
        <w:rPr>
          <w:rFonts w:ascii="Courier New" w:cs="Courier New" w:eastAsia="Courier New" w:hAnsi="Courier New"/>
          <w:sz w:val="20"/>
          <w:szCs w:val="20"/>
        </w:rPr>
        <w:t xml:space="preserve">draft-usmd-nndp-01</w:t>
      </w:r>
    </w:p>
    <w:p>
      <w:pPr>
        <w:keepNext/>
        <w:spacing w:after="120" w:before="240"/>
      </w:pPr>
      <w:r>
        <w:rPr>
          <w:rFonts w:ascii="Courier New" w:cs="Courier New" w:eastAsia="Courier New" w:hAnsi="Courier New"/>
          <w:b/>
          <w:bCs/>
          <w:sz w:val="20"/>
          <w:szCs w:val="20"/>
        </w:rPr>
        <w:t xml:space="preserve">Résumé</w:t>
      </w:r>
    </w:p>
    <w:p>
      <w:pPr>
        <w:spacing w:after="120" w:before="0" w:line="240"/>
        <w:ind w:left="360"/>
        <w:jc w:val="left"/>
      </w:pPr>
      <w:r>
        <w:rPr>
          <w:rFonts w:ascii="Courier New" w:cs="Courier New" w:eastAsia="Courier New" w:hAnsi="Courier New"/>
          <w:sz w:val="20"/>
          <w:szCs w:val="20"/>
        </w:rPr>
        <w:t xml:space="preserve">Ce document spécifie le protocole NNDP (Node Neighbor Discovery Protocol), utilisé par les nœuds d'un système USMD-RDSH pour s'annoncer, découvrir leurs voisins et connaître les services réellement hébergés et les instances de service les plus proches. Chaque nœud émet périodiquement un message signé « Here I am » (HIA), en diffusion IPv4 sur son segment et en unicast vers ses nœuds de référence. Le HIA porte l'identifiant, l'état, l'horodatage d'émission, la date de la prochaine émission et les clés publiques du nœud, la liste des services qu'il héberge et un vecteur de distances vers les instances de service les plus proches qu'il connaît. NNDP ne gère ni l'admission des nœuds ni la configuration : ces fonctions relèvent du protocole NCP.</w:t>
      </w:r>
    </w:p>
    <w:p>
      <w:pPr>
        <w:spacing w:after="120" w:before="0" w:line="240"/>
        <w:ind w:left="360"/>
        <w:jc w:val="left"/>
      </w:pPr>
      <w:r>
        <w:rPr>
          <w:rFonts w:ascii="Courier New" w:cs="Courier New" w:eastAsia="Courier New" w:hAnsi="Courier New"/>
          <w:sz w:val="20"/>
          <w:szCs w:val="20"/>
        </w:rPr>
        <w:t xml:space="preserve">Cette révision remplace draft-usmd-nndp-00. Les modifications sont résumées à l'annexe C.</w:t>
      </w:r>
    </w:p>
    <w:p>
      <w:pPr>
        <w:keepNext/>
        <w:spacing w:after="120" w:before="240"/>
      </w:pPr>
      <w:r>
        <w:rPr>
          <w:rFonts w:ascii="Courier New" w:cs="Courier New" w:eastAsia="Courier New" w:hAnsi="Courier New"/>
          <w:b/>
          <w:bCs/>
          <w:sz w:val="20"/>
          <w:szCs w:val="20"/>
        </w:rPr>
        <w:t xml:space="preserve">Statut de ce mémo</w:t>
      </w:r>
    </w:p>
    <w:p>
      <w:pPr>
        <w:spacing w:after="120" w:before="0" w:line="240"/>
        <w:ind w:left="360"/>
        <w:jc w:val="left"/>
      </w:pPr>
      <w:r>
        <w:rPr>
          <w:rFonts w:ascii="Courier New" w:cs="Courier New" w:eastAsia="Courier New" w:hAnsi="Courier New"/>
          <w:sz w:val="20"/>
          <w:szCs w:val="20"/>
        </w:rPr>
        <w:t xml:space="preserve">Ce document est un projet de spécification rédigé selon la forme des RFC de l’IETF et visant la catégorie Standards Track (norme proposée). Il n’a fait l’objet d’aucune revue ni d’aucune publication par l’IETF. Il peut être modifié, remplacé ou rendu obsolète à tout moment ; il ne doit être cité qu’à titre de travail en cours.</w:t>
      </w:r>
    </w:p>
    <w:p>
      <w:pPr>
        <w:spacing w:after="120" w:before="0" w:line="240"/>
        <w:ind w:left="360"/>
        <w:jc w:val="left"/>
      </w:pPr>
      <w:r>
        <w:rPr>
          <w:rFonts w:ascii="Courier New" w:cs="Courier New" w:eastAsia="Courier New" w:hAnsi="Courier New"/>
          <w:sz w:val="20"/>
          <w:szCs w:val="20"/>
        </w:rPr>
        <w:t xml:space="preserve">Ce projet expire le 22 avril 2027.</w:t>
      </w:r>
    </w:p>
    <w:p>
      <w:pPr>
        <w:keepNext/>
        <w:spacing w:after="120" w:before="240"/>
      </w:pPr>
      <w:r>
        <w:rPr>
          <w:rFonts w:ascii="Courier New" w:cs="Courier New" w:eastAsia="Courier New" w:hAnsi="Courier New"/>
          <w:b/>
          <w:bCs/>
          <w:sz w:val="20"/>
          <w:szCs w:val="20"/>
        </w:rPr>
        <w:t xml:space="preserve">Notice de droits d’auteur</w:t>
      </w:r>
    </w:p>
    <w:p>
      <w:pPr>
        <w:spacing w:after="120" w:before="0" w:line="240"/>
        <w:ind w:left="360"/>
        <w:jc w:val="left"/>
      </w:pPr>
      <w:r>
        <w:rPr>
          <w:rFonts w:ascii="Courier New" w:cs="Courier New" w:eastAsia="Courier New" w:hAnsi="Courier New"/>
          <w:sz w:val="20"/>
          <w:szCs w:val="20"/>
        </w:rPr>
        <w:t xml:space="preserve">Copyright (c) 2026 [Auteur]. Tous droits réservés. [Licence à préciser par l’auteur.]</w:t>
      </w:r>
    </w:p>
    <w:p>
      <w:pPr>
        <w:keepNext/>
        <w:pageBreakBefore/>
        <w:spacing w:after="120" w:before="0"/>
      </w:pPr>
      <w:r>
        <w:rPr>
          <w:rFonts w:ascii="Courier New" w:cs="Courier New" w:eastAsia="Courier New" w:hAnsi="Courier New"/>
          <w:b/>
          <w:bCs/>
          <w:sz w:val="20"/>
          <w:szCs w:val="20"/>
        </w:rPr>
        <w:t xml:space="preserve">Table des matières</w:t>
      </w:r>
    </w:p>
    <w:p>
      <w:pPr>
        <w:spacing w:after="0"/>
        <w:ind w:left="360"/>
      </w:pPr>
      <w:r>
        <w:rPr>
          <w:rFonts w:ascii="Courier New" w:cs="Courier New" w:eastAsia="Courier New" w:hAnsi="Courier New"/>
          <w:sz w:val="20"/>
          <w:szCs w:val="20"/>
        </w:rPr>
        <w:t xml:space="preserve">1. Introduction</w:t>
      </w:r>
    </w:p>
    <w:p>
      <w:pPr>
        <w:spacing w:after="0"/>
        <w:ind w:left="720"/>
      </w:pPr>
      <w:r>
        <w:rPr>
          <w:rFonts w:ascii="Courier New" w:cs="Courier New" w:eastAsia="Courier New" w:hAnsi="Courier New"/>
          <w:sz w:val="20"/>
          <w:szCs w:val="20"/>
        </w:rPr>
        <w:t xml:space="preserve">1.1. Contexte</w:t>
      </w:r>
    </w:p>
    <w:p>
      <w:pPr>
        <w:spacing w:after="0"/>
        <w:ind w:left="720"/>
      </w:pPr>
      <w:r>
        <w:rPr>
          <w:rFonts w:ascii="Courier New" w:cs="Courier New" w:eastAsia="Courier New" w:hAnsi="Courier New"/>
          <w:sz w:val="20"/>
          <w:szCs w:val="20"/>
        </w:rPr>
        <w:t xml:space="preserve">1.2. Portée</w:t>
      </w:r>
    </w:p>
    <w:p>
      <w:pPr>
        <w:spacing w:after="0"/>
        <w:ind w:left="360"/>
      </w:pPr>
      <w:r>
        <w:rPr>
          <w:rFonts w:ascii="Courier New" w:cs="Courier New" w:eastAsia="Courier New" w:hAnsi="Courier New"/>
          <w:sz w:val="20"/>
          <w:szCs w:val="20"/>
        </w:rPr>
        <w:t xml:space="preserve">2. Conventions et terminologie</w:t>
      </w:r>
    </w:p>
    <w:p>
      <w:pPr>
        <w:spacing w:after="0"/>
        <w:ind w:left="360"/>
      </w:pPr>
      <w:r>
        <w:rPr>
          <w:rFonts w:ascii="Courier New" w:cs="Courier New" w:eastAsia="Courier New" w:hAnsi="Courier New"/>
          <w:sz w:val="20"/>
          <w:szCs w:val="20"/>
        </w:rPr>
        <w:t xml:space="preserve">3. Vue d'ensemble du protocole</w:t>
      </w:r>
    </w:p>
    <w:p>
      <w:pPr>
        <w:spacing w:after="0"/>
        <w:ind w:left="360"/>
      </w:pPr>
      <w:r>
        <w:rPr>
          <w:rFonts w:ascii="Courier New" w:cs="Courier New" w:eastAsia="Courier New" w:hAnsi="Courier New"/>
          <w:sz w:val="20"/>
          <w:szCs w:val="20"/>
        </w:rPr>
        <w:t xml:space="preserve">4. Transport</w:t>
      </w:r>
    </w:p>
    <w:p>
      <w:pPr>
        <w:spacing w:after="0"/>
        <w:ind w:left="360"/>
      </w:pPr>
      <w:r>
        <w:rPr>
          <w:rFonts w:ascii="Courier New" w:cs="Courier New" w:eastAsia="Courier New" w:hAnsi="Courier New"/>
          <w:sz w:val="20"/>
          <w:szCs w:val="20"/>
        </w:rPr>
        <w:t xml:space="preserve">5. Format des messages</w:t>
      </w:r>
    </w:p>
    <w:p>
      <w:pPr>
        <w:spacing w:after="0"/>
        <w:ind w:left="720"/>
      </w:pPr>
      <w:r>
        <w:rPr>
          <w:rFonts w:ascii="Courier New" w:cs="Courier New" w:eastAsia="Courier New" w:hAnsi="Courier New"/>
          <w:sz w:val="20"/>
          <w:szCs w:val="20"/>
        </w:rPr>
        <w:t xml:space="preserve">5.1. Ordre des octets</w:t>
      </w:r>
    </w:p>
    <w:p>
      <w:pPr>
        <w:spacing w:after="0"/>
        <w:ind w:left="720"/>
      </w:pPr>
      <w:r>
        <w:rPr>
          <w:rFonts w:ascii="Courier New" w:cs="Courier New" w:eastAsia="Courier New" w:hAnsi="Courier New"/>
          <w:sz w:val="20"/>
          <w:szCs w:val="20"/>
        </w:rPr>
        <w:t xml:space="preserve">5.2. Structure d'un datagramme</w:t>
      </w:r>
    </w:p>
    <w:p>
      <w:pPr>
        <w:spacing w:after="0"/>
        <w:ind w:left="720"/>
      </w:pPr>
      <w:r>
        <w:rPr>
          <w:rFonts w:ascii="Courier New" w:cs="Courier New" w:eastAsia="Courier New" w:hAnsi="Courier New"/>
          <w:sz w:val="20"/>
          <w:szCs w:val="20"/>
        </w:rPr>
        <w:t xml:space="preserve">5.3. En-tête de trame</w:t>
      </w:r>
    </w:p>
    <w:p>
      <w:pPr>
        <w:spacing w:after="0"/>
        <w:ind w:left="720"/>
      </w:pPr>
      <w:r>
        <w:rPr>
          <w:rFonts w:ascii="Courier New" w:cs="Courier New" w:eastAsia="Courier New" w:hAnsi="Courier New"/>
          <w:sz w:val="20"/>
          <w:szCs w:val="20"/>
        </w:rPr>
        <w:t xml:space="preserve">5.4. Charge Here I am</w:t>
      </w:r>
    </w:p>
    <w:p>
      <w:pPr>
        <w:spacing w:after="0"/>
        <w:ind w:left="360"/>
      </w:pPr>
      <w:r>
        <w:rPr>
          <w:rFonts w:ascii="Courier New" w:cs="Courier New" w:eastAsia="Courier New" w:hAnsi="Courier New"/>
          <w:sz w:val="20"/>
          <w:szCs w:val="20"/>
        </w:rPr>
        <w:t xml:space="preserve">6. Traitement</w:t>
      </w:r>
    </w:p>
    <w:p>
      <w:pPr>
        <w:spacing w:after="0"/>
        <w:ind w:left="720"/>
      </w:pPr>
      <w:r>
        <w:rPr>
          <w:rFonts w:ascii="Courier New" w:cs="Courier New" w:eastAsia="Courier New" w:hAnsi="Courier New"/>
          <w:sz w:val="20"/>
          <w:szCs w:val="20"/>
        </w:rPr>
        <w:t xml:space="preserve">6.1. Émission</w:t>
      </w:r>
    </w:p>
    <w:p>
      <w:pPr>
        <w:spacing w:after="0"/>
        <w:ind w:left="720"/>
      </w:pPr>
      <w:r>
        <w:rPr>
          <w:rFonts w:ascii="Courier New" w:cs="Courier New" w:eastAsia="Courier New" w:hAnsi="Courier New"/>
          <w:sz w:val="20"/>
          <w:szCs w:val="20"/>
        </w:rPr>
        <w:t xml:space="preserve">6.2. Réception</w:t>
      </w:r>
    </w:p>
    <w:p>
      <w:pPr>
        <w:spacing w:after="0"/>
        <w:ind w:left="720"/>
      </w:pPr>
      <w:r>
        <w:rPr>
          <w:rFonts w:ascii="Courier New" w:cs="Courier New" w:eastAsia="Courier New" w:hAnsi="Courier New"/>
          <w:sz w:val="20"/>
          <w:szCs w:val="20"/>
        </w:rPr>
        <w:t xml:space="preserve">6.3. Détection d'inactivité</w:t>
      </w:r>
    </w:p>
    <w:p>
      <w:pPr>
        <w:spacing w:after="0"/>
        <w:ind w:left="720"/>
      </w:pPr>
      <w:r>
        <w:rPr>
          <w:rFonts w:ascii="Courier New" w:cs="Courier New" w:eastAsia="Courier New" w:hAnsi="Courier New"/>
          <w:sz w:val="20"/>
          <w:szCs w:val="20"/>
        </w:rPr>
        <w:t xml:space="preserve">6.4. Suites de la découverte</w:t>
      </w:r>
    </w:p>
    <w:p>
      <w:pPr>
        <w:spacing w:after="0"/>
        <w:ind w:left="720"/>
      </w:pPr>
      <w:r>
        <w:rPr>
          <w:rFonts w:ascii="Courier New" w:cs="Courier New" w:eastAsia="Courier New" w:hAnsi="Courier New"/>
          <w:sz w:val="20"/>
          <w:szCs w:val="20"/>
        </w:rPr>
        <w:t xml:space="preserve">6.5. Services hébergés et table des services les plus proches</w:t>
      </w:r>
    </w:p>
    <w:p>
      <w:pPr>
        <w:spacing w:after="0"/>
        <w:ind w:left="360"/>
      </w:pPr>
      <w:r>
        <w:rPr>
          <w:rFonts w:ascii="Courier New" w:cs="Courier New" w:eastAsia="Courier New" w:hAnsi="Courier New"/>
          <w:sz w:val="20"/>
          <w:szCs w:val="20"/>
        </w:rPr>
        <w:t xml:space="preserve">7. Paramètres</w:t>
      </w:r>
    </w:p>
    <w:p>
      <w:pPr>
        <w:spacing w:after="0"/>
        <w:ind w:left="360"/>
      </w:pPr>
      <w:r>
        <w:rPr>
          <w:rFonts w:ascii="Courier New" w:cs="Courier New" w:eastAsia="Courier New" w:hAnsi="Courier New"/>
          <w:sz w:val="20"/>
          <w:szCs w:val="20"/>
        </w:rPr>
        <w:t xml:space="preserve">8. Considérations de sécurité</w:t>
      </w:r>
    </w:p>
    <w:p>
      <w:pPr>
        <w:spacing w:after="0"/>
        <w:ind w:left="360"/>
      </w:pPr>
      <w:r>
        <w:rPr>
          <w:rFonts w:ascii="Courier New" w:cs="Courier New" w:eastAsia="Courier New" w:hAnsi="Courier New"/>
          <w:sz w:val="20"/>
          <w:szCs w:val="20"/>
        </w:rPr>
        <w:t xml:space="preserve">9. Considérations IANA</w:t>
      </w:r>
    </w:p>
    <w:p>
      <w:pPr>
        <w:spacing w:after="0"/>
        <w:ind w:left="360"/>
      </w:pPr>
      <w:r>
        <w:rPr>
          <w:rFonts w:ascii="Courier New" w:cs="Courier New" w:eastAsia="Courier New" w:hAnsi="Courier New"/>
          <w:sz w:val="20"/>
          <w:szCs w:val="20"/>
        </w:rPr>
        <w:t xml:space="preserve">10. Références</w:t>
      </w:r>
    </w:p>
    <w:p>
      <w:pPr>
        <w:spacing w:after="0"/>
        <w:ind w:left="720"/>
      </w:pPr>
      <w:r>
        <w:rPr>
          <w:rFonts w:ascii="Courier New" w:cs="Courier New" w:eastAsia="Courier New" w:hAnsi="Courier New"/>
          <w:sz w:val="20"/>
          <w:szCs w:val="20"/>
        </w:rPr>
        <w:t xml:space="preserve">10.1. Références normatives</w:t>
      </w:r>
    </w:p>
    <w:p>
      <w:pPr>
        <w:spacing w:after="0"/>
        <w:ind w:left="720"/>
      </w:pPr>
      <w:r>
        <w:rPr>
          <w:rFonts w:ascii="Courier New" w:cs="Courier New" w:eastAsia="Courier New" w:hAnsi="Courier New"/>
          <w:sz w:val="20"/>
          <w:szCs w:val="20"/>
        </w:rPr>
        <w:t xml:space="preserve">10.2. Références informatives</w:t>
      </w:r>
    </w:p>
    <w:p>
      <w:pPr>
        <w:spacing w:after="0"/>
        <w:ind w:left="360"/>
      </w:pPr>
      <w:r>
        <w:rPr>
          <w:rFonts w:ascii="Courier New" w:cs="Courier New" w:eastAsia="Courier New" w:hAnsi="Courier New"/>
          <w:sz w:val="20"/>
          <w:szCs w:val="20"/>
        </w:rPr>
        <w:t xml:space="preserve">Annexe A. Exemple de message Here I am</w:t>
      </w:r>
    </w:p>
    <w:p>
      <w:pPr>
        <w:spacing w:after="0"/>
        <w:ind w:left="360"/>
      </w:pPr>
      <w:r>
        <w:rPr>
          <w:rFonts w:ascii="Courier New" w:cs="Courier New" w:eastAsia="Courier New" w:hAnsi="Courier New"/>
          <w:sz w:val="20"/>
          <w:szCs w:val="20"/>
        </w:rPr>
        <w:t xml:space="preserve">Annexe B. Écarts avec le texte de concept initial</w:t>
      </w:r>
    </w:p>
    <w:p>
      <w:pPr>
        <w:spacing w:after="0"/>
        <w:ind w:left="360"/>
      </w:pPr>
      <w:r>
        <w:rPr>
          <w:rFonts w:ascii="Courier New" w:cs="Courier New" w:eastAsia="Courier New" w:hAnsi="Courier New"/>
          <w:sz w:val="20"/>
          <w:szCs w:val="20"/>
        </w:rPr>
        <w:t xml:space="preserve">Annexe C. Modifications depuis draft-usmd-nndp-00</w:t>
      </w:r>
    </w:p>
    <w:p>
      <w:pPr>
        <w:pStyle w:val="Heading1"/>
        <w:keepNext/>
        <w:pageBreakBefore/>
        <w:spacing w:after="120" w:before="0"/>
      </w:pPr>
      <w:r>
        <w:rPr>
          <w:rFonts w:ascii="Courier New" w:cs="Courier New" w:eastAsia="Courier New" w:hAnsi="Courier New"/>
          <w:b/>
          <w:bCs/>
          <w:sz w:val="22"/>
          <w:szCs w:val="22"/>
        </w:rPr>
        <w:t xml:space="preserve">1. Introduction</w:t>
      </w:r>
    </w:p>
    <w:p>
      <w:pPr>
        <w:pStyle w:val="Heading2"/>
        <w:keepNext/>
        <w:spacing w:after="120" w:before="240"/>
      </w:pPr>
      <w:r>
        <w:rPr>
          <w:rFonts w:ascii="Courier New" w:cs="Courier New" w:eastAsia="Courier New" w:hAnsi="Courier New"/>
          <w:b/>
          <w:bCs/>
          <w:sz w:val="20"/>
          <w:szCs w:val="20"/>
        </w:rPr>
        <w:t xml:space="preserve">1.1. Contexte</w:t>
      </w:r>
    </w:p>
    <w:p>
      <w:pPr>
        <w:spacing w:after="120" w:before="0" w:line="240"/>
        <w:ind w:left="360"/>
        <w:jc w:val="left"/>
      </w:pPr>
      <w:r>
        <w:rPr>
          <w:rFonts w:ascii="Courier New" w:cs="Courier New" w:eastAsia="Courier New" w:hAnsi="Courier New"/>
          <w:sz w:val="20"/>
          <w:szCs w:val="20"/>
        </w:rPr>
        <w:t xml:space="preserve">Dans un système USMD-RDSH [USMD-ARCH], chaque nœud connaît les autres nœuds de son domaine (USD). Un nœud nouvellement créé peut recevoir l'adresse d'une base de déploiement (EDB), mais cette base est facultative. Lorsqu'elle est absente, ou lorsqu'aucun des nœuds qu'elle référence n'est joignable, le nœud doit pouvoir trouver ses voisins sur le réseau auquel il est raccordé.</w:t>
      </w:r>
    </w:p>
    <w:p>
      <w:pPr>
        <w:spacing w:after="120" w:before="0" w:line="240"/>
        <w:ind w:left="360"/>
        <w:jc w:val="left"/>
      </w:pPr>
      <w:r>
        <w:rPr>
          <w:rFonts w:ascii="Courier New" w:cs="Courier New" w:eastAsia="Courier New" w:hAnsi="Courier New"/>
          <w:sz w:val="20"/>
          <w:szCs w:val="20"/>
        </w:rPr>
        <w:t xml:space="preserve">NNDP répond à ce besoin. Il permet à un nœud d'annoncer sa présence, de prouver qu'il détient une clé Ed25519 donnée et de signaler la cadence de ses annonces, ce qui permet aux voisins de détecter son silence.</w:t>
      </w:r>
    </w:p>
    <w:p>
      <w:pPr>
        <w:spacing w:after="120" w:before="0" w:line="240"/>
        <w:ind w:left="360"/>
        <w:jc w:val="left"/>
      </w:pPr>
      <w:r>
        <w:rPr>
          <w:rFonts w:ascii="Courier New" w:cs="Courier New" w:eastAsia="Courier New" w:hAnsi="Courier New"/>
          <w:sz w:val="20"/>
          <w:szCs w:val="20"/>
        </w:rPr>
        <w:t xml:space="preserve">Chaque nœud doit en outre connaître les services réellement hébergés par ses pairs et les instances les plus proches de chaque service de ses aires [USMD-ARCH], section 11.5. NNDP transporte ces informations dans le même message, et les propage de proche en proche à la manière d'un protocole à vecteur de distances.</w:t>
      </w:r>
    </w:p>
    <w:p>
      <w:pPr>
        <w:pStyle w:val="Heading2"/>
        <w:keepNext/>
        <w:spacing w:after="120" w:before="240"/>
      </w:pPr>
      <w:r>
        <w:rPr>
          <w:rFonts w:ascii="Courier New" w:cs="Courier New" w:eastAsia="Courier New" w:hAnsi="Courier New"/>
          <w:b/>
          <w:bCs/>
          <w:sz w:val="20"/>
          <w:szCs w:val="20"/>
        </w:rPr>
        <w:t xml:space="preserve">1.2. Portée</w:t>
      </w:r>
    </w:p>
    <w:p>
      <w:pPr>
        <w:spacing w:after="120" w:before="0" w:line="240"/>
        <w:ind w:left="360"/>
        <w:jc w:val="left"/>
      </w:pPr>
      <w:r>
        <w:rPr>
          <w:rFonts w:ascii="Courier New" w:cs="Courier New" w:eastAsia="Courier New" w:hAnsi="Courier New"/>
          <w:sz w:val="20"/>
          <w:szCs w:val="20"/>
        </w:rPr>
        <w:t xml:space="preserve">Ce document définit le transport, le format des messages, les règles d'émission et de réception, la détection d'inactivité, ainsi que l'annonce des services hébergés et la tenue de la table des services les plus proches. Il ne définit pas :</w:t>
      </w:r>
    </w:p>
    <w:p>
      <w:pPr>
        <w:pStyle w:val="ListParagraph"/>
        <w:numPr>
          <w:ilvl w:val="0"/>
          <w:numId w:val="2"/>
        </w:numPr>
        <w:spacing w:after="60" w:line="240"/>
      </w:pPr>
      <w:r>
        <w:rPr>
          <w:rFonts w:ascii="Courier New" w:cs="Courier New" w:eastAsia="Courier New" w:hAnsi="Courier New"/>
          <w:sz w:val="20"/>
          <w:szCs w:val="20"/>
        </w:rPr>
        <w:t xml:space="preserve">l'admission d'un nœud dans un USD (voir [USMD-NCP], commande Request_approval) ;</w:t>
      </w:r>
    </w:p>
    <w:p>
      <w:pPr>
        <w:pStyle w:val="ListParagraph"/>
        <w:numPr>
          <w:ilvl w:val="0"/>
          <w:numId w:val="2"/>
        </w:numPr>
        <w:spacing w:after="60" w:line="240"/>
      </w:pPr>
      <w:r>
        <w:rPr>
          <w:rFonts w:ascii="Courier New" w:cs="Courier New" w:eastAsia="Courier New" w:hAnsi="Courier New"/>
          <w:sz w:val="20"/>
          <w:szCs w:val="20"/>
        </w:rPr>
        <w:t xml:space="preserve">la structure hiérarchique nœud, USD, USC (voir [USMD-ARCH]) ;</w:t>
      </w:r>
    </w:p>
    <w:p>
      <w:pPr>
        <w:pStyle w:val="ListParagraph"/>
        <w:numPr>
          <w:ilvl w:val="0"/>
          <w:numId w:val="2"/>
        </w:numPr>
        <w:spacing w:after="60" w:line="240"/>
      </w:pPr>
      <w:r>
        <w:rPr>
          <w:rFonts w:ascii="Courier New" w:cs="Courier New" w:eastAsia="Courier New" w:hAnsi="Courier New"/>
          <w:sz w:val="20"/>
          <w:szCs w:val="20"/>
        </w:rPr>
        <w:t xml:space="preserve">le transport du trafic des services (voir [USMD-SP]).</w:t>
      </w:r>
    </w:p>
    <w:p>
      <w:pPr>
        <w:pStyle w:val="Heading1"/>
        <w:keepNext/>
        <w:spacing w:after="120" w:before="360"/>
      </w:pPr>
      <w:r>
        <w:rPr>
          <w:rFonts w:ascii="Courier New" w:cs="Courier New" w:eastAsia="Courier New" w:hAnsi="Courier New"/>
          <w:b/>
          <w:bCs/>
          <w:sz w:val="22"/>
          <w:szCs w:val="22"/>
        </w:rPr>
        <w:t xml:space="preserve">2. Conventions et terminologie</w:t>
      </w:r>
    </w:p>
    <w:p>
      <w:pPr>
        <w:spacing w:after="120" w:before="0" w:line="240"/>
        <w:ind w:left="360"/>
        <w:jc w:val="left"/>
      </w:pPr>
      <w:r>
        <w:rPr>
          <w:rFonts w:ascii="Courier New" w:cs="Courier New" w:eastAsia="Courier New" w:hAnsi="Courier New"/>
          <w:sz w:val="20"/>
          <w:szCs w:val="20"/>
        </w:rPr>
        <w:t xml:space="preserve">Les mots-clés « DOIT », « NE DOIT PAS », « OBLIGATOIRE », « DEVRAIT », « NE DEVRAIT PAS », « RECOMMANDÉ », « PEUT » et « FACULTATIF » doivent être interprétés comme décrit dans le BCP 14 [RFC2119] [RFC8174] lorsqu'ils apparaissent en majuscules, comme ici. Ils correspondent respectivement aux mots-clés anglais MUST, MUST NOT, REQUIRED, SHOULD, SHOULD NOT, RECOMMENDED, MAY et OPTIONAL.</w:t>
      </w:r>
    </w:p>
    <w:p>
      <w:pPr>
        <w:spacing w:after="120" w:before="0" w:line="240"/>
        <w:ind w:left="360"/>
        <w:jc w:val="left"/>
      </w:pPr>
      <w:r>
        <w:rPr>
          <w:rFonts w:ascii="Courier New" w:cs="Courier New" w:eastAsia="Courier New" w:hAnsi="Courier New"/>
          <w:sz w:val="20"/>
          <w:szCs w:val="20"/>
        </w:rPr>
        <w:t xml:space="preserve">Les termes suivants sont utilisés dans ce document ; leur définition complète figure dans [USMD-ARCH].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48"/>
        <w:gridCol w:w="7478"/>
      </w:tblGrid>
      <w:tr>
        <w:trPr>
          <w:cantSplit/>
          <w:tblHeader/>
        </w:trPr>
        <w:tc>
          <w:tcPr>
            <w:tcW w:type="dxa" w:w="154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Terme</w:t>
            </w:r>
          </w:p>
        </w:tc>
        <w:tc>
          <w:tcPr>
            <w:tcW w:type="dxa" w:w="747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Définition</w:t>
            </w:r>
          </w:p>
        </w:tc>
      </w:tr>
      <w:tr>
        <w:trPr>
          <w:cantSplit/>
        </w:trPr>
        <w:tc>
          <w:tcPr>
            <w:tcW w:type="dxa" w:w="154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w:t>
            </w:r>
          </w:p>
        </w:tc>
        <w:tc>
          <w:tcPr>
            <w:tcW w:type="dxa" w:w="747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Machine, physique ou virtuelle, participant à un USD</w:t>
            </w:r>
          </w:p>
        </w:tc>
      </w:tr>
      <w:tr>
        <w:trPr>
          <w:cantSplit/>
        </w:trPr>
        <w:tc>
          <w:tcPr>
            <w:tcW w:type="dxa" w:w="154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USD</w:t>
            </w:r>
          </w:p>
        </w:tc>
        <w:tc>
          <w:tcPr>
            <w:tcW w:type="dxa" w:w="747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Unified System Domain : domaine de gestion défini par l'administrateur</w:t>
            </w:r>
          </w:p>
        </w:tc>
      </w:tr>
      <w:tr>
        <w:trPr>
          <w:cantSplit/>
        </w:trPr>
        <w:tc>
          <w:tcPr>
            <w:tcW w:type="dxa" w:w="154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EDB</w:t>
            </w:r>
          </w:p>
        </w:tc>
        <w:tc>
          <w:tcPr>
            <w:tcW w:type="dxa" w:w="747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Easy Deployment Base : serveur facultatif référençant les nœuds actifs</w:t>
            </w:r>
          </w:p>
        </w:tc>
      </w:tr>
      <w:tr>
        <w:trPr>
          <w:cantSplit/>
        </w:trPr>
        <w:tc>
          <w:tcPr>
            <w:tcW w:type="dxa" w:w="154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HIA</w:t>
            </w:r>
          </w:p>
        </w:tc>
        <w:tc>
          <w:tcPr>
            <w:tcW w:type="dxa" w:w="747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Message « Here I am » émis par un nœud</w:t>
            </w:r>
          </w:p>
        </w:tc>
      </w:tr>
      <w:tr>
        <w:trPr>
          <w:cantSplit/>
        </w:trPr>
        <w:tc>
          <w:tcPr>
            <w:tcW w:type="dxa" w:w="154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NIT</w:t>
            </w:r>
          </w:p>
        </w:tc>
        <w:tc>
          <w:tcPr>
            <w:tcW w:type="dxa" w:w="747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Node Identity Table : table associant clés publiques et adresses IP</w:t>
            </w:r>
          </w:p>
        </w:tc>
      </w:tr>
      <w:tr>
        <w:trPr>
          <w:cantSplit/>
        </w:trPr>
        <w:tc>
          <w:tcPr>
            <w:tcW w:type="dxa" w:w="154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ULID</w:t>
            </w:r>
          </w:p>
        </w:tc>
        <w:tc>
          <w:tcPr>
            <w:tcW w:type="dxa" w:w="747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universel triable lexicographiquement, utilisé comme identifiant de nœud</w:t>
            </w:r>
          </w:p>
        </w:tc>
      </w:tr>
      <w:tr>
        <w:trPr>
          <w:cantSplit/>
        </w:trPr>
        <w:tc>
          <w:tcPr>
            <w:tcW w:type="dxa" w:w="154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Adresse SP</w:t>
            </w:r>
          </w:p>
        </w:tc>
        <w:tc>
          <w:tcPr>
            <w:tcW w:type="dxa" w:w="747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Couple (identifiant de service sur 12 bits, identifiant de gestion sur 16 bits), codé sur 32 bits et noté par exemple 0a1.5d68</w:t>
            </w:r>
          </w:p>
        </w:tc>
      </w:tr>
      <w:tr>
        <w:trPr>
          <w:cantSplit/>
        </w:trPr>
        <w:tc>
          <w:tcPr>
            <w:tcW w:type="dxa" w:w="154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 de référence</w:t>
            </w:r>
          </w:p>
        </w:tc>
        <w:tc>
          <w:tcPr>
            <w:tcW w:type="dxa" w:w="747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 choisi par un autre nœud selon la distance ; relation définie dans [USMD-ARCH]</w:t>
            </w:r>
          </w:p>
        </w:tc>
      </w:tr>
      <w:tr>
        <w:trPr>
          <w:cantSplit/>
        </w:trPr>
        <w:tc>
          <w:tcPr>
            <w:tcW w:type="dxa" w:w="154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Vecteur de services</w:t>
            </w:r>
          </w:p>
        </w:tc>
        <w:tc>
          <w:tcPr>
            <w:tcW w:type="dxa" w:w="747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Liste, annoncée dans un HIA, des instances de service les plus proches connues de l'émetteur, avec leur distance et leur nombre de sauts</w:t>
            </w:r>
          </w:p>
        </w:tc>
      </w:tr>
    </w:tbl>
    <w:p>
      <w:pPr>
        <w:spacing w:after="120"/>
      </w:pPr>
      <w:r>
        <w:rPr>
          <w:rFonts w:ascii="Courier New" w:cs="Courier New" w:eastAsia="Courier New" w:hAnsi="Courier New"/>
          <w:sz w:val="20"/>
          <w:szCs w:val="20"/>
        </w:rPr>
        <w:t xml:space="preserve"/>
      </w:r>
    </w:p>
    <w:p>
      <w:pPr>
        <w:pStyle w:val="Heading1"/>
        <w:keepNext/>
        <w:spacing w:after="120" w:before="360"/>
      </w:pPr>
      <w:r>
        <w:rPr>
          <w:rFonts w:ascii="Courier New" w:cs="Courier New" w:eastAsia="Courier New" w:hAnsi="Courier New"/>
          <w:b/>
          <w:bCs/>
          <w:sz w:val="22"/>
          <w:szCs w:val="22"/>
        </w:rPr>
        <w:t xml:space="preserve">3. Vue d'ensemble du protocole</w:t>
      </w:r>
    </w:p>
    <w:p>
      <w:pPr>
        <w:spacing w:after="120" w:before="0" w:line="240"/>
        <w:ind w:left="360"/>
        <w:jc w:val="left"/>
      </w:pPr>
      <w:r>
        <w:rPr>
          <w:rFonts w:ascii="Courier New" w:cs="Courier New" w:eastAsia="Courier New" w:hAnsi="Courier New"/>
          <w:sz w:val="20"/>
          <w:szCs w:val="20"/>
        </w:rPr>
        <w:t xml:space="preserve">NNDP est un protocole sans connexion et sans réponse. Un nœud émet un HIA toutes les I secondes (15 s par défaut), en diffusion sur son segment et en unicast vers chacun de ses nœuds de référence. Le HIA est signé avec la clé Ed25519 du nœud. Tout nœud qui le reçoit en vérifie la signature et la fraîcheur, puis met à jour sa connaissance du nœud émetteur, des services que celui-ci héberge et de sa table des services les plus proches.</w:t>
      </w:r>
    </w:p>
    <w:p>
      <w:pPr>
        <w:spacing w:after="120" w:before="0" w:line="240"/>
        <w:ind w:left="360"/>
        <w:jc w:val="left"/>
      </w:pPr>
      <w:r>
        <w:rPr>
          <w:rFonts w:ascii="Courier New" w:cs="Courier New" w:eastAsia="Courier New" w:hAnsi="Courier New"/>
          <w:sz w:val="20"/>
          <w:szCs w:val="20"/>
        </w:rPr>
        <w:t xml:space="preserve">NNDP ne définit aucun message de réponse. Un nœud qui souhaite donner suite à la découverte d'un voisin ouvre un échange NCP avec lui ; la clé X25519 transportée par le HIA permet de chiffrer cet échange dès le premier message (voir la section 6.4).</w:t>
      </w:r>
    </w:p>
    <w:p>
      <w:pPr>
        <w:keepNext/>
        <w:keepLines/>
        <w:spacing w:after="0" w:line="220"/>
        <w:ind w:left="360"/>
      </w:pPr>
      <w:r>
        <w:rPr>
          <w:rFonts w:ascii="Courier New" w:cs="Courier New" w:eastAsia="Courier New" w:hAnsi="Courier New"/>
          <w:sz w:val="18"/>
          <w:szCs w:val="18"/>
        </w:rPr>
        <w:t xml:space="preserve">  Nœud A                  Réseau (broadcast)                 Nœud B</w:t>
      </w:r>
    </w:p>
    <w:p>
      <w:pPr>
        <w:keepNext/>
        <w:keepLines/>
        <w:spacing w:after="0" w:line="220"/>
        <w:ind w:left="360"/>
      </w:pPr>
      <w:r>
        <w:rPr>
          <w:rFonts w:ascii="Courier New" w:cs="Courier New" w:eastAsia="Courier New" w:hAnsi="Courier New"/>
          <w:sz w:val="18"/>
          <w:szCs w:val="18"/>
        </w:rPr>
        <w:t xml:space="preserve">    |                                                          |</w:t>
      </w:r>
    </w:p>
    <w:p>
      <w:pPr>
        <w:keepNext/>
        <w:keepLines/>
        <w:spacing w:after="0" w:line="220"/>
        <w:ind w:left="360"/>
      </w:pPr>
      <w:r>
        <w:rPr>
          <w:rFonts w:ascii="Courier New" w:cs="Courier New" w:eastAsia="Courier New" w:hAnsi="Courier New"/>
          <w:sz w:val="18"/>
          <w:szCs w:val="18"/>
        </w:rPr>
        <w:t xml:space="preserve">    |---- HIA signé (UDP 5221 -&gt; 5222, 255.255.255.255) ------&gt;|</w:t>
      </w:r>
    </w:p>
    <w:p>
      <w:pPr>
        <w:keepNext/>
        <w:keepLines/>
        <w:spacing w:after="0" w:line="220"/>
        <w:ind w:left="360"/>
      </w:pPr>
      <w:r>
        <w:rPr>
          <w:rFonts w:ascii="Courier New" w:cs="Courier New" w:eastAsia="Courier New" w:hAnsi="Courier New"/>
          <w:sz w:val="18"/>
          <w:szCs w:val="18"/>
        </w:rPr>
        <w:t xml:space="preserve">    |                                                          | vérification :</w:t>
      </w:r>
    </w:p>
    <w:p>
      <w:pPr>
        <w:keepNext/>
        <w:keepLines/>
        <w:spacing w:after="0" w:line="220"/>
        <w:ind w:left="360"/>
      </w:pPr>
      <w:r>
        <w:rPr>
          <w:rFonts w:ascii="Courier New" w:cs="Courier New" w:eastAsia="Courier New" w:hAnsi="Courier New"/>
          <w:sz w:val="18"/>
          <w:szCs w:val="18"/>
        </w:rPr>
        <w:t xml:space="preserve">    |                                                          |  - port source</w:t>
      </w:r>
    </w:p>
    <w:p>
      <w:pPr>
        <w:keepNext/>
        <w:keepLines/>
        <w:spacing w:after="0" w:line="220"/>
        <w:ind w:left="360"/>
      </w:pPr>
      <w:r>
        <w:rPr>
          <w:rFonts w:ascii="Courier New" w:cs="Courier New" w:eastAsia="Courier New" w:hAnsi="Courier New"/>
          <w:sz w:val="18"/>
          <w:szCs w:val="18"/>
        </w:rPr>
        <w:t xml:space="preserve">    |                                                          |  - signature</w:t>
      </w:r>
    </w:p>
    <w:p>
      <w:pPr>
        <w:keepNext/>
        <w:keepLines/>
        <w:spacing w:after="0" w:line="220"/>
        <w:ind w:left="360"/>
      </w:pPr>
      <w:r>
        <w:rPr>
          <w:rFonts w:ascii="Courier New" w:cs="Courier New" w:eastAsia="Courier New" w:hAnsi="Courier New"/>
          <w:sz w:val="18"/>
          <w:szCs w:val="18"/>
        </w:rPr>
        <w:t xml:space="preserve">    |                                                          |  - fraîcheur</w:t>
      </w:r>
    </w:p>
    <w:p>
      <w:pPr>
        <w:keepNext/>
        <w:keepLines/>
        <w:spacing w:after="0" w:line="220"/>
        <w:ind w:left="360"/>
      </w:pPr>
      <w:r>
        <w:rPr>
          <w:rFonts w:ascii="Courier New" w:cs="Courier New" w:eastAsia="Courier New" w:hAnsi="Courier New"/>
          <w:sz w:val="18"/>
          <w:szCs w:val="18"/>
        </w:rPr>
        <w:t xml:space="preserve">    |---- HIA suivant, au plus 15 s plus tard (défaut) -------&gt;| mise à jour</w:t>
      </w:r>
    </w:p>
    <w:p>
      <w:pPr>
        <w:keepLines/>
        <w:spacing w:after="120" w:line="220"/>
        <w:ind w:left="360"/>
      </w:pPr>
      <w:r>
        <w:rPr>
          <w:rFonts w:ascii="Courier New" w:cs="Courier New" w:eastAsia="Courier New" w:hAnsi="Courier New"/>
          <w:sz w:val="18"/>
          <w:szCs w:val="18"/>
        </w:rPr>
        <w:t xml:space="preserve">    |                                                          |</w:t>
      </w:r>
    </w:p>
    <w:p>
      <w:pPr>
        <w:pStyle w:val="Heading1"/>
        <w:keepNext/>
        <w:spacing w:after="120" w:before="360"/>
      </w:pPr>
      <w:r>
        <w:rPr>
          <w:rFonts w:ascii="Courier New" w:cs="Courier New" w:eastAsia="Courier New" w:hAnsi="Courier New"/>
          <w:b/>
          <w:bCs/>
          <w:sz w:val="22"/>
          <w:szCs w:val="22"/>
        </w:rPr>
        <w:t xml:space="preserve">4. Transport</w:t>
      </w:r>
    </w:p>
    <w:p>
      <w:pPr>
        <w:spacing w:after="120" w:before="0" w:line="240"/>
        <w:ind w:left="360"/>
        <w:jc w:val="left"/>
      </w:pPr>
      <w:r>
        <w:rPr>
          <w:rFonts w:ascii="Courier New" w:cs="Courier New" w:eastAsia="Courier New" w:hAnsi="Courier New"/>
          <w:sz w:val="20"/>
          <w:szCs w:val="20"/>
        </w:rPr>
        <w:t xml:space="preserve">NNDP s'exécute au-dessus d'UDP [RFC768] et d'IPv4 uniquement. La prise en charge d'IPv6 est hors du périmètre de cette version.</w:t>
      </w:r>
    </w:p>
    <w:p>
      <w:pPr>
        <w:pStyle w:val="ListParagraph"/>
        <w:numPr>
          <w:ilvl w:val="0"/>
          <w:numId w:val="2"/>
        </w:numPr>
        <w:spacing w:after="60" w:line="240"/>
      </w:pPr>
      <w:r>
        <w:rPr>
          <w:rFonts w:ascii="Courier New" w:cs="Courier New" w:eastAsia="Courier New" w:hAnsi="Courier New"/>
          <w:sz w:val="20"/>
          <w:szCs w:val="20"/>
        </w:rPr>
        <w:t xml:space="preserve">Un HIA DOIT être émis en diffusion limitée vers l'adresse 255.255.255.255.</w:t>
      </w:r>
    </w:p>
    <w:p>
      <w:pPr>
        <w:pStyle w:val="ListParagraph"/>
        <w:numPr>
          <w:ilvl w:val="0"/>
          <w:numId w:val="2"/>
        </w:numPr>
        <w:spacing w:after="60" w:line="240"/>
      </w:pPr>
      <w:r>
        <w:rPr>
          <w:rFonts w:ascii="Courier New" w:cs="Courier New" w:eastAsia="Courier New" w:hAnsi="Courier New"/>
          <w:sz w:val="20"/>
          <w:szCs w:val="20"/>
        </w:rPr>
        <w:t xml:space="preserve">Un nœud admis DOIT en outre envoyer chaque HIA en unicast à l'adresse IPv4 de chacun de ses nœuds de référence, telle que la donne sa NIT.</w:t>
      </w:r>
    </w:p>
    <w:p>
      <w:pPr>
        <w:pStyle w:val="ListParagraph"/>
        <w:numPr>
          <w:ilvl w:val="0"/>
          <w:numId w:val="2"/>
        </w:numPr>
        <w:spacing w:after="60" w:line="240"/>
      </w:pPr>
      <w:r>
        <w:rPr>
          <w:rFonts w:ascii="Courier New" w:cs="Courier New" w:eastAsia="Courier New" w:hAnsi="Courier New"/>
          <w:sz w:val="20"/>
          <w:szCs w:val="20"/>
        </w:rPr>
        <w:t xml:space="preserve">Le port UDP de destination est 5222 ; le port UDP source est 5221.</w:t>
      </w:r>
    </w:p>
    <w:p>
      <w:pPr>
        <w:pStyle w:val="ListParagraph"/>
        <w:numPr>
          <w:ilvl w:val="0"/>
          <w:numId w:val="2"/>
        </w:numPr>
        <w:spacing w:after="60" w:line="240"/>
      </w:pPr>
      <w:r>
        <w:rPr>
          <w:rFonts w:ascii="Courier New" w:cs="Courier New" w:eastAsia="Courier New" w:hAnsi="Courier New"/>
          <w:sz w:val="20"/>
          <w:szCs w:val="20"/>
        </w:rPr>
        <w:t xml:space="preserve">Un nœud DOIT écouter sur le port 5222 et DOIT ignorer tout datagramme reçu dont le port source n'est pas 5221.</w:t>
      </w:r>
    </w:p>
    <w:p>
      <w:pPr>
        <w:pStyle w:val="ListParagraph"/>
        <w:numPr>
          <w:ilvl w:val="0"/>
          <w:numId w:val="2"/>
        </w:numPr>
        <w:spacing w:after="60" w:line="240"/>
      </w:pPr>
      <w:r>
        <w:rPr>
          <w:rFonts w:ascii="Courier New" w:cs="Courier New" w:eastAsia="Courier New" w:hAnsi="Courier New"/>
          <w:sz w:val="20"/>
          <w:szCs w:val="20"/>
        </w:rPr>
        <w:t xml:space="preserve">Un datagramme NNDP ne DOIT PAS être fragmenté. Sa taille est d'au moins 187 octets et NE DOIT PAS dépasser 1200 octets.</w:t>
      </w:r>
    </w:p>
    <w:p>
      <w:pPr>
        <w:spacing w:after="120" w:before="0" w:line="240"/>
        <w:ind w:left="360"/>
        <w:jc w:val="left"/>
      </w:pPr>
      <w:r>
        <w:rPr>
          <w:rFonts w:ascii="Courier New" w:cs="Courier New" w:eastAsia="Courier New" w:hAnsi="Courier New"/>
          <w:sz w:val="20"/>
          <w:szCs w:val="20"/>
        </w:rPr>
        <w:t xml:space="preserve">Comme la diffusion limitée n'est pas routée, la diffusion ne permet de découvrir que les nœuds d'un même segment ; la découverte d'un premier nœud au-delà du segment repose sur l'EDB [USMD-ARCH]. L'envoi en unicast aux nœuds de référence propage en revanche la présence des nœuds et le vecteur de services à tout l'USD, quelle que soit la topologie. Un nœud de référence situé sur le même segment reçoit deux copies d'un même HIA ; la seconde est rejetée comme un rejeu (section 6.2), sans effet.</w:t>
      </w:r>
    </w:p>
    <w:p>
      <w:pPr>
        <w:pStyle w:val="Heading1"/>
        <w:keepNext/>
        <w:spacing w:after="120" w:before="360"/>
      </w:pPr>
      <w:r>
        <w:rPr>
          <w:rFonts w:ascii="Courier New" w:cs="Courier New" w:eastAsia="Courier New" w:hAnsi="Courier New"/>
          <w:b/>
          <w:bCs/>
          <w:sz w:val="22"/>
          <w:szCs w:val="22"/>
        </w:rPr>
        <w:t xml:space="preserve">5. Format des messages</w:t>
      </w:r>
    </w:p>
    <w:p>
      <w:pPr>
        <w:pStyle w:val="Heading2"/>
        <w:keepNext/>
        <w:spacing w:after="120" w:before="240"/>
      </w:pPr>
      <w:r>
        <w:rPr>
          <w:rFonts w:ascii="Courier New" w:cs="Courier New" w:eastAsia="Courier New" w:hAnsi="Courier New"/>
          <w:b/>
          <w:bCs/>
          <w:sz w:val="20"/>
          <w:szCs w:val="20"/>
        </w:rPr>
        <w:t xml:space="preserve">5.1. Ordre des octets</w:t>
      </w:r>
    </w:p>
    <w:p>
      <w:pPr>
        <w:spacing w:after="120" w:before="0" w:line="240"/>
        <w:ind w:left="360"/>
        <w:jc w:val="left"/>
      </w:pPr>
      <w:r>
        <w:rPr>
          <w:rFonts w:ascii="Courier New" w:cs="Courier New" w:eastAsia="Courier New" w:hAnsi="Courier New"/>
          <w:sz w:val="20"/>
          <w:szCs w:val="20"/>
        </w:rPr>
        <w:t xml:space="preserve">Tous les champs entiers sont codés en ordre réseau (grand-boutiste) : l'octet de poids fort est transmis en premier, et, dans chaque octet, le bit de poids fort est transmis en premier. Tous les champs sont alignés sur l'octet.</w:t>
      </w:r>
    </w:p>
    <w:p>
      <w:pPr>
        <w:pStyle w:val="Heading2"/>
        <w:keepNext/>
        <w:spacing w:after="120" w:before="240"/>
      </w:pPr>
      <w:r>
        <w:rPr>
          <w:rFonts w:ascii="Courier New" w:cs="Courier New" w:eastAsia="Courier New" w:hAnsi="Courier New"/>
          <w:b/>
          <w:bCs/>
          <w:sz w:val="20"/>
          <w:szCs w:val="20"/>
        </w:rPr>
        <w:t xml:space="preserve">5.2. Structure d'un datagramme</w:t>
      </w:r>
    </w:p>
    <w:p>
      <w:pPr>
        <w:keepNext/>
        <w:keepLines/>
        <w:spacing w:after="0" w:line="220"/>
        <w:ind w:left="360"/>
      </w:pPr>
      <w:r>
        <w:rPr>
          <w:rFonts w:ascii="Courier New" w:cs="Courier New" w:eastAsia="Courier New" w:hAnsi="Courier New"/>
          <w:sz w:val="18"/>
          <w:szCs w:val="18"/>
        </w:rPr>
        <w:t xml:space="preserve">+--------------------------------------------------------------+</w:t>
      </w:r>
    </w:p>
    <w:p>
      <w:pPr>
        <w:keepNext/>
        <w:keepLines/>
        <w:spacing w:after="0" w:line="220"/>
        <w:ind w:left="360"/>
      </w:pPr>
      <w:r>
        <w:rPr>
          <w:rFonts w:ascii="Courier New" w:cs="Courier New" w:eastAsia="Courier New" w:hAnsi="Courier New"/>
          <w:sz w:val="18"/>
          <w:szCs w:val="18"/>
        </w:rPr>
        <w:t xml:space="preserve">| Clé publique Ed25519 de l'émetteur             (32 octets)   |</w:t>
      </w:r>
    </w:p>
    <w:p>
      <w:pPr>
        <w:keepNext/>
        <w:keepLines/>
        <w:spacing w:after="0" w:line="220"/>
        <w:ind w:left="360"/>
      </w:pPr>
      <w:r>
        <w:rPr>
          <w:rFonts w:ascii="Courier New" w:cs="Courier New" w:eastAsia="Courier New" w:hAnsi="Courier New"/>
          <w:sz w:val="18"/>
          <w:szCs w:val="18"/>
        </w:rPr>
        <w:t xml:space="preserve">+--------------------------------------------------------------+</w:t>
      </w:r>
    </w:p>
    <w:p>
      <w:pPr>
        <w:keepNext/>
        <w:keepLines/>
        <w:spacing w:after="0" w:line="220"/>
        <w:ind w:left="360"/>
      </w:pPr>
      <w:r>
        <w:rPr>
          <w:rFonts w:ascii="Courier New" w:cs="Courier New" w:eastAsia="Courier New" w:hAnsi="Courier New"/>
          <w:sz w:val="18"/>
          <w:szCs w:val="18"/>
        </w:rPr>
        <w:t xml:space="preserve">| Signature Ed25519                              (64 octets)   |</w:t>
      </w:r>
    </w:p>
    <w:p>
      <w:pPr>
        <w:keepNext/>
        <w:keepLines/>
        <w:spacing w:after="0" w:line="220"/>
        <w:ind w:left="360"/>
      </w:pPr>
      <w:r>
        <w:rPr>
          <w:rFonts w:ascii="Courier New" w:cs="Courier New" w:eastAsia="Courier New" w:hAnsi="Courier New"/>
          <w:sz w:val="18"/>
          <w:szCs w:val="18"/>
        </w:rPr>
        <w:t xml:space="preserve">+--------------------------------------------------------------+</w:t>
      </w:r>
    </w:p>
    <w:p>
      <w:pPr>
        <w:keepNext/>
        <w:keepLines/>
        <w:spacing w:after="0" w:line="220"/>
        <w:ind w:left="360"/>
      </w:pPr>
      <w:r>
        <w:rPr>
          <w:rFonts w:ascii="Courier New" w:cs="Courier New" w:eastAsia="Courier New" w:hAnsi="Courier New"/>
          <w:sz w:val="18"/>
          <w:szCs w:val="18"/>
        </w:rPr>
        <w:t xml:space="preserve">| Trame signée :                                               |</w:t>
      </w:r>
    </w:p>
    <w:p>
      <w:pPr>
        <w:keepNext/>
        <w:keepLines/>
        <w:spacing w:after="0" w:line="220"/>
        <w:ind w:left="360"/>
      </w:pPr>
      <w:r>
        <w:rPr>
          <w:rFonts w:ascii="Courier New" w:cs="Courier New" w:eastAsia="Courier New" w:hAnsi="Courier New"/>
          <w:sz w:val="18"/>
          <w:szCs w:val="18"/>
        </w:rPr>
        <w:t xml:space="preserve">|   En-tête de trame                              (9 octets)   |</w:t>
      </w:r>
    </w:p>
    <w:p>
      <w:pPr>
        <w:keepNext/>
        <w:keepLines/>
        <w:spacing w:after="0" w:line="220"/>
        <w:ind w:left="360"/>
      </w:pPr>
      <w:r>
        <w:rPr>
          <w:rFonts w:ascii="Courier New" w:cs="Courier New" w:eastAsia="Courier New" w:hAnsi="Courier New"/>
          <w:sz w:val="18"/>
          <w:szCs w:val="18"/>
        </w:rPr>
        <w:t xml:space="preserve">|   Charge Here I am                   (82 à 1050 octets)      |</w:t>
      </w:r>
    </w:p>
    <w:p>
      <w:pPr>
        <w:keepLines/>
        <w:spacing w:after="120" w:line="220"/>
        <w:ind w:left="360"/>
      </w:pPr>
      <w:r>
        <w:rPr>
          <w:rFonts w:ascii="Courier New" w:cs="Courier New" w:eastAsia="Courier New" w:hAnsi="Courier New"/>
          <w:sz w:val="18"/>
          <w:szCs w:val="18"/>
        </w:rPr>
        <w:t xml:space="preserve">+--------------------------------------------------------------+</w:t>
      </w:r>
    </w:p>
    <w:p>
      <w:pPr>
        <w:spacing w:after="120" w:before="0" w:line="240"/>
        <w:ind w:left="360"/>
        <w:jc w:val="left"/>
      </w:pPr>
      <w:r>
        <w:rPr>
          <w:rFonts w:ascii="Courier New" w:cs="Courier New" w:eastAsia="Courier New" w:hAnsi="Courier New"/>
          <w:sz w:val="20"/>
          <w:szCs w:val="20"/>
        </w:rPr>
        <w:t xml:space="preserve">La signature porte sur l'intégralité de la trame (en-tête de trame et charge). Elle est calculée selon [RFC8032] avec la clé privée correspondant à la clé publique placée en tête du datagramme.</w:t>
      </w:r>
    </w:p>
    <w:p>
      <w:pPr>
        <w:pStyle w:val="Heading2"/>
        <w:keepNext/>
        <w:spacing w:after="120" w:before="240"/>
      </w:pPr>
      <w:r>
        <w:rPr>
          <w:rFonts w:ascii="Courier New" w:cs="Courier New" w:eastAsia="Courier New" w:hAnsi="Courier New"/>
          <w:b/>
          <w:bCs/>
          <w:sz w:val="20"/>
          <w:szCs w:val="20"/>
        </w:rPr>
        <w:t xml:space="preserve">5.3. En-tête de trame</w:t>
      </w:r>
    </w:p>
    <w:p>
      <w:pPr>
        <w:spacing w:after="120" w:before="0" w:line="240"/>
        <w:ind w:left="360"/>
        <w:jc w:val="left"/>
      </w:pPr>
      <w:r>
        <w:rPr>
          <w:rFonts w:ascii="Courier New" w:cs="Courier New" w:eastAsia="Courier New" w:hAnsi="Courier New"/>
          <w:sz w:val="20"/>
          <w:szCs w:val="20"/>
        </w:rPr>
        <w:t xml:space="preserve">L'en-tête de trame est commun aux protocoles de la famille USMD-RDSH (NNDP, NCP, SP).</w:t>
      </w:r>
    </w:p>
    <w:p>
      <w:pPr>
        <w:keepNext/>
        <w:keepLines/>
        <w:spacing w:after="0" w:line="220"/>
        <w:ind w:left="360"/>
      </w:pPr>
      <w:r>
        <w:rPr>
          <w:rFonts w:ascii="Courier New" w:cs="Courier New" w:eastAsia="Courier New" w:hAnsi="Courier New"/>
          <w:sz w:val="18"/>
          <w:szCs w:val="18"/>
        </w:rPr>
        <w:t xml:space="preserve"> Octets 0-1   Octet 2    Octets 3-4     Octets 5-8</w:t>
      </w:r>
    </w:p>
    <w:p>
      <w:pPr>
        <w:keepNext/>
        <w:keepLines/>
        <w:spacing w:after="0" w:line="220"/>
        <w:ind w:left="360"/>
      </w:pPr>
      <w:r>
        <w:rPr>
          <w:rFonts w:ascii="Courier New" w:cs="Courier New" w:eastAsia="Courier New" w:hAnsi="Courier New"/>
          <w:sz w:val="18"/>
          <w:szCs w:val="18"/>
        </w:rPr>
        <w:t xml:space="preserve">+-----------+---------+--------------+------------------+</w:t>
      </w:r>
    </w:p>
    <w:p>
      <w:pPr>
        <w:keepNext/>
        <w:keepLines/>
        <w:spacing w:after="0" w:line="220"/>
        <w:ind w:left="360"/>
      </w:pPr>
      <w:r>
        <w:rPr>
          <w:rFonts w:ascii="Courier New" w:cs="Courier New" w:eastAsia="Courier New" w:hAnsi="Courier New"/>
          <w:sz w:val="18"/>
          <w:szCs w:val="18"/>
        </w:rPr>
        <w:t xml:space="preserve">|   Magic   | Version |  Événement   |     Longueur     |</w:t>
      </w:r>
    </w:p>
    <w:p>
      <w:pPr>
        <w:keepNext/>
        <w:keepLines/>
        <w:spacing w:after="0" w:line="220"/>
        <w:ind w:left="360"/>
      </w:pPr>
      <w:r>
        <w:rPr>
          <w:rFonts w:ascii="Courier New" w:cs="Courier New" w:eastAsia="Courier New" w:hAnsi="Courier New"/>
          <w:sz w:val="18"/>
          <w:szCs w:val="18"/>
        </w:rPr>
        <w:t xml:space="preserve">|  0xD5C1   |         |              |  (en octets)     |</w:t>
      </w:r>
    </w:p>
    <w:p>
      <w:pPr>
        <w:keepLines/>
        <w:spacing w:after="120" w:line="220"/>
        <w:ind w:left="360"/>
      </w:pPr>
      <w:r>
        <w:rPr>
          <w:rFonts w:ascii="Courier New" w:cs="Courier New" w:eastAsia="Courier New" w:hAnsi="Courier New"/>
          <w:sz w:val="18"/>
          <w:szCs w:val="1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6826"/>
      </w:tblGrid>
      <w:tr>
        <w:trPr>
          <w:cantSplit/>
          <w:tblHeader/>
        </w:trPr>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Taille</w:t>
            </w:r>
          </w:p>
        </w:tc>
        <w:tc>
          <w:tcPr>
            <w:tcW w:type="dxa" w:w="682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Description</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Magic</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16 bits</w:t>
            </w:r>
          </w:p>
        </w:tc>
        <w:tc>
          <w:tcPr>
            <w:tcW w:type="dxa" w:w="68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Valeur fixe 0xD5C1 (54721). Un récepteur DOIT rejeter toute trame qui ne commence pas par cette valeur</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Version</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8 bits</w:t>
            </w:r>
          </w:p>
        </w:tc>
        <w:tc>
          <w:tcPr>
            <w:tcW w:type="dxa" w:w="68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Version du protocole, 1 dans ce document. Un récepteur DOIT rejeter toute version qu'il ne prend pas en charge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Événement</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16 bits</w:t>
            </w:r>
          </w:p>
        </w:tc>
        <w:tc>
          <w:tcPr>
            <w:tcW w:type="dxa" w:w="68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Type de message. Pour NNDP, 0x0001 désigne le message Here I am ; les autres valeurs sont réservées</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Longueur</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 bits</w:t>
            </w:r>
          </w:p>
        </w:tc>
        <w:tc>
          <w:tcPr>
            <w:tcW w:type="dxa" w:w="68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Taille de la charge en octets, en-tête de trame exclu. Un récepteur DOIT rejeter la trame si cette valeur ne correspond pas à la taille réelle de la charge</w:t>
            </w:r>
          </w:p>
        </w:tc>
      </w:tr>
    </w:tbl>
    <w:p>
      <w:pPr>
        <w:spacing w:after="120"/>
      </w:pPr>
      <w:r>
        <w:rPr>
          <w:rFonts w:ascii="Courier New" w:cs="Courier New" w:eastAsia="Courier New" w:hAnsi="Courier New"/>
          <w:sz w:val="20"/>
          <w:szCs w:val="20"/>
        </w:rPr>
        <w:t xml:space="preserve"/>
      </w:r>
    </w:p>
    <w:p>
      <w:pPr>
        <w:pStyle w:val="Heading2"/>
        <w:keepNext/>
        <w:spacing w:after="120" w:before="240"/>
      </w:pPr>
      <w:r>
        <w:rPr>
          <w:rFonts w:ascii="Courier New" w:cs="Courier New" w:eastAsia="Courier New" w:hAnsi="Courier New"/>
          <w:b/>
          <w:bCs/>
          <w:sz w:val="20"/>
          <w:szCs w:val="20"/>
        </w:rPr>
        <w:t xml:space="preserve">5.4. Charge Here I am</w:t>
      </w:r>
    </w:p>
    <w:p>
      <w:pPr>
        <w:keepNext/>
        <w:keepLines/>
        <w:spacing w:after="0" w:line="220"/>
        <w:ind w:left="360"/>
      </w:pPr>
      <w:r>
        <w:rPr>
          <w:rFonts w:ascii="Courier New" w:cs="Courier New" w:eastAsia="Courier New" w:hAnsi="Courier New"/>
          <w:sz w:val="18"/>
          <w:szCs w:val="18"/>
        </w:rPr>
        <w:t xml:space="preserve"> Octets (v1)   Champ</w:t>
      </w:r>
    </w:p>
    <w:p>
      <w:pPr>
        <w:keepNext/>
        <w:keepLines/>
        <w:spacing w:after="0" w:line="220"/>
        <w:ind w:left="360"/>
      </w:pPr>
      <w:r>
        <w:rPr>
          <w:rFonts w:ascii="Courier New" w:cs="Courier New" w:eastAsia="Courier New" w:hAnsi="Courier New"/>
          <w:sz w:val="18"/>
          <w:szCs w:val="18"/>
        </w:rPr>
        <w:t xml:space="preserve"> -----------   ------------------------------------------------------</w:t>
      </w:r>
    </w:p>
    <w:p>
      <w:pPr>
        <w:keepNext/>
        <w:keepLines/>
        <w:spacing w:after="0" w:line="220"/>
        <w:ind w:left="360"/>
      </w:pPr>
      <w:r>
        <w:rPr>
          <w:rFonts w:ascii="Courier New" w:cs="Courier New" w:eastAsia="Courier New" w:hAnsi="Courier New"/>
          <w:sz w:val="18"/>
          <w:szCs w:val="18"/>
        </w:rPr>
        <w:t xml:space="preserve"> 0-1           Longueur de l'identifiant (L), 16 bits</w:t>
      </w:r>
    </w:p>
    <w:p>
      <w:pPr>
        <w:keepNext/>
        <w:keepLines/>
        <w:spacing w:after="0" w:line="220"/>
        <w:ind w:left="360"/>
      </w:pPr>
      <w:r>
        <w:rPr>
          <w:rFonts w:ascii="Courier New" w:cs="Courier New" w:eastAsia="Courier New" w:hAnsi="Courier New"/>
          <w:sz w:val="18"/>
          <w:szCs w:val="18"/>
        </w:rPr>
        <w:t xml:space="preserve"> 2-27          Identifiant de nœud, L octets (ASCII)</w:t>
      </w:r>
    </w:p>
    <w:p>
      <w:pPr>
        <w:keepNext/>
        <w:keepLines/>
        <w:spacing w:after="0" w:line="220"/>
        <w:ind w:left="360"/>
      </w:pPr>
      <w:r>
        <w:rPr>
          <w:rFonts w:ascii="Courier New" w:cs="Courier New" w:eastAsia="Courier New" w:hAnsi="Courier New"/>
          <w:sz w:val="18"/>
          <w:szCs w:val="18"/>
        </w:rPr>
        <w:t xml:space="preserve"> 28-35         Prochaine émission, 64 bits, ms depuis l'époque Unix</w:t>
      </w:r>
    </w:p>
    <w:p>
      <w:pPr>
        <w:keepNext/>
        <w:keepLines/>
        <w:spacing w:after="0" w:line="220"/>
        <w:ind w:left="360"/>
      </w:pPr>
      <w:r>
        <w:rPr>
          <w:rFonts w:ascii="Courier New" w:cs="Courier New" w:eastAsia="Courier New" w:hAnsi="Courier New"/>
          <w:sz w:val="18"/>
          <w:szCs w:val="18"/>
        </w:rPr>
        <w:t xml:space="preserve"> 36-37         État du nœud, 16 bits</w:t>
      </w:r>
    </w:p>
    <w:p>
      <w:pPr>
        <w:keepNext/>
        <w:keepLines/>
        <w:spacing w:after="0" w:line="220"/>
        <w:ind w:left="360"/>
      </w:pPr>
      <w:r>
        <w:rPr>
          <w:rFonts w:ascii="Courier New" w:cs="Courier New" w:eastAsia="Courier New" w:hAnsi="Courier New"/>
          <w:sz w:val="18"/>
          <w:szCs w:val="18"/>
        </w:rPr>
        <w:t xml:space="preserve"> 38-45         Horodatage d'émission, 64 bits, ms depuis l'époque Unix</w:t>
      </w:r>
    </w:p>
    <w:p>
      <w:pPr>
        <w:keepNext/>
        <w:keepLines/>
        <w:spacing w:after="0" w:line="220"/>
        <w:ind w:left="360"/>
      </w:pPr>
      <w:r>
        <w:rPr>
          <w:rFonts w:ascii="Courier New" w:cs="Courier New" w:eastAsia="Courier New" w:hAnsi="Courier New"/>
          <w:sz w:val="18"/>
          <w:szCs w:val="18"/>
        </w:rPr>
        <w:t xml:space="preserve"> 46-77         Clé publique X25519 du nœud, 32 octets</w:t>
      </w:r>
    </w:p>
    <w:p>
      <w:pPr>
        <w:keepNext/>
        <w:keepLines/>
        <w:spacing w:after="0" w:line="220"/>
        <w:ind w:left="360"/>
      </w:pPr>
      <w:r>
        <w:rPr>
          <w:rFonts w:ascii="Courier New" w:cs="Courier New" w:eastAsia="Courier New" w:hAnsi="Courier New"/>
          <w:sz w:val="18"/>
          <w:szCs w:val="18"/>
        </w:rPr>
        <w:t xml:space="preserve"> 78-79         Nombre de services hébergés (H), 16 bits</w:t>
      </w:r>
    </w:p>
    <w:p>
      <w:pPr>
        <w:keepNext/>
        <w:keepLines/>
        <w:spacing w:after="0" w:line="220"/>
        <w:ind w:left="360"/>
      </w:pPr>
      <w:r>
        <w:rPr>
          <w:rFonts w:ascii="Courier New" w:cs="Courier New" w:eastAsia="Courier New" w:hAnsi="Courier New"/>
          <w:sz w:val="18"/>
          <w:szCs w:val="18"/>
        </w:rPr>
        <w:t xml:space="preserve"> 80-...        Services hébergés, H × 4 octets</w:t>
      </w:r>
    </w:p>
    <w:p>
      <w:pPr>
        <w:keepNext/>
        <w:keepLines/>
        <w:spacing w:after="0" w:line="220"/>
        <w:ind w:left="360"/>
      </w:pPr>
      <w:r>
        <w:rPr>
          <w:rFonts w:ascii="Courier New" w:cs="Courier New" w:eastAsia="Courier New" w:hAnsi="Courier New"/>
          <w:sz w:val="18"/>
          <w:szCs w:val="18"/>
        </w:rPr>
        <w:t xml:space="preserve"> ...           Nombre d'entrées du vecteur (V), 16 bits</w:t>
      </w:r>
    </w:p>
    <w:p>
      <w:pPr>
        <w:keepLines/>
        <w:spacing w:after="120" w:line="220"/>
        <w:ind w:left="360"/>
      </w:pPr>
      <w:r>
        <w:rPr>
          <w:rFonts w:ascii="Courier New" w:cs="Courier New" w:eastAsia="Courier New" w:hAnsi="Courier New"/>
          <w:sz w:val="18"/>
          <w:szCs w:val="18"/>
        </w:rPr>
        <w:t xml:space="preserve"> ...           Vecteur de services, V × 7 octets</w:t>
      </w:r>
    </w:p>
    <w:p>
      <w:pPr>
        <w:spacing w:after="120" w:before="0" w:line="240"/>
        <w:ind w:left="360"/>
        <w:jc w:val="left"/>
      </w:pPr>
      <w:r>
        <w:rPr>
          <w:rFonts w:ascii="Courier New" w:cs="Courier New" w:eastAsia="Courier New" w:hAnsi="Courier New"/>
          <w:sz w:val="20"/>
          <w:szCs w:val="20"/>
        </w:rPr>
        <w:t xml:space="preserve">Les décalages ci-dessus supposent L = 26. Chaque entrée du vecteur de services a le format suivant :</w:t>
      </w:r>
    </w:p>
    <w:p>
      <w:pPr>
        <w:keepNext/>
        <w:keepLines/>
        <w:spacing w:after="0" w:line="220"/>
        <w:ind w:left="360"/>
      </w:pPr>
      <w:r>
        <w:rPr>
          <w:rFonts w:ascii="Courier New" w:cs="Courier New" w:eastAsia="Courier New" w:hAnsi="Courier New"/>
          <w:sz w:val="18"/>
          <w:szCs w:val="18"/>
        </w:rPr>
        <w:t xml:space="preserve"> Octets   Champ</w:t>
      </w:r>
    </w:p>
    <w:p>
      <w:pPr>
        <w:keepNext/>
        <w:keepLines/>
        <w:spacing w:after="0" w:line="220"/>
        <w:ind w:left="360"/>
      </w:pPr>
      <w:r>
        <w:rPr>
          <w:rFonts w:ascii="Courier New" w:cs="Courier New" w:eastAsia="Courier New" w:hAnsi="Courier New"/>
          <w:sz w:val="18"/>
          <w:szCs w:val="18"/>
        </w:rPr>
        <w:t xml:space="preserve"> ------   ---------------------------------------------------</w:t>
      </w:r>
    </w:p>
    <w:p>
      <w:pPr>
        <w:keepNext/>
        <w:keepLines/>
        <w:spacing w:after="0" w:line="220"/>
        <w:ind w:left="360"/>
      </w:pPr>
      <w:r>
        <w:rPr>
          <w:rFonts w:ascii="Courier New" w:cs="Courier New" w:eastAsia="Courier New" w:hAnsi="Courier New"/>
          <w:sz w:val="18"/>
          <w:szCs w:val="18"/>
        </w:rPr>
        <w:t xml:space="preserve"> 0-3      Adresse SP de l'instance, 32 bits</w:t>
      </w:r>
    </w:p>
    <w:p>
      <w:pPr>
        <w:keepNext/>
        <w:keepLines/>
        <w:spacing w:after="0" w:line="220"/>
        <w:ind w:left="360"/>
      </w:pPr>
      <w:r>
        <w:rPr>
          <w:rFonts w:ascii="Courier New" w:cs="Courier New" w:eastAsia="Courier New" w:hAnsi="Courier New"/>
          <w:sz w:val="18"/>
          <w:szCs w:val="18"/>
        </w:rPr>
        <w:t xml:space="preserve"> 4-5      Distance D, 16 bits, en millièmes (65 535 : inaccessible)</w:t>
      </w:r>
    </w:p>
    <w:p>
      <w:pPr>
        <w:keepLines/>
        <w:spacing w:after="120" w:line="220"/>
        <w:ind w:left="360"/>
      </w:pPr>
      <w:r>
        <w:rPr>
          <w:rFonts w:ascii="Courier New" w:cs="Courier New" w:eastAsia="Courier New" w:hAnsi="Courier New"/>
          <w:sz w:val="18"/>
          <w:szCs w:val="18"/>
        </w:rPr>
        <w:t xml:space="preserve"> 6        Nombre de sauts, 8 bits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95"/>
        <w:gridCol w:w="7431"/>
      </w:tblGrid>
      <w:tr>
        <w:trPr>
          <w:cantSplit/>
          <w:tblHeader/>
        </w:trPr>
        <w:tc>
          <w:tcPr>
            <w:tcW w:type="dxa" w:w="159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7431"/>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Description</w:t>
            </w:r>
          </w:p>
        </w:tc>
      </w:tr>
      <w:tr>
        <w:trPr>
          <w:cantSplit/>
        </w:trPr>
        <w:tc>
          <w:tcPr>
            <w:tcW w:type="dxa" w:w="159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Longueur de l'identifiant</w:t>
            </w:r>
          </w:p>
        </w:tc>
        <w:tc>
          <w:tcPr>
            <w:tcW w:type="dxa" w:w="743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Taille en octets de l'identifiant. En version 1, elle DOIT valoir 26</w:t>
            </w:r>
          </w:p>
        </w:tc>
      </w:tr>
      <w:tr>
        <w:trPr>
          <w:cantSplit/>
        </w:trPr>
        <w:tc>
          <w:tcPr>
            <w:tcW w:type="dxa" w:w="159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de nœud</w:t>
            </w:r>
          </w:p>
        </w:tc>
        <w:tc>
          <w:tcPr>
            <w:tcW w:type="dxa" w:w="743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ULID du nœud, dans sa forme textuelle canonique de 26 caractères (alphabet Crockford en base 32), codé en ASCII</w:t>
            </w:r>
          </w:p>
        </w:tc>
      </w:tr>
      <w:tr>
        <w:trPr>
          <w:cantSplit/>
        </w:trPr>
        <w:tc>
          <w:tcPr>
            <w:tcW w:type="dxa" w:w="159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Prochaine émission</w:t>
            </w:r>
          </w:p>
        </w:tc>
        <w:tc>
          <w:tcPr>
            <w:tcW w:type="dxa" w:w="743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Date à laquelle l'émetteur prévoit d'envoyer son prochain HIA</w:t>
            </w:r>
          </w:p>
        </w:tc>
      </w:tr>
      <w:tr>
        <w:trPr>
          <w:cantSplit/>
        </w:trPr>
        <w:tc>
          <w:tcPr>
            <w:tcW w:type="dxa" w:w="159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État du nœud</w:t>
            </w:r>
          </w:p>
        </w:tc>
        <w:tc>
          <w:tcPr>
            <w:tcW w:type="dxa" w:w="743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Code d'état tel que défini dans le registre de [USMD-ARCH]. Un nœud NE DOIT PAS émettre de code de la famille 0x4000 (états « Exclu »)</w:t>
            </w:r>
          </w:p>
        </w:tc>
      </w:tr>
      <w:tr>
        <w:trPr>
          <w:cantSplit/>
        </w:trPr>
        <w:tc>
          <w:tcPr>
            <w:tcW w:type="dxa" w:w="159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Horodatage d'émission</w:t>
            </w:r>
          </w:p>
        </w:tc>
        <w:tc>
          <w:tcPr>
            <w:tcW w:type="dxa" w:w="743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Date d'émission de ce HIA, selon l'horloge de l'émetteur</w:t>
            </w:r>
          </w:p>
        </w:tc>
      </w:tr>
      <w:tr>
        <w:trPr>
          <w:cantSplit/>
        </w:trPr>
        <w:tc>
          <w:tcPr>
            <w:tcW w:type="dxa" w:w="159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publique X25519</w:t>
            </w:r>
          </w:p>
        </w:tc>
        <w:tc>
          <w:tcPr>
            <w:tcW w:type="dxa" w:w="743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statique de l'émetteur, utilisée par ses pairs pour chiffrer les messages NCP qui lui sont destinés</w:t>
            </w:r>
          </w:p>
        </w:tc>
      </w:tr>
      <w:tr>
        <w:trPr>
          <w:cantSplit/>
        </w:trPr>
        <w:tc>
          <w:tcPr>
            <w:tcW w:type="dxa" w:w="159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Services hébergés</w:t>
            </w:r>
          </w:p>
        </w:tc>
        <w:tc>
          <w:tcPr>
            <w:tcW w:type="dxa" w:w="743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Adresses SP [USMD-ARCH], section 11.3, des instances que l'émetteur exécute et dont le dernier contrôle de santé a réussi. Au plus 32 entrées ; vide pour un nœud non admis</w:t>
            </w:r>
          </w:p>
        </w:tc>
      </w:tr>
      <w:tr>
        <w:trPr>
          <w:cantSplit/>
        </w:trPr>
        <w:tc>
          <w:tcPr>
            <w:tcW w:type="dxa" w:w="159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Vecteur de services</w:t>
            </w:r>
          </w:p>
        </w:tc>
        <w:tc>
          <w:tcPr>
            <w:tcW w:type="dxa" w:w="743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Instances les plus proches connues de l'émetteur, au plus une par service et 120 entrées par HIA (section 6.5) ; vide pour un nœud non admis</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Avec 32 services hébergés et 120 entrées de vecteur, un datagramme compte 187 + 128 + 840 = 1 155 octets. Un nœud qui doit annoncer plus de 120 entrées les répartit sur plusieurs HIA émis dans le même intervalle, chacun avec son propre horodatage d'émission et la même prochaine émission. Chaque HIA répète la liste complète des services hébergés.</w:t>
      </w:r>
    </w:p>
    <w:p>
      <w:pPr>
        <w:pStyle w:val="Heading1"/>
        <w:keepNext/>
        <w:spacing w:after="120" w:before="360"/>
      </w:pPr>
      <w:r>
        <w:rPr>
          <w:rFonts w:ascii="Courier New" w:cs="Courier New" w:eastAsia="Courier New" w:hAnsi="Courier New"/>
          <w:b/>
          <w:bCs/>
          <w:sz w:val="22"/>
          <w:szCs w:val="22"/>
        </w:rPr>
        <w:t xml:space="preserve">6. Traitement</w:t>
      </w:r>
    </w:p>
    <w:p>
      <w:pPr>
        <w:pStyle w:val="Heading2"/>
        <w:keepNext/>
        <w:spacing w:after="120" w:before="240"/>
      </w:pPr>
      <w:r>
        <w:rPr>
          <w:rFonts w:ascii="Courier New" w:cs="Courier New" w:eastAsia="Courier New" w:hAnsi="Courier New"/>
          <w:b/>
          <w:bCs/>
          <w:sz w:val="20"/>
          <w:szCs w:val="20"/>
        </w:rPr>
        <w:t xml:space="preserve">6.1. Émission</w:t>
      </w:r>
    </w:p>
    <w:p>
      <w:pPr>
        <w:spacing w:after="120" w:before="0" w:line="240"/>
        <w:ind w:left="360"/>
        <w:jc w:val="left"/>
      </w:pPr>
      <w:r>
        <w:rPr>
          <w:rFonts w:ascii="Courier New" w:cs="Courier New" w:eastAsia="Courier New" w:hAnsi="Courier New"/>
          <w:sz w:val="20"/>
          <w:szCs w:val="20"/>
        </w:rPr>
        <w:t xml:space="preserve">Un nœud actif émet un HIA à intervalle régulier. L'émetteur :</w:t>
      </w:r>
    </w:p>
    <w:p>
      <w:pPr>
        <w:pStyle w:val="ListParagraph"/>
        <w:numPr>
          <w:ilvl w:val="0"/>
          <w:numId w:val="2"/>
        </w:numPr>
        <w:spacing w:after="60" w:line="240"/>
      </w:pPr>
      <w:r>
        <w:rPr>
          <w:rFonts w:ascii="Courier New" w:cs="Courier New" w:eastAsia="Courier New" w:hAnsi="Courier New"/>
          <w:sz w:val="20"/>
          <w:szCs w:val="20"/>
        </w:rPr>
        <w:t xml:space="preserve">renseigne l'horodatage d'émission avec l'heure courante de son horloge ;</w:t>
      </w:r>
    </w:p>
    <w:p>
      <w:pPr>
        <w:pStyle w:val="ListParagraph"/>
        <w:numPr>
          <w:ilvl w:val="0"/>
          <w:numId w:val="2"/>
        </w:numPr>
        <w:spacing w:after="60" w:line="240"/>
      </w:pPr>
      <w:r>
        <w:rPr>
          <w:rFonts w:ascii="Courier New" w:cs="Courier New" w:eastAsia="Courier New" w:hAnsi="Courier New"/>
          <w:sz w:val="20"/>
          <w:szCs w:val="20"/>
        </w:rPr>
        <w:t xml:space="preserve">renseigne la prochaine émission avec l'horodatage d'émission augmenté de l'intervalle d'émission ;</w:t>
      </w:r>
    </w:p>
    <w:p>
      <w:pPr>
        <w:pStyle w:val="ListParagraph"/>
        <w:numPr>
          <w:ilvl w:val="0"/>
          <w:numId w:val="2"/>
        </w:numPr>
        <w:spacing w:after="60" w:line="240"/>
      </w:pPr>
      <w:r>
        <w:rPr>
          <w:rFonts w:ascii="Courier New" w:cs="Courier New" w:eastAsia="Courier New" w:hAnsi="Courier New"/>
          <w:sz w:val="20"/>
          <w:szCs w:val="20"/>
        </w:rPr>
        <w:t xml:space="preserve">renseigne la liste des services hébergés et le vecteur de services selon la section 6.5 ;</w:t>
      </w:r>
    </w:p>
    <w:p>
      <w:pPr>
        <w:pStyle w:val="ListParagraph"/>
        <w:numPr>
          <w:ilvl w:val="0"/>
          <w:numId w:val="2"/>
        </w:numPr>
        <w:spacing w:after="60" w:line="240"/>
      </w:pPr>
      <w:r>
        <w:rPr>
          <w:rFonts w:ascii="Courier New" w:cs="Courier New" w:eastAsia="Courier New" w:hAnsi="Courier New"/>
          <w:sz w:val="20"/>
          <w:szCs w:val="20"/>
        </w:rPr>
        <w:t xml:space="preserve">signe la trame avec sa clé Ed25519 et place sa clé publique en tête du datagramme.</w:t>
      </w:r>
    </w:p>
    <w:p>
      <w:pPr>
        <w:spacing w:after="120" w:before="0" w:line="240"/>
        <w:ind w:left="360"/>
        <w:jc w:val="left"/>
      </w:pPr>
      <w:r>
        <w:rPr>
          <w:rFonts w:ascii="Courier New" w:cs="Courier New" w:eastAsia="Courier New" w:hAnsi="Courier New"/>
          <w:sz w:val="20"/>
          <w:szCs w:val="20"/>
        </w:rPr>
        <w:t xml:space="preserve">L'intervalle d'émission, noté I, est de 15 secondes par défaut. Il DOIT être compris entre 1 seconde et 3600 secondes.</w:t>
      </w:r>
    </w:p>
    <w:p>
      <w:pPr>
        <w:spacing w:after="120" w:before="0" w:line="240"/>
        <w:ind w:left="360"/>
        <w:jc w:val="left"/>
      </w:pPr>
      <w:r>
        <w:rPr>
          <w:rFonts w:ascii="Courier New" w:cs="Courier New" w:eastAsia="Courier New" w:hAnsi="Courier New"/>
          <w:sz w:val="20"/>
          <w:szCs w:val="20"/>
        </w:rPr>
        <w:t xml:space="preserve">Un nœud PEUT émettre un HIA anticipé dès qu'un service hébergé apparaît ou disparaît, ou que la meilleure instance d'un service change dans sa table. Deux HIA anticipés sont séparés d'au moins 1 s. La prochaine émission annoncée reste celle du cycle régulier.</w:t>
      </w:r>
    </w:p>
    <w:p>
      <w:pPr>
        <w:spacing w:after="120" w:before="0" w:line="240"/>
        <w:ind w:left="360"/>
        <w:jc w:val="left"/>
      </w:pPr>
      <w:r>
        <w:rPr>
          <w:rFonts w:ascii="Courier New" w:cs="Courier New" w:eastAsia="Courier New" w:hAnsi="Courier New"/>
          <w:sz w:val="20"/>
          <w:szCs w:val="20"/>
        </w:rPr>
        <w:t xml:space="preserve">Dans les HIA envoyés en unicast à un nœud de référence R, l'émetteur annonce avec la distance 65 535 les entrées dont la meilleure instance a été apprise de R (horizon partagé avec retour empoisonné). Cette règle ne s'applique pas aux HIA diffusés.</w:t>
      </w:r>
    </w:p>
    <w:p>
      <w:pPr>
        <w:pStyle w:val="Heading2"/>
        <w:keepNext/>
        <w:spacing w:after="120" w:before="240"/>
      </w:pPr>
      <w:r>
        <w:rPr>
          <w:rFonts w:ascii="Courier New" w:cs="Courier New" w:eastAsia="Courier New" w:hAnsi="Courier New"/>
          <w:b/>
          <w:bCs/>
          <w:sz w:val="20"/>
          <w:szCs w:val="20"/>
        </w:rPr>
        <w:t xml:space="preserve">6.2. Réception</w:t>
      </w:r>
    </w:p>
    <w:p>
      <w:pPr>
        <w:spacing w:after="120" w:before="0" w:line="240"/>
        <w:ind w:left="360"/>
        <w:jc w:val="left"/>
      </w:pPr>
      <w:r>
        <w:rPr>
          <w:rFonts w:ascii="Courier New" w:cs="Courier New" w:eastAsia="Courier New" w:hAnsi="Courier New"/>
          <w:sz w:val="20"/>
          <w:szCs w:val="20"/>
        </w:rPr>
        <w:t xml:space="preserve">À la réception d'un datagramme sur le port 5222, un nœud effectue les contrôles suivants dans l'ordre. Au premier échec, le datagramme est ignoré, sans réponse.</w:t>
      </w:r>
    </w:p>
    <w:p>
      <w:pPr>
        <w:pStyle w:val="ListParagraph"/>
        <w:numPr>
          <w:ilvl w:val="0"/>
          <w:numId w:val="2"/>
        </w:numPr>
        <w:spacing w:after="60" w:line="240"/>
      </w:pPr>
      <w:r>
        <w:rPr>
          <w:rFonts w:ascii="Courier New" w:cs="Courier New" w:eastAsia="Courier New" w:hAnsi="Courier New"/>
          <w:sz w:val="20"/>
          <w:szCs w:val="20"/>
        </w:rPr>
        <w:t xml:space="preserve">Le port source est 5221 et la taille du datagramme est comprise entre 105 octets (clé, signature, en-tête de trame) et 1200 octets.</w:t>
      </w:r>
    </w:p>
    <w:p>
      <w:pPr>
        <w:pStyle w:val="ListParagraph"/>
        <w:numPr>
          <w:ilvl w:val="0"/>
          <w:numId w:val="2"/>
        </w:numPr>
        <w:spacing w:after="60" w:line="240"/>
      </w:pPr>
      <w:r>
        <w:rPr>
          <w:rFonts w:ascii="Courier New" w:cs="Courier New" w:eastAsia="Courier New" w:hAnsi="Courier New"/>
          <w:sz w:val="20"/>
          <w:szCs w:val="20"/>
        </w:rPr>
        <w:t xml:space="preserve">La signature est valide pour la clé publique placée en tête du datagramme.</w:t>
      </w:r>
    </w:p>
    <w:p>
      <w:pPr>
        <w:pStyle w:val="ListParagraph"/>
        <w:numPr>
          <w:ilvl w:val="0"/>
          <w:numId w:val="2"/>
        </w:numPr>
        <w:spacing w:after="60" w:line="240"/>
      </w:pPr>
      <w:r>
        <w:rPr>
          <w:rFonts w:ascii="Courier New" w:cs="Courier New" w:eastAsia="Courier New" w:hAnsi="Courier New"/>
          <w:sz w:val="20"/>
          <w:szCs w:val="20"/>
        </w:rPr>
        <w:t xml:space="preserve">Le magic, la version et l'événement sont ceux attendus, et la longueur déclarée correspond à la charge reçue.</w:t>
      </w:r>
    </w:p>
    <w:p>
      <w:pPr>
        <w:pStyle w:val="ListParagraph"/>
        <w:numPr>
          <w:ilvl w:val="0"/>
          <w:numId w:val="2"/>
        </w:numPr>
        <w:spacing w:after="60" w:line="240"/>
      </w:pPr>
      <w:r>
        <w:rPr>
          <w:rFonts w:ascii="Courier New" w:cs="Courier New" w:eastAsia="Courier New" w:hAnsi="Courier New"/>
          <w:sz w:val="20"/>
          <w:szCs w:val="20"/>
        </w:rPr>
        <w:t xml:space="preserve">L'identifiant est un ULID valide de 26 caractères et l'état n'appartient pas à la famille 0x4000.</w:t>
      </w:r>
    </w:p>
    <w:p>
      <w:pPr>
        <w:pStyle w:val="ListParagraph"/>
        <w:numPr>
          <w:ilvl w:val="0"/>
          <w:numId w:val="2"/>
        </w:numPr>
        <w:spacing w:after="60" w:line="240"/>
      </w:pPr>
      <w:r>
        <w:rPr>
          <w:rFonts w:ascii="Courier New" w:cs="Courier New" w:eastAsia="Courier New" w:hAnsi="Courier New"/>
          <w:sz w:val="20"/>
          <w:szCs w:val="20"/>
        </w:rPr>
        <w:t xml:space="preserve">L'horodatage d'émission ne s'écarte pas de l'heure locale de plus de la fenêtre de fraîcheur F (voir la section 7).</w:t>
      </w:r>
    </w:p>
    <w:p>
      <w:pPr>
        <w:pStyle w:val="ListParagraph"/>
        <w:numPr>
          <w:ilvl w:val="0"/>
          <w:numId w:val="2"/>
        </w:numPr>
        <w:spacing w:after="60" w:line="240"/>
      </w:pPr>
      <w:r>
        <w:rPr>
          <w:rFonts w:ascii="Courier New" w:cs="Courier New" w:eastAsia="Courier New" w:hAnsi="Courier New"/>
          <w:sz w:val="20"/>
          <w:szCs w:val="20"/>
        </w:rPr>
        <w:t xml:space="preserve">Le couple (clé publique, horodatage d'émission) n'a pas déjà été reçu dans la fenêtre de fraîcheur. Un récepteur DEVRAIT en outre rejeter tout HIA dont l'horodatage est inférieur ou égal à celui du dernier HIA valide reçu de la même clé.</w:t>
      </w:r>
    </w:p>
    <w:p>
      <w:pPr>
        <w:pStyle w:val="ListParagraph"/>
        <w:numPr>
          <w:ilvl w:val="0"/>
          <w:numId w:val="2"/>
        </w:numPr>
        <w:spacing w:after="60" w:line="240"/>
      </w:pPr>
      <w:r>
        <w:rPr>
          <w:rFonts w:ascii="Courier New" w:cs="Courier New" w:eastAsia="Courier New" w:hAnsi="Courier New"/>
          <w:sz w:val="20"/>
          <w:szCs w:val="20"/>
        </w:rPr>
        <w:t xml:space="preserve">L'intervalle annoncé, soit la prochaine émission moins l'horodatage d'émission, est compris entre 1 s et 3600 s.</w:t>
      </w:r>
    </w:p>
    <w:p>
      <w:pPr>
        <w:pStyle w:val="ListParagraph"/>
        <w:numPr>
          <w:ilvl w:val="0"/>
          <w:numId w:val="2"/>
        </w:numPr>
        <w:spacing w:after="60" w:line="240"/>
      </w:pPr>
      <w:r>
        <w:rPr>
          <w:rFonts w:ascii="Courier New" w:cs="Courier New" w:eastAsia="Courier New" w:hAnsi="Courier New"/>
          <w:sz w:val="20"/>
          <w:szCs w:val="20"/>
        </w:rPr>
        <w:t xml:space="preserve">Les nombres H et V ne dépassent pas 32 et 120, la longueur déclarée correspond exactement aux listes annoncées, et les 4 bits de poids fort de chaque adresse SP valent 0.</w:t>
      </w:r>
    </w:p>
    <w:p>
      <w:pPr>
        <w:spacing w:after="120" w:before="0" w:line="240"/>
        <w:ind w:left="360"/>
        <w:jc w:val="left"/>
      </w:pPr>
      <w:r>
        <w:rPr>
          <w:rFonts w:ascii="Courier New" w:cs="Courier New" w:eastAsia="Courier New" w:hAnsi="Courier New"/>
          <w:sz w:val="20"/>
          <w:szCs w:val="20"/>
        </w:rPr>
        <w:t xml:space="preserve">Si tous les contrôles réussissent, le récepteur enregistre ou met à jour, pour la clé publique et l'adresse IP source du datagramme, l'identifiant, l'état, la clé X25519, la liste des services hébergés, l'horodatage d'émission et la date de réception. Si l'émetteur est un nœud admis de l'USD, le récepteur traite ensuite le vecteur de services selon la section 6.5. L'adresse IP n'est pas transportée par le HIA : le récepteur la déduit de l'en-tête IP du datagramme.</w:t>
      </w:r>
    </w:p>
    <w:p>
      <w:pPr>
        <w:spacing w:after="120" w:before="0" w:line="240"/>
        <w:ind w:left="360"/>
        <w:jc w:val="left"/>
      </w:pPr>
      <w:r>
        <w:rPr>
          <w:rFonts w:ascii="Courier New" w:cs="Courier New" w:eastAsia="Courier New" w:hAnsi="Courier New"/>
          <w:sz w:val="20"/>
          <w:szCs w:val="20"/>
        </w:rPr>
        <w:t xml:space="preserve">Un récepteur DOIT confronter le couple (adresse IP, clé publique) à sa NIT [USMD-ARCH] lorsque la clé y figure déjà. NNDP ne prouve que la détention d'une clé : la réception d'un HIA valide n'établit pas l'appartenance de l'émetteur à l'USD.</w:t>
      </w:r>
    </w:p>
    <w:p>
      <w:pPr>
        <w:pStyle w:val="Heading2"/>
        <w:keepNext/>
        <w:spacing w:after="120" w:before="240"/>
      </w:pPr>
      <w:r>
        <w:rPr>
          <w:rFonts w:ascii="Courier New" w:cs="Courier New" w:eastAsia="Courier New" w:hAnsi="Courier New"/>
          <w:b/>
          <w:bCs/>
          <w:sz w:val="20"/>
          <w:szCs w:val="20"/>
        </w:rPr>
        <w:t xml:space="preserve">6.3. Détection d'inactivité</w:t>
      </w:r>
    </w:p>
    <w:p>
      <w:pPr>
        <w:spacing w:after="120" w:before="0" w:line="240"/>
        <w:ind w:left="360"/>
        <w:jc w:val="left"/>
      </w:pPr>
      <w:r>
        <w:rPr>
          <w:rFonts w:ascii="Courier New" w:cs="Courier New" w:eastAsia="Courier New" w:hAnsi="Courier New"/>
          <w:sz w:val="20"/>
          <w:szCs w:val="20"/>
        </w:rPr>
        <w:t xml:space="preserve">Soit I l'intervalle annoncé par le dernier HIA valide d'un nœud, c'est-à-dire sa prochaine émission moins son horodatage d'émission. Un récepteur considère le nœud comme inactif si aucun HIA valide de ce nœud n'est reçu dans les 2 × I secondes qui suivent la réception du dernier. Il lui attribue alors l'état « Inactif : NNDP : aucun paquet Here I am reçu dans le délai imparti » (0x3400).</w:t>
      </w:r>
    </w:p>
    <w:p>
      <w:pPr>
        <w:spacing w:after="120" w:before="0" w:line="240"/>
        <w:ind w:left="360"/>
        <w:jc w:val="left"/>
      </w:pPr>
      <w:r>
        <w:rPr>
          <w:rFonts w:ascii="Courier New" w:cs="Courier New" w:eastAsia="Courier New" w:hAnsi="Courier New"/>
          <w:sz w:val="20"/>
          <w:szCs w:val="20"/>
        </w:rPr>
        <w:t xml:space="preserve">Le nœud redevient actif dès qu'un HIA valide est reçu de nouveau. Les nœuds qui ont déclaré un nœud inactif tentent régulièrement de le rejoindre pour pouvoir se reconnecter à lui (cicatrisation, voir [USMD-ARCH]).</w:t>
      </w:r>
    </w:p>
    <w:p>
      <w:pPr>
        <w:pStyle w:val="Heading2"/>
        <w:keepNext/>
        <w:spacing w:after="120" w:before="240"/>
      </w:pPr>
      <w:r>
        <w:rPr>
          <w:rFonts w:ascii="Courier New" w:cs="Courier New" w:eastAsia="Courier New" w:hAnsi="Courier New"/>
          <w:b/>
          <w:bCs/>
          <w:sz w:val="20"/>
          <w:szCs w:val="20"/>
        </w:rPr>
        <w:t xml:space="preserve">6.4. Suites de la découverte</w:t>
      </w:r>
    </w:p>
    <w:p>
      <w:pPr>
        <w:spacing w:after="120" w:before="0" w:line="240"/>
        <w:ind w:left="360"/>
        <w:jc w:val="left"/>
      </w:pPr>
      <w:r>
        <w:rPr>
          <w:rFonts w:ascii="Courier New" w:cs="Courier New" w:eastAsia="Courier New" w:hAnsi="Courier New"/>
          <w:sz w:val="20"/>
          <w:szCs w:val="20"/>
        </w:rPr>
        <w:t xml:space="preserve">Lorsqu'un HIA valide provient d'une clé inconnue, le récepteur PEUT ouvrir un échange NCP avec l'émetteur, en s'adressant à l'adresse IP source et en utilisant la clé X25519 du HIA. Un nœud nouvellement créé, qui n'a encore reçu aucun HIA, émet lui-même des HIA avec l'état « En attente d'approbation » (0x0000) et utilise les HIA qu'il reçoit pour choisir les nœuds auprès desquels demander son admission par la commande Request_approval.</w:t>
      </w:r>
    </w:p>
    <w:p>
      <w:pPr>
        <w:pStyle w:val="Heading2"/>
        <w:keepNext/>
        <w:spacing w:after="120" w:before="240"/>
      </w:pPr>
      <w:r>
        <w:rPr>
          <w:rFonts w:ascii="Courier New" w:cs="Courier New" w:eastAsia="Courier New" w:hAnsi="Courier New"/>
          <w:b/>
          <w:bCs/>
          <w:sz w:val="20"/>
          <w:szCs w:val="20"/>
        </w:rPr>
        <w:t xml:space="preserve">6.5. Services hébergés et table des services les plus proches</w:t>
      </w:r>
    </w:p>
    <w:p>
      <w:pPr>
        <w:spacing w:after="120" w:before="0" w:line="240"/>
        <w:ind w:left="360"/>
        <w:jc w:val="left"/>
      </w:pPr>
      <w:r>
        <w:rPr>
          <w:rFonts w:ascii="Courier New" w:cs="Courier New" w:eastAsia="Courier New" w:hAnsi="Courier New"/>
          <w:sz w:val="20"/>
          <w:szCs w:val="20"/>
        </w:rPr>
        <w:t xml:space="preserve">Chaque nœud admis tient, pour chaque service des aires auxquelles il appartient [USMD-ARCH], section 11.2, une table d'au plus K instances (paramètre 0x000A de l'USD, 3 par défaut). Chaque entrée de la table comprend l'adresse SP de l'instance, sa distance D, son nombre de sauts, le nœud dont elle a été apprise et sa date d'expiration.</w:t>
      </w:r>
    </w:p>
    <w:p>
      <w:pPr>
        <w:spacing w:after="120" w:before="0" w:line="240"/>
        <w:ind w:left="360"/>
        <w:jc w:val="left"/>
      </w:pPr>
      <w:r>
        <w:rPr>
          <w:rFonts w:ascii="Courier New" w:cs="Courier New" w:eastAsia="Courier New" w:hAnsi="Courier New"/>
          <w:b/>
          <w:bCs/>
          <w:sz w:val="20"/>
          <w:szCs w:val="20"/>
        </w:rPr>
        <w:t xml:space="preserve">Instances locales.</w:t>
      </w:r>
      <w:r>
        <w:rPr>
          <w:rFonts w:ascii="Courier New" w:cs="Courier New" w:eastAsia="Courier New" w:hAnsi="Courier New"/>
          <w:sz w:val="20"/>
          <w:szCs w:val="20"/>
        </w:rPr>
        <w:t xml:space="preserve"> Pour chaque service qu'il héberge et dont le dernier contrôle de santé a réussi, un nœud inscrit dans sa table sa propre instance, avec pour distance sa charge de référence en pour mille et 0 saut. Il l'inscrit aussi dans sa liste des services hébergés. Lorsqu'il cesse d'héberger un service, il annonce son instance avec la distance 65 535 pendant trois intervalles, puis la retire.</w:t>
      </w:r>
    </w:p>
    <w:p>
      <w:pPr>
        <w:spacing w:after="120" w:before="0" w:line="240"/>
        <w:ind w:left="360"/>
        <w:jc w:val="left"/>
      </w:pPr>
      <w:r>
        <w:rPr>
          <w:rFonts w:ascii="Courier New" w:cs="Courier New" w:eastAsia="Courier New" w:hAnsi="Courier New"/>
          <w:b/>
          <w:bCs/>
          <w:sz w:val="20"/>
          <w:szCs w:val="20"/>
        </w:rPr>
        <w:t xml:space="preserve">Réception d'une entrée.</w:t>
      </w:r>
      <w:r>
        <w:rPr>
          <w:rFonts w:ascii="Courier New" w:cs="Courier New" w:eastAsia="Courier New" w:hAnsi="Courier New"/>
          <w:sz w:val="20"/>
          <w:szCs w:val="20"/>
        </w:rPr>
        <w:t xml:space="preserve"> Pour chaque entrée (adresse A, distance D, sauts S) du vecteur reçu d'un nœud X, le récepteur :</w:t>
      </w:r>
    </w:p>
    <w:p>
      <w:pPr>
        <w:pStyle w:val="ListParagraph"/>
        <w:numPr>
          <w:ilvl w:val="0"/>
          <w:numId w:val="2"/>
        </w:numPr>
        <w:spacing w:after="60" w:line="240"/>
      </w:pPr>
      <w:r>
        <w:rPr>
          <w:rFonts w:ascii="Courier New" w:cs="Courier New" w:eastAsia="Courier New" w:hAnsi="Courier New"/>
          <w:sz w:val="20"/>
          <w:szCs w:val="20"/>
        </w:rPr>
        <w:t xml:space="preserve">ignore l'entrée si le service de A n'appartient à aucune de ses aires, ou si A est l'une de ses propres adresses SP ;</w:t>
      </w:r>
    </w:p>
    <w:p>
      <w:pPr>
        <w:pStyle w:val="ListParagraph"/>
        <w:numPr>
          <w:ilvl w:val="0"/>
          <w:numId w:val="2"/>
        </w:numPr>
        <w:spacing w:after="60" w:line="240"/>
      </w:pPr>
      <w:r>
        <w:rPr>
          <w:rFonts w:ascii="Courier New" w:cs="Courier New" w:eastAsia="Courier New" w:hAnsi="Courier New"/>
          <w:sz w:val="20"/>
          <w:szCs w:val="20"/>
        </w:rPr>
        <w:t xml:space="preserve">calcule D' = D + 1000 × t / T, plafonné à 65 535, où t est le dernier délai d'aller-retour mesuré vers X par Check_distance_to_node [USMD-NCP] (T si aucun n'est connu) et T la tolérance de ping de l'USD ; et S' = S + 1 ;</w:t>
      </w:r>
    </w:p>
    <w:p>
      <w:pPr>
        <w:pStyle w:val="ListParagraph"/>
        <w:numPr>
          <w:ilvl w:val="0"/>
          <w:numId w:val="2"/>
        </w:numPr>
        <w:spacing w:after="60" w:line="240"/>
      </w:pPr>
      <w:r>
        <w:rPr>
          <w:rFonts w:ascii="Courier New" w:cs="Courier New" w:eastAsia="Courier New" w:hAnsi="Courier New"/>
          <w:sz w:val="20"/>
          <w:szCs w:val="20"/>
        </w:rPr>
        <w:t xml:space="preserve">considère l'instance comme inaccessible par X si D vaut 65 535 ou si S' dépasse 15 ;</w:t>
      </w:r>
    </w:p>
    <w:p>
      <w:pPr>
        <w:pStyle w:val="ListParagraph"/>
        <w:numPr>
          <w:ilvl w:val="0"/>
          <w:numId w:val="2"/>
        </w:numPr>
        <w:spacing w:after="60" w:line="240"/>
      </w:pPr>
      <w:r>
        <w:rPr>
          <w:rFonts w:ascii="Courier New" w:cs="Courier New" w:eastAsia="Courier New" w:hAnsi="Courier New"/>
          <w:sz w:val="20"/>
          <w:szCs w:val="20"/>
        </w:rPr>
        <w:t xml:space="preserve">si sa table contient déjà A appris de X, met à jour la distance, les sauts et l'expiration, même si la distance augmente, et supprime l'entrée si l'instance est inaccessible ;</w:t>
      </w:r>
    </w:p>
    <w:p>
      <w:pPr>
        <w:pStyle w:val="ListParagraph"/>
        <w:numPr>
          <w:ilvl w:val="0"/>
          <w:numId w:val="2"/>
        </w:numPr>
        <w:spacing w:after="60" w:line="240"/>
      </w:pPr>
      <w:r>
        <w:rPr>
          <w:rFonts w:ascii="Courier New" w:cs="Courier New" w:eastAsia="Courier New" w:hAnsi="Courier New"/>
          <w:sz w:val="20"/>
          <w:szCs w:val="20"/>
        </w:rPr>
        <w:t xml:space="preserve">sinon, si l'instance est accessible, ajoute A ou remplace son entrée apprise d'un autre nœud lorsque D' est strictement inférieure, puis ne conserve que les K instances de plus faible distance.</w:t>
      </w:r>
    </w:p>
    <w:p>
      <w:pPr>
        <w:spacing w:after="120" w:before="0" w:line="240"/>
        <w:ind w:left="360"/>
        <w:jc w:val="left"/>
      </w:pPr>
      <w:r>
        <w:rPr>
          <w:rFonts w:ascii="Courier New" w:cs="Courier New" w:eastAsia="Courier New" w:hAnsi="Courier New"/>
          <w:sz w:val="20"/>
          <w:szCs w:val="20"/>
        </w:rPr>
        <w:t xml:space="preserve">L'expiration d'une entrée apprise de X est fixée à trois fois l'intervalle annoncé par X. Une entrée expirée est supprimée, de même que toutes les entrées apprises d'un nœud déclaré inactif (section 6.3).</w:t>
      </w:r>
    </w:p>
    <w:p>
      <w:pPr>
        <w:spacing w:after="120" w:before="0" w:line="240"/>
        <w:ind w:left="360"/>
        <w:jc w:val="left"/>
      </w:pPr>
      <w:r>
        <w:rPr>
          <w:rFonts w:ascii="Courier New" w:cs="Courier New" w:eastAsia="Courier New" w:hAnsi="Courier New"/>
          <w:b/>
          <w:bCs/>
          <w:sz w:val="20"/>
          <w:szCs w:val="20"/>
        </w:rPr>
        <w:t xml:space="preserve">Annonce.</w:t>
      </w:r>
      <w:r>
        <w:rPr>
          <w:rFonts w:ascii="Courier New" w:cs="Courier New" w:eastAsia="Courier New" w:hAnsi="Courier New"/>
          <w:sz w:val="20"/>
          <w:szCs w:val="20"/>
        </w:rPr>
        <w:t xml:space="preserve"> Pour chaque service de ses aires, un nœud annonce dans son vecteur l'instance de plus faible distance de sa table, avec sa distance et son nombre de sauts. Il n'annonce que des entrées qui ne sont pas expirées.</w:t>
      </w:r>
    </w:p>
    <w:p>
      <w:pPr>
        <w:spacing w:after="120" w:before="0" w:line="240"/>
        <w:ind w:left="360"/>
        <w:jc w:val="left"/>
      </w:pPr>
      <w:r>
        <w:rPr>
          <w:rFonts w:ascii="Courier New" w:cs="Courier New" w:eastAsia="Courier New" w:hAnsi="Courier New"/>
          <w:b/>
          <w:bCs/>
          <w:sz w:val="20"/>
          <w:szCs w:val="20"/>
        </w:rPr>
        <w:t xml:space="preserve">Limitation des boucles.</w:t>
      </w:r>
      <w:r>
        <w:rPr>
          <w:rFonts w:ascii="Courier New" w:cs="Courier New" w:eastAsia="Courier New" w:hAnsi="Courier New"/>
          <w:sz w:val="20"/>
          <w:szCs w:val="20"/>
        </w:rPr>
        <w:t xml:space="preserve"> La limite de 15 sauts, l'horizon partagé avec retour empoisonné sur les envois en unicast (section 6.1), l'expiration des entrées et la mise à jour obligatoire des entrées apprises du même nœud bornent la durée des boucles transitoires. Comme le trafic SP part en session directe vers l'instance retenue [USMD-SP], et non de proche en proche, une boucle transitoire ne fausse que la distance estimée, jamais l'acheminement.</w:t>
      </w:r>
    </w:p>
    <w:p>
      <w:pPr>
        <w:spacing w:after="120" w:before="0" w:line="240"/>
        <w:ind w:left="360"/>
        <w:jc w:val="left"/>
      </w:pPr>
      <w:r>
        <w:rPr>
          <w:rFonts w:ascii="Courier New" w:cs="Courier New" w:eastAsia="Courier New" w:hAnsi="Courier New"/>
          <w:b/>
          <w:bCs/>
          <w:sz w:val="20"/>
          <w:szCs w:val="20"/>
        </w:rPr>
        <w:t xml:space="preserve">Usage.</w:t>
      </w:r>
      <w:r>
        <w:rPr>
          <w:rFonts w:ascii="Courier New" w:cs="Courier New" w:eastAsia="Courier New" w:hAnsi="Courier New"/>
          <w:sz w:val="20"/>
          <w:szCs w:val="20"/>
        </w:rPr>
        <w:t xml:space="preserve"> La table sert à SP pour choisir l'instance de destination [USMD-SP], section 6, et au contrôle des dépendances [USMD-ARCH], section 8.4. La liste des services hébergés reçue de chaque pair permet à un nœud de connaître, pour tous ses voisins, les services qu'ils exécutent réellement.</w:t>
      </w:r>
    </w:p>
    <w:p>
      <w:pPr>
        <w:pStyle w:val="Heading1"/>
        <w:keepNext/>
        <w:spacing w:after="120" w:before="360"/>
      </w:pPr>
      <w:r>
        <w:rPr>
          <w:rFonts w:ascii="Courier New" w:cs="Courier New" w:eastAsia="Courier New" w:hAnsi="Courier New"/>
          <w:b/>
          <w:bCs/>
          <w:sz w:val="22"/>
          <w:szCs w:val="22"/>
        </w:rPr>
        <w:t xml:space="preserve">7. Paramètres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88"/>
        <w:gridCol w:w="3039"/>
        <w:gridCol w:w="2699"/>
      </w:tblGrid>
      <w:tr>
        <w:trPr>
          <w:cantSplit/>
          <w:tblHeader/>
        </w:trPr>
        <w:tc>
          <w:tcPr>
            <w:tcW w:type="dxa" w:w="328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Paramètre</w:t>
            </w:r>
          </w:p>
        </w:tc>
        <w:tc>
          <w:tcPr>
            <w:tcW w:type="dxa" w:w="3039"/>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Valeur par défaut</w:t>
            </w:r>
          </w:p>
        </w:tc>
        <w:tc>
          <w:tcPr>
            <w:tcW w:type="dxa" w:w="2699"/>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Plage</w:t>
            </w:r>
          </w:p>
        </w:tc>
      </w:tr>
      <w:tr>
        <w:trPr>
          <w:cantSplit/>
        </w:trPr>
        <w:tc>
          <w:tcPr>
            <w:tcW w:type="dxa" w:w="328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Intervalle d'émission I</w:t>
            </w:r>
          </w:p>
        </w:tc>
        <w:tc>
          <w:tcPr>
            <w:tcW w:type="dxa" w:w="303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15 s</w:t>
            </w:r>
          </w:p>
        </w:tc>
        <w:tc>
          <w:tcPr>
            <w:tcW w:type="dxa" w:w="269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 s à 3600 s</w:t>
            </w:r>
          </w:p>
        </w:tc>
      </w:tr>
      <w:tr>
        <w:trPr>
          <w:cantSplit/>
        </w:trPr>
        <w:tc>
          <w:tcPr>
            <w:tcW w:type="dxa" w:w="328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Fenêtre de fraîcheur F</w:t>
            </w:r>
          </w:p>
        </w:tc>
        <w:tc>
          <w:tcPr>
            <w:tcW w:type="dxa" w:w="303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30 s</w:t>
            </w:r>
          </w:p>
        </w:tc>
        <w:tc>
          <w:tcPr>
            <w:tcW w:type="dxa" w:w="269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 s à 600 s</w:t>
            </w:r>
          </w:p>
        </w:tc>
      </w:tr>
      <w:tr>
        <w:trPr>
          <w:cantSplit/>
        </w:trPr>
        <w:tc>
          <w:tcPr>
            <w:tcW w:type="dxa" w:w="328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Délai d'inactivité</w:t>
            </w:r>
          </w:p>
        </w:tc>
        <w:tc>
          <w:tcPr>
            <w:tcW w:type="dxa" w:w="303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2 × I</w:t>
            </w:r>
          </w:p>
        </w:tc>
        <w:tc>
          <w:tcPr>
            <w:tcW w:type="dxa" w:w="269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non configurable</w:t>
            </w:r>
          </w:p>
        </w:tc>
      </w:tr>
      <w:tr>
        <w:trPr>
          <w:cantSplit/>
        </w:trPr>
        <w:tc>
          <w:tcPr>
            <w:tcW w:type="dxa" w:w="328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Port UDP source</w:t>
            </w:r>
          </w:p>
        </w:tc>
        <w:tc>
          <w:tcPr>
            <w:tcW w:type="dxa" w:w="303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5221</w:t>
            </w:r>
          </w:p>
        </w:tc>
        <w:tc>
          <w:tcPr>
            <w:tcW w:type="dxa" w:w="269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fixe</w:t>
            </w:r>
          </w:p>
        </w:tc>
      </w:tr>
      <w:tr>
        <w:trPr>
          <w:cantSplit/>
        </w:trPr>
        <w:tc>
          <w:tcPr>
            <w:tcW w:type="dxa" w:w="328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Port UDP de destination</w:t>
            </w:r>
          </w:p>
        </w:tc>
        <w:tc>
          <w:tcPr>
            <w:tcW w:type="dxa" w:w="303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5222</w:t>
            </w:r>
          </w:p>
        </w:tc>
        <w:tc>
          <w:tcPr>
            <w:tcW w:type="dxa" w:w="269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fixe</w:t>
            </w:r>
          </w:p>
        </w:tc>
      </w:tr>
      <w:tr>
        <w:trPr>
          <w:cantSplit/>
        </w:trPr>
        <w:tc>
          <w:tcPr>
            <w:tcW w:type="dxa" w:w="328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Services hébergés par HIA</w:t>
            </w:r>
          </w:p>
        </w:tc>
        <w:tc>
          <w:tcPr>
            <w:tcW w:type="dxa" w:w="303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 au plus</w:t>
            </w:r>
          </w:p>
        </w:tc>
        <w:tc>
          <w:tcPr>
            <w:tcW w:type="dxa" w:w="269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fixe</w:t>
            </w:r>
          </w:p>
        </w:tc>
      </w:tr>
      <w:tr>
        <w:trPr>
          <w:cantSplit/>
        </w:trPr>
        <w:tc>
          <w:tcPr>
            <w:tcW w:type="dxa" w:w="328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Entrées du vecteur par HIA</w:t>
            </w:r>
          </w:p>
        </w:tc>
        <w:tc>
          <w:tcPr>
            <w:tcW w:type="dxa" w:w="303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120 au plus</w:t>
            </w:r>
          </w:p>
        </w:tc>
        <w:tc>
          <w:tcPr>
            <w:tcW w:type="dxa" w:w="269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fixe</w:t>
            </w:r>
          </w:p>
        </w:tc>
      </w:tr>
      <w:tr>
        <w:trPr>
          <w:cantSplit/>
        </w:trPr>
        <w:tc>
          <w:tcPr>
            <w:tcW w:type="dxa" w:w="328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Instances retenues par service K</w:t>
            </w:r>
          </w:p>
        </w:tc>
        <w:tc>
          <w:tcPr>
            <w:tcW w:type="dxa" w:w="303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w:t>
            </w:r>
          </w:p>
        </w:tc>
        <w:tc>
          <w:tcPr>
            <w:tcW w:type="dxa" w:w="269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paramètre 0x000A de l'USD</w:t>
            </w:r>
          </w:p>
        </w:tc>
      </w:tr>
      <w:tr>
        <w:trPr>
          <w:cantSplit/>
        </w:trPr>
        <w:tc>
          <w:tcPr>
            <w:tcW w:type="dxa" w:w="328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Nombre maximal de sauts</w:t>
            </w:r>
          </w:p>
        </w:tc>
        <w:tc>
          <w:tcPr>
            <w:tcW w:type="dxa" w:w="303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15</w:t>
            </w:r>
          </w:p>
        </w:tc>
        <w:tc>
          <w:tcPr>
            <w:tcW w:type="dxa" w:w="269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fixe</w:t>
            </w:r>
          </w:p>
        </w:tc>
      </w:tr>
      <w:tr>
        <w:trPr>
          <w:cantSplit/>
        </w:trPr>
        <w:tc>
          <w:tcPr>
            <w:tcW w:type="dxa" w:w="328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Expiration d'une entrée</w:t>
            </w:r>
          </w:p>
        </w:tc>
        <w:tc>
          <w:tcPr>
            <w:tcW w:type="dxa" w:w="303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 × intervalle de l'annonceur</w:t>
            </w:r>
          </w:p>
        </w:tc>
        <w:tc>
          <w:tcPr>
            <w:tcW w:type="dxa" w:w="269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fixe</w:t>
            </w:r>
          </w:p>
        </w:tc>
      </w:tr>
      <w:tr>
        <w:trPr>
          <w:cantSplit/>
        </w:trPr>
        <w:tc>
          <w:tcPr>
            <w:tcW w:type="dxa" w:w="328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Espacement des HIA anticipés</w:t>
            </w:r>
          </w:p>
        </w:tc>
        <w:tc>
          <w:tcPr>
            <w:tcW w:type="dxa" w:w="303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 s au moins</w:t>
            </w:r>
          </w:p>
        </w:tc>
        <w:tc>
          <w:tcPr>
            <w:tcW w:type="dxa" w:w="269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fixe</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La fenêtre de fraîcheur est un paramètre local du récepteur. Les nœuds DOIVENT disposer d'une horloge dont l'écart avec l'heure réelle reste inférieur à F, y compris avant leur première admission ; faute de quoi leurs HIA sont rejetés et ils ne peuvent pas être découverts.</w:t>
      </w:r>
    </w:p>
    <w:p>
      <w:pPr>
        <w:pStyle w:val="Heading1"/>
        <w:keepNext/>
        <w:spacing w:after="120" w:before="360"/>
      </w:pPr>
      <w:r>
        <w:rPr>
          <w:rFonts w:ascii="Courier New" w:cs="Courier New" w:eastAsia="Courier New" w:hAnsi="Courier New"/>
          <w:b/>
          <w:bCs/>
          <w:sz w:val="22"/>
          <w:szCs w:val="22"/>
        </w:rPr>
        <w:t xml:space="preserve">8. Considérations de sécurité</w:t>
      </w:r>
    </w:p>
    <w:p>
      <w:pPr>
        <w:spacing w:after="120" w:before="0" w:line="240"/>
        <w:ind w:left="360"/>
        <w:jc w:val="left"/>
      </w:pPr>
      <w:r>
        <w:rPr>
          <w:rFonts w:ascii="Courier New" w:cs="Courier New" w:eastAsia="Courier New" w:hAnsi="Courier New"/>
          <w:b/>
          <w:bCs/>
          <w:sz w:val="20"/>
          <w:szCs w:val="20"/>
        </w:rPr>
        <w:t xml:space="preserve">Authentification.</w:t>
      </w:r>
      <w:r>
        <w:rPr>
          <w:rFonts w:ascii="Courier New" w:cs="Courier New" w:eastAsia="Courier New" w:hAnsi="Courier New"/>
          <w:sz w:val="20"/>
          <w:szCs w:val="20"/>
        </w:rPr>
        <w:t xml:space="preserve"> La signature Ed25519 prouve que l'émetteur détient la clé privée associée à la clé publique transportée ; elle ne prouve ni son appartenance au domaine ni la légitimité de sa clé. L'admission relève de NCP et de la chaîne d'endossement décrite dans [USMD-ARCH].</w:t>
      </w:r>
    </w:p>
    <w:p>
      <w:pPr>
        <w:spacing w:after="120" w:before="0" w:line="240"/>
        <w:ind w:left="360"/>
        <w:jc w:val="left"/>
      </w:pPr>
      <w:r>
        <w:rPr>
          <w:rFonts w:ascii="Courier New" w:cs="Courier New" w:eastAsia="Courier New" w:hAnsi="Courier New"/>
          <w:b/>
          <w:bCs/>
          <w:sz w:val="20"/>
          <w:szCs w:val="20"/>
        </w:rPr>
        <w:t xml:space="preserve">Rejeu.</w:t>
      </w:r>
      <w:r>
        <w:rPr>
          <w:rFonts w:ascii="Courier New" w:cs="Courier New" w:eastAsia="Courier New" w:hAnsi="Courier New"/>
          <w:sz w:val="20"/>
          <w:szCs w:val="20"/>
        </w:rPr>
        <w:t xml:space="preserve"> Un HIA capturé peut être réémis par un tiers. L'horodatage d'émission, signé, borne cette attaque à la fenêtre de fraîcheur F, et la mémorisation des couples (clé, horodatage) la supprime à l'intérieur de cette fenêtre. Les récepteurs doivent donc conserver ces couples pendant au moins F.</w:t>
      </w:r>
    </w:p>
    <w:p>
      <w:pPr>
        <w:spacing w:after="120" w:before="0" w:line="240"/>
        <w:ind w:left="360"/>
        <w:jc w:val="left"/>
      </w:pPr>
      <w:r>
        <w:rPr>
          <w:rFonts w:ascii="Courier New" w:cs="Courier New" w:eastAsia="Courier New" w:hAnsi="Courier New"/>
          <w:b/>
          <w:bCs/>
          <w:sz w:val="20"/>
          <w:szCs w:val="20"/>
        </w:rPr>
        <w:t xml:space="preserve">Usurpation d'adresse.</w:t>
      </w:r>
      <w:r>
        <w:rPr>
          <w:rFonts w:ascii="Courier New" w:cs="Courier New" w:eastAsia="Courier New" w:hAnsi="Courier New"/>
          <w:sz w:val="20"/>
          <w:szCs w:val="20"/>
        </w:rPr>
        <w:t xml:space="preserve"> Un attaquant du segment local peut émettre des datagrammes portant l'adresse IP source d'un autre nœud. Puisque la signature est vérifiée avant toute prise en compte, il ne peut pas se faire passer pour un nœud dont il ne possède pas la clé. Il peut toutefois rejouer un HIA authentique depuis une autre adresse, ce qui est limité par les contrôles de la section 6.2. Un récepteur NE DEVRAIT PAS exclure un nœud sur la seule base d'un HIA reçu d'une adresse inattendue.</w:t>
      </w:r>
    </w:p>
    <w:p>
      <w:pPr>
        <w:spacing w:after="120" w:before="0" w:line="240"/>
        <w:ind w:left="360"/>
        <w:jc w:val="left"/>
      </w:pPr>
      <w:r>
        <w:rPr>
          <w:rFonts w:ascii="Courier New" w:cs="Courier New" w:eastAsia="Courier New" w:hAnsi="Courier New"/>
          <w:b/>
          <w:bCs/>
          <w:sz w:val="20"/>
          <w:szCs w:val="20"/>
        </w:rPr>
        <w:t xml:space="preserve">Divulgation.</w:t>
      </w:r>
      <w:r>
        <w:rPr>
          <w:rFonts w:ascii="Courier New" w:cs="Courier New" w:eastAsia="Courier New" w:hAnsi="Courier New"/>
          <w:sz w:val="20"/>
          <w:szCs w:val="20"/>
        </w:rPr>
        <w:t xml:space="preserve"> Un HIA diffusé révèle à tout le segment l'identifiant, l'état et la clé du nœud, ainsi que les services qu'il héberge et les adresses SP des instances qu'il connaît. Les HIA envoyés en unicast traversent en clair les réseaux entre nœuds de référence. NNDP ne fournit aucune confidentialité ; il ne DOIT PAS être utilisé sur un réseau non maîtrisé sans filtrage, et un USD réparti entre plusieurs sites DEVRAIT relier ces sites par des liens protégés.</w:t>
      </w:r>
    </w:p>
    <w:p>
      <w:pPr>
        <w:spacing w:after="120" w:before="0" w:line="240"/>
        <w:ind w:left="360"/>
        <w:jc w:val="left"/>
      </w:pPr>
      <w:r>
        <w:rPr>
          <w:rFonts w:ascii="Courier New" w:cs="Courier New" w:eastAsia="Courier New" w:hAnsi="Courier New"/>
          <w:b/>
          <w:bCs/>
          <w:sz w:val="20"/>
          <w:szCs w:val="20"/>
        </w:rPr>
        <w:t xml:space="preserve">Vecteur de services.</w:t>
      </w:r>
      <w:r>
        <w:rPr>
          <w:rFonts w:ascii="Courier New" w:cs="Courier New" w:eastAsia="Courier New" w:hAnsi="Courier New"/>
          <w:sz w:val="20"/>
          <w:szCs w:val="20"/>
        </w:rPr>
        <w:t xml:space="preserve"> Seuls les vecteurs émis par des nœuds admis sont pris en compte (section 6.2). Un nœud admis malveillant peut toutefois annoncer des distances fausses pour des instances qu'il n'héberge pas. Il peut ainsi orienter le choix des instances, mais pas attirer le trafic vers lui-même : SP vérifie, avant d'établir une session, que l'adresse SP retenue est attribuée au nœud visé et que ce nœud annonce lui-même le service [USMD-SP], section 6.1. Un récepteur DEVRAIT limiter le nombre d'entrées qu'il accepte d'un même nœud.</w:t>
      </w:r>
    </w:p>
    <w:p>
      <w:pPr>
        <w:spacing w:after="120" w:before="0" w:line="240"/>
        <w:ind w:left="360"/>
        <w:jc w:val="left"/>
      </w:pPr>
      <w:r>
        <w:rPr>
          <w:rFonts w:ascii="Courier New" w:cs="Courier New" w:eastAsia="Courier New" w:hAnsi="Courier New"/>
          <w:b/>
          <w:bCs/>
          <w:sz w:val="20"/>
          <w:szCs w:val="20"/>
        </w:rPr>
        <w:t xml:space="preserve">Déni de service.</w:t>
      </w:r>
      <w:r>
        <w:rPr>
          <w:rFonts w:ascii="Courier New" w:cs="Courier New" w:eastAsia="Courier New" w:hAnsi="Courier New"/>
          <w:sz w:val="20"/>
          <w:szCs w:val="20"/>
        </w:rPr>
        <w:t xml:space="preserve"> La vérification d'une signature a un coût. Un récepteur DEVRAIT limiter le débit de HIA traités par adresse source et par clé, et DEVRAIT effectuer les contrôles peu coûteux (port source, taille, magic) avant la vérification de la signature.</w:t>
      </w:r>
    </w:p>
    <w:p>
      <w:pPr>
        <w:spacing w:after="120" w:before="0" w:line="240"/>
        <w:ind w:left="360"/>
        <w:jc w:val="left"/>
      </w:pPr>
      <w:r>
        <w:rPr>
          <w:rFonts w:ascii="Courier New" w:cs="Courier New" w:eastAsia="Courier New" w:hAnsi="Courier New"/>
          <w:b/>
          <w:bCs/>
          <w:sz w:val="20"/>
          <w:szCs w:val="20"/>
        </w:rPr>
        <w:t xml:space="preserve">Dérive d'horloge.</w:t>
      </w:r>
      <w:r>
        <w:rPr>
          <w:rFonts w:ascii="Courier New" w:cs="Courier New" w:eastAsia="Courier New" w:hAnsi="Courier New"/>
          <w:sz w:val="20"/>
          <w:szCs w:val="20"/>
        </w:rPr>
        <w:t xml:space="preserve"> L'exigence de fraîcheur oblige à maintenir des horloges proches de l'heure réelle ; une horloge fortement erronée rend un nœud invisible. Cette exigence ne DOIT PAS être contournée en élargissant F au-delà de la plage définie.</w:t>
      </w:r>
    </w:p>
    <w:p>
      <w:pPr>
        <w:pStyle w:val="Heading1"/>
        <w:keepNext/>
        <w:spacing w:after="120" w:before="360"/>
      </w:pPr>
      <w:r>
        <w:rPr>
          <w:rFonts w:ascii="Courier New" w:cs="Courier New" w:eastAsia="Courier New" w:hAnsi="Courier New"/>
          <w:b/>
          <w:bCs/>
          <w:sz w:val="22"/>
          <w:szCs w:val="22"/>
        </w:rPr>
        <w:t xml:space="preserve">9. Considérations IANA</w:t>
      </w:r>
    </w:p>
    <w:p>
      <w:pPr>
        <w:spacing w:after="120" w:before="0" w:line="240"/>
        <w:ind w:left="360"/>
        <w:jc w:val="left"/>
      </w:pPr>
      <w:r>
        <w:rPr>
          <w:rFonts w:ascii="Courier New" w:cs="Courier New" w:eastAsia="Courier New" w:hAnsi="Courier New"/>
          <w:sz w:val="20"/>
          <w:szCs w:val="20"/>
        </w:rPr>
        <w:t xml:space="preserve">Ce document demande à l'IANA les actions suivantes.</w:t>
      </w:r>
    </w:p>
    <w:p>
      <w:pPr>
        <w:pStyle w:val="ListParagraph"/>
        <w:numPr>
          <w:ilvl w:val="0"/>
          <w:numId w:val="2"/>
        </w:numPr>
        <w:spacing w:after="60" w:line="240"/>
      </w:pPr>
      <w:r>
        <w:rPr>
          <w:rFonts w:ascii="Courier New" w:cs="Courier New" w:eastAsia="Courier New" w:hAnsi="Courier New"/>
          <w:sz w:val="20"/>
          <w:szCs w:val="20"/>
        </w:rPr>
        <w:t xml:space="preserve">Attribution des ports UDP 5221 (source, « usmd-nndp-src ») et 5222 (destination, « usmd-nndp »). Il est précisé que ces numéros sont proposés et sont à confirmer lors de la procédure d'enregistrement.</w:t>
      </w:r>
    </w:p>
    <w:p>
      <w:pPr>
        <w:pStyle w:val="ListParagraph"/>
        <w:numPr>
          <w:ilvl w:val="0"/>
          <w:numId w:val="2"/>
        </w:numPr>
        <w:spacing w:after="60" w:line="240"/>
      </w:pPr>
      <w:r>
        <w:rPr>
          <w:rFonts w:ascii="Courier New" w:cs="Courier New" w:eastAsia="Courier New" w:hAnsi="Courier New"/>
          <w:sz w:val="20"/>
          <w:szCs w:val="20"/>
        </w:rPr>
        <w:t xml:space="preserve">Création du registre « Événements NNDP USMD » (champ Événement de l'en-tête de trame, 16 bits, politique « Spécification requise » [RFC8126]), initialement : 0x0000 Réservé ; 0x0001 Here I am ; 0x0002 à 0xFFFF non attribués.</w:t>
      </w:r>
    </w:p>
    <w:p>
      <w:pPr>
        <w:pStyle w:val="ListParagraph"/>
        <w:numPr>
          <w:ilvl w:val="0"/>
          <w:numId w:val="2"/>
        </w:numPr>
        <w:spacing w:after="60" w:line="240"/>
      </w:pPr>
      <w:r>
        <w:rPr>
          <w:rFonts w:ascii="Courier New" w:cs="Courier New" w:eastAsia="Courier New" w:hAnsi="Courier New"/>
          <w:sz w:val="20"/>
          <w:szCs w:val="20"/>
        </w:rPr>
        <w:t xml:space="preserve">Utilisation du registre « États de nœud USMD » créé par [USMD-ARCH].</w:t>
      </w:r>
    </w:p>
    <w:p>
      <w:pPr>
        <w:pStyle w:val="ListParagraph"/>
        <w:numPr>
          <w:ilvl w:val="0"/>
          <w:numId w:val="2"/>
        </w:numPr>
        <w:spacing w:after="60" w:line="240"/>
      </w:pPr>
      <w:r>
        <w:rPr>
          <w:rFonts w:ascii="Courier New" w:cs="Courier New" w:eastAsia="Courier New" w:hAnsi="Courier New"/>
          <w:sz w:val="20"/>
          <w:szCs w:val="20"/>
        </w:rPr>
        <w:t xml:space="preserve">Utilisation du magic 0xD5C1 de l'en-tête de trame, enregistré par [USMD-ARCH].</w:t>
      </w:r>
    </w:p>
    <w:p>
      <w:pPr>
        <w:pStyle w:val="Heading1"/>
        <w:keepNext/>
        <w:spacing w:after="120" w:before="360"/>
      </w:pPr>
      <w:r>
        <w:rPr>
          <w:rFonts w:ascii="Courier New" w:cs="Courier New" w:eastAsia="Courier New" w:hAnsi="Courier New"/>
          <w:b/>
          <w:bCs/>
          <w:sz w:val="22"/>
          <w:szCs w:val="22"/>
        </w:rPr>
        <w:t xml:space="preserve">10. Références</w:t>
      </w:r>
    </w:p>
    <w:p>
      <w:pPr>
        <w:pStyle w:val="Heading2"/>
        <w:keepNext/>
        <w:spacing w:after="120" w:before="240"/>
      </w:pPr>
      <w:r>
        <w:rPr>
          <w:rFonts w:ascii="Courier New" w:cs="Courier New" w:eastAsia="Courier New" w:hAnsi="Courier New"/>
          <w:b/>
          <w:bCs/>
          <w:sz w:val="20"/>
          <w:szCs w:val="20"/>
        </w:rPr>
        <w:t xml:space="preserve">10.1. Références normatives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18"/>
        <w:gridCol w:w="7708"/>
      </w:tblGrid>
      <w:tr>
        <w:trPr>
          <w:cantSplit/>
          <w:tblHeader/>
        </w:trPr>
        <w:tc>
          <w:tcPr>
            <w:tcW w:type="dxa" w:w="131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Référence</w:t>
            </w:r>
          </w:p>
        </w:tc>
        <w:tc>
          <w:tcPr>
            <w:tcW w:type="dxa" w:w="770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Titre</w:t>
            </w:r>
          </w:p>
        </w:tc>
      </w:tr>
      <w:tr>
        <w:trPr>
          <w:cantSplit/>
        </w:trPr>
        <w:tc>
          <w:tcPr>
            <w:tcW w:type="dxa" w:w="13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[RFC768]</w:t>
            </w:r>
          </w:p>
        </w:tc>
        <w:tc>
          <w:tcPr>
            <w:tcW w:type="dxa" w:w="7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Postel, J., « User Datagram Protocol », STD 6, RFC 768, 1980</w:t>
            </w:r>
          </w:p>
        </w:tc>
      </w:tr>
      <w:tr>
        <w:trPr>
          <w:cantSplit/>
        </w:trPr>
        <w:tc>
          <w:tcPr>
            <w:tcW w:type="dxa" w:w="13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[RFC2119]</w:t>
            </w:r>
          </w:p>
        </w:tc>
        <w:tc>
          <w:tcPr>
            <w:tcW w:type="dxa" w:w="7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Bradner, S., « Key words for use in RFCs to Indicate Requirement Levels », BCP 14, RFC 2119, 1997</w:t>
            </w:r>
          </w:p>
        </w:tc>
      </w:tr>
      <w:tr>
        <w:trPr>
          <w:cantSplit/>
        </w:trPr>
        <w:tc>
          <w:tcPr>
            <w:tcW w:type="dxa" w:w="13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[RFC8032]</w:t>
            </w:r>
          </w:p>
        </w:tc>
        <w:tc>
          <w:tcPr>
            <w:tcW w:type="dxa" w:w="7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Josefsson, S. et I. Liusvaara, « Edwards-Curve Digital Signature Algorithm (EdDSA) », RFC 8032, 2017</w:t>
            </w:r>
          </w:p>
        </w:tc>
      </w:tr>
      <w:tr>
        <w:trPr>
          <w:cantSplit/>
        </w:trPr>
        <w:tc>
          <w:tcPr>
            <w:tcW w:type="dxa" w:w="13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[RFC8174]</w:t>
            </w:r>
          </w:p>
        </w:tc>
        <w:tc>
          <w:tcPr>
            <w:tcW w:type="dxa" w:w="7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Leiba, B., « Ambiguity of Uppercase vs Lowercase in RFC 2119 Key Words », BCP 14, RFC 8174, 2017</w:t>
            </w:r>
          </w:p>
        </w:tc>
      </w:tr>
      <w:tr>
        <w:trPr>
          <w:cantSplit/>
        </w:trPr>
        <w:tc>
          <w:tcPr>
            <w:tcW w:type="dxa" w:w="13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[USMD-ARCH]</w:t>
            </w:r>
          </w:p>
        </w:tc>
        <w:tc>
          <w:tcPr>
            <w:tcW w:type="dxa" w:w="7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 USMD-RDSH : Architecture du système », draft-usmd-rdsh-architecture-02</w:t>
            </w:r>
          </w:p>
        </w:tc>
      </w:tr>
      <w:tr>
        <w:trPr>
          <w:cantSplit/>
        </w:trPr>
        <w:tc>
          <w:tcPr>
            <w:tcW w:type="dxa" w:w="131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[USMD-NCP]</w:t>
            </w:r>
          </w:p>
        </w:tc>
        <w:tc>
          <w:tcPr>
            <w:tcW w:type="dxa" w:w="770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 USMD-RDSH : Protocole de cohésion de nœuds (NCP) », draft-usmd-ncp-02</w:t>
            </w:r>
          </w:p>
        </w:tc>
      </w:tr>
    </w:tbl>
    <w:p>
      <w:pPr>
        <w:spacing w:after="120"/>
      </w:pPr>
      <w:r>
        <w:rPr>
          <w:rFonts w:ascii="Courier New" w:cs="Courier New" w:eastAsia="Courier New" w:hAnsi="Courier New"/>
          <w:sz w:val="20"/>
          <w:szCs w:val="20"/>
        </w:rPr>
        <w:t xml:space="preserve"/>
      </w:r>
    </w:p>
    <w:p>
      <w:pPr>
        <w:pStyle w:val="Heading2"/>
        <w:keepNext/>
        <w:spacing w:after="120" w:before="240"/>
      </w:pPr>
      <w:r>
        <w:rPr>
          <w:rFonts w:ascii="Courier New" w:cs="Courier New" w:eastAsia="Courier New" w:hAnsi="Courier New"/>
          <w:b/>
          <w:bCs/>
          <w:sz w:val="20"/>
          <w:szCs w:val="20"/>
        </w:rPr>
        <w:t xml:space="preserve">10.2. Références informatives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cantSplit/>
          <w:tblHeader/>
        </w:trPr>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Référence</w:t>
            </w:r>
          </w:p>
        </w:tc>
        <w:tc>
          <w:tcPr>
            <w:tcW w:type="dxa" w:w="792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Titre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[RFC8126]</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Cotton, M., Leiba, B. et T. Narten, « Guidelines for Writing an IANA Considerations Section in RFCs », BCP 26, RFC 8126, 2017</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[ULID]</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 ULID Specification », https://github.com/ulid/spec</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[RFC2453]</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Malkin, G., « RIP Version 2 », STD 56, RFC 2453, 1998</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[USMD-SP]</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 USMD-RDSH : Protocole de service (SP) », draft-usmd-sp-01</w:t>
            </w:r>
          </w:p>
        </w:tc>
      </w:tr>
    </w:tbl>
    <w:p>
      <w:pPr>
        <w:spacing w:after="120"/>
      </w:pPr>
      <w:r>
        <w:rPr>
          <w:rFonts w:ascii="Courier New" w:cs="Courier New" w:eastAsia="Courier New" w:hAnsi="Courier New"/>
          <w:sz w:val="20"/>
          <w:szCs w:val="20"/>
        </w:rPr>
        <w:t xml:space="preserve"/>
      </w:r>
    </w:p>
    <w:p>
      <w:pPr>
        <w:pStyle w:val="Heading1"/>
        <w:keepNext/>
        <w:spacing w:after="120" w:before="360"/>
      </w:pPr>
      <w:r>
        <w:rPr>
          <w:rFonts w:ascii="Courier New" w:cs="Courier New" w:eastAsia="Courier New" w:hAnsi="Courier New"/>
          <w:b/>
          <w:bCs/>
          <w:sz w:val="22"/>
          <w:szCs w:val="22"/>
        </w:rPr>
        <w:t xml:space="preserve">Annexe A. Exemple de message Here I am</w:t>
      </w:r>
    </w:p>
    <w:p>
      <w:pPr>
        <w:spacing w:after="120" w:before="0" w:line="240"/>
        <w:ind w:left="360"/>
        <w:jc w:val="left"/>
      </w:pPr>
      <w:r>
        <w:rPr>
          <w:rFonts w:ascii="Courier New" w:cs="Courier New" w:eastAsia="Courier New" w:hAnsi="Courier New"/>
          <w:sz w:val="20"/>
          <w:szCs w:val="20"/>
        </w:rPr>
        <w:t xml:space="preserve">Exemple de trame (sans la clé publique ni la signature du datagramme) pour un nœud d'identifiant 01ARZ3NDEKTSV4RRFFQ69G5FAV, à l'état Actif, émettant le 21 octobre 2026 à 10:00:00 UTC avec un intervalle de 15 s. La clé X25519 de l'exemple est la suite d'octets 00 à 1F. Le nœud héberge le service web, d'adresse SP 0a1.5d68, avec une charge de référence de 312 ‰ ; il connaît une instance de db, 0b2.0007, à la distance 540 et à 1 saut.</w:t>
      </w:r>
    </w:p>
    <w:p>
      <w:pPr>
        <w:keepNext/>
        <w:keepLines/>
        <w:spacing w:after="0" w:line="220"/>
        <w:ind w:left="360"/>
      </w:pPr>
      <w:r>
        <w:rPr>
          <w:rFonts w:ascii="Courier New" w:cs="Courier New" w:eastAsia="Courier New" w:hAnsi="Courier New"/>
          <w:sz w:val="18"/>
          <w:szCs w:val="18"/>
        </w:rPr>
        <w:t xml:space="preserve">En-tête de trame (9 octets) :</w:t>
      </w:r>
    </w:p>
    <w:p>
      <w:pPr>
        <w:keepNext/>
        <w:keepLines/>
        <w:spacing w:after="0" w:line="220"/>
        <w:ind w:left="360"/>
      </w:pPr>
      <w:r>
        <w:rPr>
          <w:rFonts w:ascii="Courier New" w:cs="Courier New" w:eastAsia="Courier New" w:hAnsi="Courier New"/>
          <w:sz w:val="18"/>
          <w:szCs w:val="18"/>
        </w:rPr>
        <w:t xml:space="preserve">  d5c1 01 0001 00000064</w:t>
      </w:r>
    </w:p>
    <w:p>
      <w:pPr>
        <w:keepNext/>
        <w:keepLines/>
        <w:spacing w:after="0" w:line="220"/>
        <w:ind w:left="360"/>
      </w:pPr>
      <w:r>
        <w:rPr>
          <w:rFonts w:ascii="Courier New" w:cs="Courier New" w:eastAsia="Courier New" w:hAnsi="Courier New"/>
          <w:sz w:val="18"/>
          <w:szCs w:val="18"/>
        </w:rPr>
        <w:t xml:space="preserve"/>
      </w:r>
    </w:p>
    <w:p>
      <w:pPr>
        <w:keepNext/>
        <w:keepLines/>
        <w:spacing w:after="0" w:line="220"/>
        <w:ind w:left="360"/>
      </w:pPr>
      <w:r>
        <w:rPr>
          <w:rFonts w:ascii="Courier New" w:cs="Courier New" w:eastAsia="Courier New" w:hAnsi="Courier New"/>
          <w:sz w:val="18"/>
          <w:szCs w:val="18"/>
        </w:rPr>
        <w:t xml:space="preserve">Charge (100 octets) :</w:t>
      </w:r>
    </w:p>
    <w:p>
      <w:pPr>
        <w:keepNext/>
        <w:keepLines/>
        <w:spacing w:after="0" w:line="220"/>
        <w:ind w:left="360"/>
      </w:pPr>
      <w:r>
        <w:rPr>
          <w:rFonts w:ascii="Courier New" w:cs="Courier New" w:eastAsia="Courier New" w:hAnsi="Courier New"/>
          <w:sz w:val="18"/>
          <w:szCs w:val="18"/>
        </w:rPr>
        <w:t xml:space="preserve">  001a                                 longueur de l'identifiant (26)</w:t>
      </w:r>
    </w:p>
    <w:p>
      <w:pPr>
        <w:keepNext/>
        <w:keepLines/>
        <w:spacing w:after="0" w:line="220"/>
        <w:ind w:left="360"/>
      </w:pPr>
      <w:r>
        <w:rPr>
          <w:rFonts w:ascii="Courier New" w:cs="Courier New" w:eastAsia="Courier New" w:hAnsi="Courier New"/>
          <w:sz w:val="18"/>
          <w:szCs w:val="18"/>
        </w:rPr>
        <w:t xml:space="preserve">  303141525a334e44454b545356345252     identifiant ASCII (1re partie)</w:t>
      </w:r>
    </w:p>
    <w:p>
      <w:pPr>
        <w:keepNext/>
        <w:keepLines/>
        <w:spacing w:after="0" w:line="220"/>
        <w:ind w:left="360"/>
      </w:pPr>
      <w:r>
        <w:rPr>
          <w:rFonts w:ascii="Courier New" w:cs="Courier New" w:eastAsia="Courier New" w:hAnsi="Courier New"/>
          <w:sz w:val="18"/>
          <w:szCs w:val="18"/>
        </w:rPr>
        <w:t xml:space="preserve">  46465136394735464156                 identifiant ASCII (suite)</w:t>
      </w:r>
    </w:p>
    <w:p>
      <w:pPr>
        <w:keepNext/>
        <w:keepLines/>
        <w:spacing w:after="0" w:line="220"/>
        <w:ind w:left="360"/>
      </w:pPr>
      <w:r>
        <w:rPr>
          <w:rFonts w:ascii="Courier New" w:cs="Courier New" w:eastAsia="Courier New" w:hAnsi="Courier New"/>
          <w:sz w:val="18"/>
          <w:szCs w:val="18"/>
        </w:rPr>
        <w:t xml:space="preserve">  000001a15de77f98                     prochaine émission (10:00:15)</w:t>
      </w:r>
    </w:p>
    <w:p>
      <w:pPr>
        <w:keepNext/>
        <w:keepLines/>
        <w:spacing w:after="0" w:line="220"/>
        <w:ind w:left="360"/>
      </w:pPr>
      <w:r>
        <w:rPr>
          <w:rFonts w:ascii="Courier New" w:cs="Courier New" w:eastAsia="Courier New" w:hAnsi="Courier New"/>
          <w:sz w:val="18"/>
          <w:szCs w:val="18"/>
        </w:rPr>
        <w:t xml:space="preserve">  2000                                 état : Actif</w:t>
      </w:r>
    </w:p>
    <w:p>
      <w:pPr>
        <w:keepNext/>
        <w:keepLines/>
        <w:spacing w:after="0" w:line="220"/>
        <w:ind w:left="360"/>
      </w:pPr>
      <w:r>
        <w:rPr>
          <w:rFonts w:ascii="Courier New" w:cs="Courier New" w:eastAsia="Courier New" w:hAnsi="Courier New"/>
          <w:sz w:val="18"/>
          <w:szCs w:val="18"/>
        </w:rPr>
        <w:t xml:space="preserve">  000001a15de74500                     horodatage d'émission (10:00:00)</w:t>
      </w:r>
    </w:p>
    <w:p>
      <w:pPr>
        <w:keepNext/>
        <w:keepLines/>
        <w:spacing w:after="0" w:line="220"/>
        <w:ind w:left="360"/>
      </w:pPr>
      <w:r>
        <w:rPr>
          <w:rFonts w:ascii="Courier New" w:cs="Courier New" w:eastAsia="Courier New" w:hAnsi="Courier New"/>
          <w:sz w:val="18"/>
          <w:szCs w:val="18"/>
        </w:rPr>
        <w:t xml:space="preserve">  000102030405060708090a0b0c0d0e0f     clé X25519 (1re moitié)</w:t>
      </w:r>
    </w:p>
    <w:p>
      <w:pPr>
        <w:keepNext/>
        <w:keepLines/>
        <w:spacing w:after="0" w:line="220"/>
        <w:ind w:left="360"/>
      </w:pPr>
      <w:r>
        <w:rPr>
          <w:rFonts w:ascii="Courier New" w:cs="Courier New" w:eastAsia="Courier New" w:hAnsi="Courier New"/>
          <w:sz w:val="18"/>
          <w:szCs w:val="18"/>
        </w:rPr>
        <w:t xml:space="preserve">  101112131415161718191a1b1c1d1e1f     clé X25519 (2e moitié)</w:t>
      </w:r>
    </w:p>
    <w:p>
      <w:pPr>
        <w:keepNext/>
        <w:keepLines/>
        <w:spacing w:after="0" w:line="220"/>
        <w:ind w:left="360"/>
      </w:pPr>
      <w:r>
        <w:rPr>
          <w:rFonts w:ascii="Courier New" w:cs="Courier New" w:eastAsia="Courier New" w:hAnsi="Courier New"/>
          <w:sz w:val="18"/>
          <w:szCs w:val="18"/>
        </w:rPr>
        <w:t xml:space="preserve">  0001                                 1 service hébergé</w:t>
      </w:r>
    </w:p>
    <w:p>
      <w:pPr>
        <w:keepNext/>
        <w:keepLines/>
        <w:spacing w:after="0" w:line="220"/>
        <w:ind w:left="360"/>
      </w:pPr>
      <w:r>
        <w:rPr>
          <w:rFonts w:ascii="Courier New" w:cs="Courier New" w:eastAsia="Courier New" w:hAnsi="Courier New"/>
          <w:sz w:val="18"/>
          <w:szCs w:val="18"/>
        </w:rPr>
        <w:t xml:space="preserve">  00a15d68                             0a1.5d68</w:t>
      </w:r>
    </w:p>
    <w:p>
      <w:pPr>
        <w:keepNext/>
        <w:keepLines/>
        <w:spacing w:after="0" w:line="220"/>
        <w:ind w:left="360"/>
      </w:pPr>
      <w:r>
        <w:rPr>
          <w:rFonts w:ascii="Courier New" w:cs="Courier New" w:eastAsia="Courier New" w:hAnsi="Courier New"/>
          <w:sz w:val="18"/>
          <w:szCs w:val="18"/>
        </w:rPr>
        <w:t xml:space="preserve">  0002                                 2 entrées de vecteur</w:t>
      </w:r>
    </w:p>
    <w:p>
      <w:pPr>
        <w:keepNext/>
        <w:keepLines/>
        <w:spacing w:after="0" w:line="220"/>
        <w:ind w:left="360"/>
      </w:pPr>
      <w:r>
        <w:rPr>
          <w:rFonts w:ascii="Courier New" w:cs="Courier New" w:eastAsia="Courier New" w:hAnsi="Courier New"/>
          <w:sz w:val="18"/>
          <w:szCs w:val="18"/>
        </w:rPr>
        <w:t xml:space="preserve">  00a15d68 0138 00                     0a1.5d68, distance 312, 0 saut</w:t>
      </w:r>
    </w:p>
    <w:p>
      <w:pPr>
        <w:keepLines/>
        <w:spacing w:after="120" w:line="220"/>
        <w:ind w:left="360"/>
      </w:pPr>
      <w:r>
        <w:rPr>
          <w:rFonts w:ascii="Courier New" w:cs="Courier New" w:eastAsia="Courier New" w:hAnsi="Courier New"/>
          <w:sz w:val="18"/>
          <w:szCs w:val="18"/>
        </w:rPr>
        <w:t xml:space="preserve">  00b20007 021c 01                     0b2.0007, distance 540, 1 saut</w:t>
      </w:r>
    </w:p>
    <w:p>
      <w:pPr>
        <w:spacing w:after="120" w:before="0" w:line="240"/>
        <w:ind w:left="360"/>
        <w:jc w:val="left"/>
      </w:pPr>
      <w:r>
        <w:rPr>
          <w:rFonts w:ascii="Courier New" w:cs="Courier New" w:eastAsia="Courier New" w:hAnsi="Courier New"/>
          <w:sz w:val="20"/>
          <w:szCs w:val="20"/>
        </w:rPr>
        <w:t xml:space="preserve">La charge compte 78 + 2 + 4 + 2 + 2 × 7 = 100 octets, et le datagramme 32 + 64 + 9 + 100 = 205 octets.</w:t>
      </w:r>
    </w:p>
    <w:p>
      <w:pPr>
        <w:pStyle w:val="Heading1"/>
        <w:keepNext/>
        <w:spacing w:after="120" w:before="360"/>
      </w:pPr>
      <w:r>
        <w:rPr>
          <w:rFonts w:ascii="Courier New" w:cs="Courier New" w:eastAsia="Courier New" w:hAnsi="Courier New"/>
          <w:b/>
          <w:bCs/>
          <w:sz w:val="22"/>
          <w:szCs w:val="22"/>
        </w:rPr>
        <w:t xml:space="preserve">Annexe B. Écarts avec le texte de concept initial</w:t>
      </w:r>
    </w:p>
    <w:p>
      <w:pPr>
        <w:spacing w:after="120" w:before="0" w:line="240"/>
        <w:ind w:left="360"/>
        <w:jc w:val="left"/>
      </w:pPr>
      <w:r>
        <w:rPr>
          <w:rFonts w:ascii="Courier New" w:cs="Courier New" w:eastAsia="Courier New" w:hAnsi="Courier New"/>
          <w:sz w:val="20"/>
          <w:szCs w:val="20"/>
        </w:rPr>
        <w:t xml:space="preserve">Cette annexe est informative et sera retirée avant publication.</w:t>
      </w:r>
    </w:p>
    <w:p>
      <w:pPr>
        <w:pStyle w:val="ListParagraph"/>
        <w:numPr>
          <w:ilvl w:val="0"/>
          <w:numId w:val="2"/>
        </w:numPr>
        <w:spacing w:after="60" w:line="240"/>
      </w:pPr>
      <w:r>
        <w:rPr>
          <w:rFonts w:ascii="Courier New" w:cs="Courier New" w:eastAsia="Courier New" w:hAnsi="Courier New"/>
          <w:sz w:val="20"/>
          <w:szCs w:val="20"/>
        </w:rPr>
        <w:t xml:space="preserve">L'horodatage d'émission est ajouté à la charge pour borner le rejeu (décision de l'auteur) ; la date « t » du texte initial devient la prochaine émission, et le délai « t × 2 » devient 2 × I.</w:t>
      </w:r>
    </w:p>
    <w:p>
      <w:pPr>
        <w:pStyle w:val="ListParagraph"/>
        <w:numPr>
          <w:ilvl w:val="0"/>
          <w:numId w:val="2"/>
        </w:numPr>
        <w:spacing w:after="60" w:line="240"/>
      </w:pPr>
      <w:r>
        <w:rPr>
          <w:rFonts w:ascii="Courier New" w:cs="Courier New" w:eastAsia="Courier New" w:hAnsi="Courier New"/>
          <w:sz w:val="20"/>
          <w:szCs w:val="20"/>
        </w:rPr>
        <w:t xml:space="preserve">La clé X25519 est ajoutée à la charge, car sans elle un nœud nouvellement créé ne peut pas chiffrer son premier message NCP.</w:t>
      </w:r>
    </w:p>
    <w:p>
      <w:pPr>
        <w:pStyle w:val="ListParagraph"/>
        <w:numPr>
          <w:ilvl w:val="0"/>
          <w:numId w:val="2"/>
        </w:numPr>
        <w:spacing w:after="60" w:line="240"/>
      </w:pPr>
      <w:r>
        <w:rPr>
          <w:rFonts w:ascii="Courier New" w:cs="Courier New" w:eastAsia="Courier New" w:hAnsi="Courier New"/>
          <w:sz w:val="20"/>
          <w:szCs w:val="20"/>
        </w:rPr>
        <w:t xml:space="preserve">La version et le magic sortent de la charge pour figurer une seule fois dans l'en-tête de trame ; la longueur y est exprimée en octets et non en bits.</w:t>
      </w:r>
    </w:p>
    <w:p>
      <w:pPr>
        <w:pStyle w:val="ListParagraph"/>
        <w:numPr>
          <w:ilvl w:val="0"/>
          <w:numId w:val="2"/>
        </w:numPr>
        <w:spacing w:after="60" w:line="240"/>
      </w:pPr>
      <w:r>
        <w:rPr>
          <w:rFonts w:ascii="Courier New" w:cs="Courier New" w:eastAsia="Courier New" w:hAnsi="Courier New"/>
          <w:sz w:val="20"/>
          <w:szCs w:val="20"/>
        </w:rPr>
        <w:t xml:space="preserve">Le texte initial prévoyait que les nœuds voisins « répondent » au HIA ; cette version n'a pas de message de réponse, la suite passant par NCP (section 6.4).</w:t>
      </w:r>
    </w:p>
    <w:p>
      <w:pPr>
        <w:pStyle w:val="Heading1"/>
        <w:keepNext/>
        <w:spacing w:after="120" w:before="360"/>
      </w:pPr>
      <w:r>
        <w:rPr>
          <w:rFonts w:ascii="Courier New" w:cs="Courier New" w:eastAsia="Courier New" w:hAnsi="Courier New"/>
          <w:b/>
          <w:bCs/>
          <w:sz w:val="22"/>
          <w:szCs w:val="22"/>
        </w:rPr>
        <w:t xml:space="preserve">Annexe C. Modifications depuis draft-usmd-nndp-00</w:t>
      </w:r>
    </w:p>
    <w:p>
      <w:pPr>
        <w:spacing w:after="120" w:before="0" w:line="240"/>
        <w:ind w:left="360"/>
        <w:jc w:val="left"/>
      </w:pPr>
      <w:r>
        <w:rPr>
          <w:rFonts w:ascii="Courier New" w:cs="Courier New" w:eastAsia="Courier New" w:hAnsi="Courier New"/>
          <w:sz w:val="20"/>
          <w:szCs w:val="20"/>
        </w:rPr>
        <w:t xml:space="preserve">Cette annexe est informative et sera retirée avant publication.</w:t>
      </w:r>
    </w:p>
    <w:p>
      <w:pPr>
        <w:pStyle w:val="ListParagraph"/>
        <w:numPr>
          <w:ilvl w:val="0"/>
          <w:numId w:val="2"/>
        </w:numPr>
        <w:spacing w:after="60" w:line="240"/>
      </w:pPr>
      <w:r>
        <w:rPr>
          <w:rFonts w:ascii="Courier New" w:cs="Courier New" w:eastAsia="Courier New" w:hAnsi="Courier New"/>
          <w:sz w:val="20"/>
          <w:szCs w:val="20"/>
        </w:rPr>
        <w:t xml:space="preserve">Le HIA porte la liste des services hébergés et le vecteur des services les plus proches (sections 5.4 et 6.5), afin que chaque nœud connaisse les services réellement hébergés par ses pairs et les instances les plus proches (décision de l'auteur).</w:t>
      </w:r>
    </w:p>
    <w:p>
      <w:pPr>
        <w:pStyle w:val="ListParagraph"/>
        <w:numPr>
          <w:ilvl w:val="0"/>
          <w:numId w:val="2"/>
        </w:numPr>
        <w:spacing w:after="60" w:line="240"/>
      </w:pPr>
      <w:r>
        <w:rPr>
          <w:rFonts w:ascii="Courier New" w:cs="Courier New" w:eastAsia="Courier New" w:hAnsi="Courier New"/>
          <w:sz w:val="20"/>
          <w:szCs w:val="20"/>
        </w:rPr>
        <w:t xml:space="preserve">Le HIA est envoyé en unicast aux nœuds de référence en plus de la diffusion (section 4), afin que les distances se propagent à tout l'USD (décision de l'auteur).</w:t>
      </w:r>
    </w:p>
    <w:p>
      <w:pPr>
        <w:pStyle w:val="ListParagraph"/>
        <w:numPr>
          <w:ilvl w:val="0"/>
          <w:numId w:val="2"/>
        </w:numPr>
        <w:spacing w:after="60" w:line="240"/>
      </w:pPr>
      <w:r>
        <w:rPr>
          <w:rFonts w:ascii="Courier New" w:cs="Courier New" w:eastAsia="Courier New" w:hAnsi="Courier New"/>
          <w:sz w:val="20"/>
          <w:szCs w:val="20"/>
        </w:rPr>
        <w:t xml:space="preserve">La taille du datagramme devient variable, de 187 à 1200 octets ; le format de la version 1 est redéfini, aucune implémentation n'étant déployée. Le prototype (here_i_am) devra être mis à jour.</w:t>
      </w:r>
    </w:p>
    <w:p>
      <w:pPr>
        <w:pStyle w:val="ListParagraph"/>
        <w:numPr>
          <w:ilvl w:val="0"/>
          <w:numId w:val="2"/>
        </w:numPr>
        <w:spacing w:after="60" w:line="240"/>
      </w:pPr>
      <w:r>
        <w:rPr>
          <w:rFonts w:ascii="Courier New" w:cs="Courier New" w:eastAsia="Courier New" w:hAnsi="Courier New"/>
          <w:sz w:val="20"/>
          <w:szCs w:val="20"/>
        </w:rPr>
        <w:t xml:space="preserve">La métrique de distance, la limite de 15 sauts, l'horizon partagé avec retour empoisonné, l'expiration des entrées et les HIA anticipés sont des propositions de ce document, inspirées de [RFC2453].</w:t>
      </w:r>
    </w:p>
    <w:p>
      <w:pPr>
        <w:pStyle w:val="ListParagraph"/>
        <w:numPr>
          <w:ilvl w:val="0"/>
          <w:numId w:val="2"/>
        </w:numPr>
        <w:spacing w:after="60" w:line="240"/>
      </w:pPr>
      <w:r>
        <w:rPr>
          <w:rFonts w:ascii="Courier New" w:cs="Courier New" w:eastAsia="Courier New" w:hAnsi="Courier New"/>
          <w:sz w:val="20"/>
          <w:szCs w:val="20"/>
        </w:rPr>
        <w:t xml:space="preserve">La demande d'identifiants de gestion au maître USD passe par NCP (commande Request_management_id) et non par NNDP, qui reste un protocole d'annonce sans réponse (décision de l'auteur).</w:t>
      </w:r>
    </w:p>
    <w:p>
      <w:pPr>
        <w:pStyle w:val="Heading1"/>
        <w:keepNext/>
        <w:spacing w:after="120" w:before="360"/>
      </w:pPr>
      <w:r>
        <w:rPr>
          <w:rFonts w:ascii="Courier New" w:cs="Courier New" w:eastAsia="Courier New" w:hAnsi="Courier New"/>
          <w:b/>
          <w:bCs/>
          <w:sz w:val="22"/>
          <w:szCs w:val="22"/>
        </w:rPr>
        <w:t xml:space="preserve">Adresse de l’auteur</w:t>
      </w:r>
    </w:p>
    <w:p>
      <w:pPr>
        <w:spacing w:after="0" w:before="0" w:line="240"/>
        <w:ind w:left="360"/>
        <w:jc w:val="left"/>
      </w:pPr>
      <w:r>
        <w:rPr>
          <w:rFonts w:ascii="Courier New" w:cs="Courier New" w:eastAsia="Courier New" w:hAnsi="Courier New"/>
          <w:sz w:val="20"/>
          <w:szCs w:val="20"/>
        </w:rPr>
        <w:t xml:space="preserve">[Auteur]</w:t>
      </w:r>
    </w:p>
    <w:p>
      <w:pPr>
        <w:spacing w:after="0" w:before="0" w:line="240"/>
        <w:ind w:left="360"/>
        <w:jc w:val="left"/>
      </w:pPr>
      <w:r>
        <w:rPr>
          <w:rFonts w:ascii="Courier New" w:cs="Courier New" w:eastAsia="Courier New" w:hAnsi="Courier New"/>
          <w:sz w:val="20"/>
          <w:szCs w:val="20"/>
        </w:rPr>
        <w:t xml:space="preserve">[Organisation]</w:t>
      </w:r>
    </w:p>
    <w:p>
      <w:pPr>
        <w:spacing w:after="0" w:before="0" w:line="240"/>
        <w:ind w:left="360"/>
        <w:jc w:val="left"/>
      </w:pPr>
      <w:r>
        <w:rPr>
          <w:rFonts w:ascii="Courier New" w:cs="Courier New" w:eastAsia="Courier New" w:hAnsi="Courier New"/>
          <w:sz w:val="20"/>
          <w:szCs w:val="20"/>
        </w:rPr>
        <w:t xml:space="preserve">Courriel : [adresse à préciser]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spacing w:before="0"/>
    </w:pPr>
    <w:r>
      <w:rPr>
        <w:rFonts w:ascii="Courier New" w:cs="Courier New" w:eastAsia="Courier New" w:hAnsi="Courier New"/>
        <w:sz w:val="18"/>
        <w:szCs w:val="18"/>
      </w:rPr>
      <w:t xml:space="preserve">[Auteur]   Standards Track</w:t>
    </w:r>
    <w:r>
      <w:rPr>
        <w:rFonts w:ascii="Courier New" w:cs="Courier New" w:eastAsia="Courier New" w:hAnsi="Courier New"/>
        <w:sz w:val="18"/>
        <w:szCs w:val="18"/>
      </w:rPr>
      <w:t xml:space="preserve">	[Page </w:t>
    </w:r>
    <w:r>
      <w:rPr>
        <w:rFonts w:ascii="Courier New" w:cs="Courier New" w:eastAsia="Courier New" w:hAnsi="Courier New"/>
        <w:sz w:val="18"/>
        <w:szCs w:val="18"/>
      </w:rPr>
      <w:fldChar w:fldCharType="begin"/>
      <w:instrText xml:space="preserve">PAGE</w:instrText>
      <w:fldChar w:fldCharType="separate"/>
      <w:fldChar w:fldCharType="end"/>
    </w:r>
    <w:r>
      <w:rPr>
        <w:rFonts w:ascii="Courier New" w:cs="Courier New" w:eastAsia="Courier New" w:hAnsi="Courier New"/>
        <w:sz w:val="18"/>
        <w:szCs w:val="18"/>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0"/>
    </w:pPr>
    <w:r>
      <w:rPr>
        <w:rFonts w:ascii="Courier New" w:cs="Courier New" w:eastAsia="Courier New" w:hAnsi="Courier New"/>
        <w:sz w:val="18"/>
        <w:szCs w:val="18"/>
      </w:rPr>
      <w:t xml:space="preserve">Projet Internet</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USMD-NNDP   22 octobre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ourier New" w:cs="Courier New" w:eastAsia="Courier New" w:hAnsi="Courier New"/>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cs="Courier New" w:eastAsia="Courier New" w:hAnsi="Courier New"/>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ourier New" w:cs="Courier New" w:eastAsia="Courier New" w:hAnsi="Courier New"/>
      <w:b/>
      <w:bCs/>
      <w:sz w:val="22"/>
      <w:szCs w:val="22"/>
    </w:rPr>
  </w:style>
  <w:style w:type="paragraph" w:styleId="Heading2">
    <w:name w:val="Heading 2"/>
    <w:basedOn w:val="Normal"/>
    <w:next w:val="Normal"/>
    <w:qFormat/>
    <w:pPr>
      <w:spacing w:after="120" w:before="240"/>
      <w:outlineLvl w:val="1"/>
    </w:pPr>
    <w:rPr>
      <w:rFonts w:ascii="Courier New" w:cs="Courier New" w:eastAsia="Courier New" w:hAnsi="Courier New"/>
      <w:b/>
      <w:bCs/>
      <w:sz w:val="20"/>
      <w:szCs w:val="20"/>
    </w:rPr>
  </w:style>
  <w:style w:type="paragraph" w:styleId="Heading3">
    <w:name w:val="Heading 3"/>
    <w:basedOn w:val="Normal"/>
    <w:next w:val="Normal"/>
    <w:qFormat/>
    <w:pPr>
      <w:spacing w:after="100" w:before="200"/>
      <w:outlineLvl w:val="2"/>
    </w:pPr>
    <w:rPr>
      <w:rFonts w:ascii="Courier New" w:cs="Courier New" w:eastAsia="Courier New" w:hAnsi="Courier New"/>
      <w:b/>
      <w:b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USMD-RDSH : Protocole de découverte de nœuds voisins (NNDP)</dc:title>
  <dc:creator>USMD</dc:creator>
  <cp:lastModifiedBy>Un-named</cp:lastModifiedBy>
  <cp:revision>1</cp:revision>
  <dcterms:created xsi:type="dcterms:W3CDTF">2026-10-22T16:30:05.697Z</dcterms:created>
  <dcterms:modified xsi:type="dcterms:W3CDTF">2026-10-22T16:30:05.704Z</dcterms:modified>
</cp:coreProperties>
</file>

<file path=docProps/custom.xml><?xml version="1.0" encoding="utf-8"?>
<Properties xmlns="http://schemas.openxmlformats.org/officeDocument/2006/custom-properties" xmlns:vt="http://schemas.openxmlformats.org/officeDocument/2006/docPropsVTypes"/>
</file>