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sz w:val="20"/>
          <w:szCs w:val="20"/>
        </w:rPr>
        <w:t xml:space="preserve">Groupe de travail : USMD                                        [Auteur]</w:t>
      </w:r>
    </w:p>
    <w:p>
      <w:pPr>
        <w:spacing w:after="0"/>
      </w:pPr>
      <w:r>
        <w:rPr>
          <w:rFonts w:ascii="Courier New" w:cs="Courier New" w:eastAsia="Courier New" w:hAnsi="Courier New"/>
          <w:sz w:val="20"/>
          <w:szCs w:val="20"/>
        </w:rPr>
        <w:t xml:space="preserve">Projet Internet (Internet-Draft)                          [Organisation]</w:t>
      </w:r>
    </w:p>
    <w:p>
      <w:pPr>
        <w:spacing w:after="0"/>
      </w:pPr>
      <w:r>
        <w:rPr>
          <w:rFonts w:ascii="Courier New" w:cs="Courier New" w:eastAsia="Courier New" w:hAnsi="Courier New"/>
          <w:sz w:val="20"/>
          <w:szCs w:val="20"/>
        </w:rPr>
        <w:t xml:space="preserve">Catégorie : Standards Track                              22 octobre 2026</w:t>
      </w:r>
    </w:p>
    <w:p>
      <w:pPr>
        <w:spacing w:after="0"/>
      </w:pPr>
      <w:r>
        <w:rPr>
          <w:rFonts w:ascii="Courier New" w:cs="Courier New" w:eastAsia="Courier New" w:hAnsi="Courier New"/>
          <w:sz w:val="20"/>
          <w:szCs w:val="20"/>
        </w:rPr>
        <w:t xml:space="preserve">Expire le : 22 avril 2027                                               </w:t>
      </w:r>
    </w:p>
    <w:p>
      <w:pPr>
        <w:spacing w:after="240"/>
      </w:pPr>
      <w:r>
        <w:rPr>
          <w:rFonts w:ascii="Courier New" w:cs="Courier New" w:eastAsia="Courier New" w:hAnsi="Courier New"/>
          <w:sz w:val="20"/>
          <w:szCs w:val="20"/>
        </w:rPr>
        <w:t xml:space="preserve"/>
      </w:r>
    </w:p>
    <w:p>
      <w:pPr>
        <w:spacing w:after="120"/>
        <w:jc w:val="center"/>
      </w:pPr>
      <w:r>
        <w:rPr>
          <w:rFonts w:ascii="Courier New" w:cs="Courier New" w:eastAsia="Courier New" w:hAnsi="Courier New"/>
          <w:b/>
          <w:bCs/>
          <w:sz w:val="24"/>
          <w:szCs w:val="24"/>
        </w:rPr>
        <w:t xml:space="preserve">USMD-RDSH : Protocole de service (SP)</w:t>
      </w:r>
    </w:p>
    <w:p>
      <w:pPr>
        <w:spacing w:after="360"/>
        <w:jc w:val="center"/>
      </w:pPr>
      <w:r>
        <w:rPr>
          <w:rFonts w:ascii="Courier New" w:cs="Courier New" w:eastAsia="Courier New" w:hAnsi="Courier New"/>
          <w:sz w:val="20"/>
          <w:szCs w:val="20"/>
        </w:rPr>
        <w:t xml:space="preserve">draft-usmd-sp-01</w:t>
      </w:r>
    </w:p>
    <w:p>
      <w:pPr>
        <w:keepNext/>
        <w:spacing w:after="120" w:before="240"/>
      </w:pPr>
      <w:r>
        <w:rPr>
          <w:rFonts w:ascii="Courier New" w:cs="Courier New" w:eastAsia="Courier New" w:hAnsi="Courier New"/>
          <w:b/>
          <w:bCs/>
          <w:sz w:val="20"/>
          <w:szCs w:val="20"/>
        </w:rPr>
        <w:t xml:space="preserve">Résumé</w:t>
      </w:r>
    </w:p>
    <w:p>
      <w:pPr>
        <w:spacing w:after="120" w:before="0" w:line="240"/>
        <w:ind w:left="360"/>
        <w:jc w:val="left"/>
      </w:pPr>
      <w:r>
        <w:rPr>
          <w:rFonts w:ascii="Courier New" w:cs="Courier New" w:eastAsia="Courier New" w:hAnsi="Courier New"/>
          <w:sz w:val="20"/>
          <w:szCs w:val="20"/>
        </w:rPr>
        <w:t xml:space="preserve">Ce document spécifie le protocole SP (Service Protocol), qui transporte le trafic entre les services hébergés par les nœuds d'un système USMD-RDSH. Les services d'un USD sont répartis en aires de service, dont chacune porte un réseau virtuel étendu, le WVNN (Wide Virtual Node Network), isolé des autres aires. Chaque service reçoit une adresse IPv4 virtuelle (VIP) dans son aire, et chaque couple (service, nœud) une adresse SP notée par exemple 0a1.5d68. Un nœud capture sur une interface TUN les paquets IPv4 destinés à une VIP, choisit l'instance la plus proche du service, puis encapsule le paquet, avec ses adresses SP source et destination, dans une session SP chiffrée vers le nœud de cette instance : cette opération est la traduction d'adresse de service (SAT). SP fonctionne sur UDP, établit ses sessions par une poignée de main à un aller-retour (X25519, Ed25519, HKDF) et chiffre ses données avec ChaCha20-Poly1305. Il prend en charge la diffusion vers tous les nœuds d'un même service.</w:t>
      </w:r>
    </w:p>
    <w:p>
      <w:pPr>
        <w:spacing w:after="120" w:before="0" w:line="240"/>
        <w:ind w:left="360"/>
        <w:jc w:val="left"/>
      </w:pPr>
      <w:r>
        <w:rPr>
          <w:rFonts w:ascii="Courier New" w:cs="Courier New" w:eastAsia="Courier New" w:hAnsi="Courier New"/>
          <w:sz w:val="20"/>
          <w:szCs w:val="20"/>
        </w:rPr>
        <w:t xml:space="preserve">Cette révision remplace draft-usmd-sp-00. Les modifications sont résumées à l'annexe C.</w:t>
      </w:r>
    </w:p>
    <w:p>
      <w:pPr>
        <w:keepNext/>
        <w:spacing w:after="120" w:before="240"/>
      </w:pPr>
      <w:r>
        <w:rPr>
          <w:rFonts w:ascii="Courier New" w:cs="Courier New" w:eastAsia="Courier New" w:hAnsi="Courier New"/>
          <w:b/>
          <w:bCs/>
          <w:sz w:val="20"/>
          <w:szCs w:val="20"/>
        </w:rPr>
        <w:t xml:space="preserve">Statut de ce mémo</w:t>
      </w:r>
    </w:p>
    <w:p>
      <w:pPr>
        <w:spacing w:after="120" w:before="0" w:line="240"/>
        <w:ind w:left="360"/>
        <w:jc w:val="left"/>
      </w:pPr>
      <w:r>
        <w:rPr>
          <w:rFonts w:ascii="Courier New" w:cs="Courier New" w:eastAsia="Courier New" w:hAnsi="Courier New"/>
          <w:sz w:val="20"/>
          <w:szCs w:val="20"/>
        </w:rPr>
        <w:t xml:space="preserve">Ce document est un projet de spécification rédigé selon la forme des RFC de l’IETF et visant la catégorie Standards Track (norme proposée). Il n’a fait l’objet d’aucune revue ni d’aucune publication par l’IETF. Il peut être modifié, remplacé ou rendu obsolète à tout moment ; il ne doit être cité qu’à titre de travail en cours.</w:t>
      </w:r>
    </w:p>
    <w:p>
      <w:pPr>
        <w:spacing w:after="120" w:before="0" w:line="240"/>
        <w:ind w:left="360"/>
        <w:jc w:val="left"/>
      </w:pPr>
      <w:r>
        <w:rPr>
          <w:rFonts w:ascii="Courier New" w:cs="Courier New" w:eastAsia="Courier New" w:hAnsi="Courier New"/>
          <w:sz w:val="20"/>
          <w:szCs w:val="20"/>
        </w:rPr>
        <w:t xml:space="preserve">Ce projet expire le 22 avril 2027.</w:t>
      </w:r>
    </w:p>
    <w:p>
      <w:pPr>
        <w:keepNext/>
        <w:spacing w:after="120" w:before="240"/>
      </w:pPr>
      <w:r>
        <w:rPr>
          <w:rFonts w:ascii="Courier New" w:cs="Courier New" w:eastAsia="Courier New" w:hAnsi="Courier New"/>
          <w:b/>
          <w:bCs/>
          <w:sz w:val="20"/>
          <w:szCs w:val="20"/>
        </w:rPr>
        <w:t xml:space="preserve">Notice de droits d’auteur</w:t>
      </w:r>
    </w:p>
    <w:p>
      <w:pPr>
        <w:spacing w:after="120" w:before="0" w:line="240"/>
        <w:ind w:left="360"/>
        <w:jc w:val="left"/>
      </w:pPr>
      <w:r>
        <w:rPr>
          <w:rFonts w:ascii="Courier New" w:cs="Courier New" w:eastAsia="Courier New" w:hAnsi="Courier New"/>
          <w:sz w:val="20"/>
          <w:szCs w:val="20"/>
        </w:rPr>
        <w:t xml:space="preserve">Copyright (c) 2026 [Auteur]. Tous droits réservés. [Licence à préciser par l’auteur.]</w:t>
      </w:r>
    </w:p>
    <w:p>
      <w:pPr>
        <w:keepNext/>
        <w:pageBreakBefore/>
        <w:spacing w:after="120" w:before="0"/>
      </w:pPr>
      <w:r>
        <w:rPr>
          <w:rFonts w:ascii="Courier New" w:cs="Courier New" w:eastAsia="Courier New" w:hAnsi="Courier New"/>
          <w:b/>
          <w:bCs/>
          <w:sz w:val="20"/>
          <w:szCs w:val="20"/>
        </w:rPr>
        <w:t xml:space="preserve">Table des matières</w:t>
      </w:r>
    </w:p>
    <w:p>
      <w:pPr>
        <w:spacing w:after="0"/>
        <w:ind w:left="360"/>
      </w:pPr>
      <w:r>
        <w:rPr>
          <w:rFonts w:ascii="Courier New" w:cs="Courier New" w:eastAsia="Courier New" w:hAnsi="Courier New"/>
          <w:sz w:val="20"/>
          <w:szCs w:val="20"/>
        </w:rPr>
        <w:t xml:space="preserve">1. Introduction</w:t>
      </w:r>
    </w:p>
    <w:p>
      <w:pPr>
        <w:spacing w:after="0"/>
        <w:ind w:left="720"/>
      </w:pPr>
      <w:r>
        <w:rPr>
          <w:rFonts w:ascii="Courier New" w:cs="Courier New" w:eastAsia="Courier New" w:hAnsi="Courier New"/>
          <w:sz w:val="20"/>
          <w:szCs w:val="20"/>
        </w:rPr>
        <w:t xml:space="preserve">1.1. Contexte</w:t>
      </w:r>
    </w:p>
    <w:p>
      <w:pPr>
        <w:spacing w:after="0"/>
        <w:ind w:left="720"/>
      </w:pPr>
      <w:r>
        <w:rPr>
          <w:rFonts w:ascii="Courier New" w:cs="Courier New" w:eastAsia="Courier New" w:hAnsi="Courier New"/>
          <w:sz w:val="20"/>
          <w:szCs w:val="20"/>
        </w:rPr>
        <w:t xml:space="preserve">1.2. Portée</w:t>
      </w:r>
    </w:p>
    <w:p>
      <w:pPr>
        <w:spacing w:after="0"/>
        <w:ind w:left="360"/>
      </w:pPr>
      <w:r>
        <w:rPr>
          <w:rFonts w:ascii="Courier New" w:cs="Courier New" w:eastAsia="Courier New" w:hAnsi="Courier New"/>
          <w:sz w:val="20"/>
          <w:szCs w:val="20"/>
        </w:rPr>
        <w:t xml:space="preserve">2. Conventions et terminologie</w:t>
      </w:r>
    </w:p>
    <w:p>
      <w:pPr>
        <w:spacing w:after="0"/>
        <w:ind w:left="360"/>
      </w:pPr>
      <w:r>
        <w:rPr>
          <w:rFonts w:ascii="Courier New" w:cs="Courier New" w:eastAsia="Courier New" w:hAnsi="Courier New"/>
          <w:sz w:val="20"/>
          <w:szCs w:val="20"/>
        </w:rPr>
        <w:t xml:space="preserve">3. Vue d'ensemble</w:t>
      </w:r>
    </w:p>
    <w:p>
      <w:pPr>
        <w:spacing w:after="0"/>
        <w:ind w:left="360"/>
      </w:pPr>
      <w:r>
        <w:rPr>
          <w:rFonts w:ascii="Courier New" w:cs="Courier New" w:eastAsia="Courier New" w:hAnsi="Courier New"/>
          <w:sz w:val="20"/>
          <w:szCs w:val="20"/>
        </w:rPr>
        <w:t xml:space="preserve">4. Adressage</w:t>
      </w:r>
    </w:p>
    <w:p>
      <w:pPr>
        <w:spacing w:after="0"/>
        <w:ind w:left="720"/>
      </w:pPr>
      <w:r>
        <w:rPr>
          <w:rFonts w:ascii="Courier New" w:cs="Courier New" w:eastAsia="Courier New" w:hAnsi="Courier New"/>
          <w:sz w:val="20"/>
          <w:szCs w:val="20"/>
        </w:rPr>
        <w:t xml:space="preserve">4.1. Aires de service</w:t>
      </w:r>
    </w:p>
    <w:p>
      <w:pPr>
        <w:spacing w:after="0"/>
        <w:ind w:left="720"/>
      </w:pPr>
      <w:r>
        <w:rPr>
          <w:rFonts w:ascii="Courier New" w:cs="Courier New" w:eastAsia="Courier New" w:hAnsi="Courier New"/>
          <w:sz w:val="20"/>
          <w:szCs w:val="20"/>
        </w:rPr>
        <w:t xml:space="preserve">4.2. VIP, adresses de groupe et adresses SP</w:t>
      </w:r>
    </w:p>
    <w:p>
      <w:pPr>
        <w:spacing w:after="0"/>
        <w:ind w:left="720"/>
      </w:pPr>
      <w:r>
        <w:rPr>
          <w:rFonts w:ascii="Courier New" w:cs="Courier New" w:eastAsia="Courier New" w:hAnsi="Courier New"/>
          <w:sz w:val="20"/>
          <w:szCs w:val="20"/>
        </w:rPr>
        <w:t xml:space="preserve">4.3. Tables</w:t>
      </w:r>
    </w:p>
    <w:p>
      <w:pPr>
        <w:spacing w:after="0"/>
        <w:ind w:left="360"/>
      </w:pPr>
      <w:r>
        <w:rPr>
          <w:rFonts w:ascii="Courier New" w:cs="Courier New" w:eastAsia="Courier New" w:hAnsi="Courier New"/>
          <w:sz w:val="20"/>
          <w:szCs w:val="20"/>
        </w:rPr>
        <w:t xml:space="preserve">5. Interface SP et traduction d'adresse de service</w:t>
      </w:r>
    </w:p>
    <w:p>
      <w:pPr>
        <w:spacing w:after="0"/>
        <w:ind w:left="720"/>
      </w:pPr>
      <w:r>
        <w:rPr>
          <w:rFonts w:ascii="Courier New" w:cs="Courier New" w:eastAsia="Courier New" w:hAnsi="Courier New"/>
          <w:sz w:val="20"/>
          <w:szCs w:val="20"/>
        </w:rPr>
        <w:t xml:space="preserve">5.1. Configuration de l'interface</w:t>
      </w:r>
    </w:p>
    <w:p>
      <w:pPr>
        <w:spacing w:after="0"/>
        <w:ind w:left="720"/>
      </w:pPr>
      <w:r>
        <w:rPr>
          <w:rFonts w:ascii="Courier New" w:cs="Courier New" w:eastAsia="Courier New" w:hAnsi="Courier New"/>
          <w:sz w:val="20"/>
          <w:szCs w:val="20"/>
        </w:rPr>
        <w:t xml:space="preserve">5.2. Émission (SAT)</w:t>
      </w:r>
    </w:p>
    <w:p>
      <w:pPr>
        <w:spacing w:after="0"/>
        <w:ind w:left="720"/>
      </w:pPr>
      <w:r>
        <w:rPr>
          <w:rFonts w:ascii="Courier New" w:cs="Courier New" w:eastAsia="Courier New" w:hAnsi="Courier New"/>
          <w:sz w:val="20"/>
          <w:szCs w:val="20"/>
        </w:rPr>
        <w:t xml:space="preserve">5.3. Réception</w:t>
      </w:r>
    </w:p>
    <w:p>
      <w:pPr>
        <w:spacing w:after="0"/>
        <w:ind w:left="360"/>
      </w:pPr>
      <w:r>
        <w:rPr>
          <w:rFonts w:ascii="Courier New" w:cs="Courier New" w:eastAsia="Courier New" w:hAnsi="Courier New"/>
          <w:sz w:val="20"/>
          <w:szCs w:val="20"/>
        </w:rPr>
        <w:t xml:space="preserve">6. Choix du nœud de destination</w:t>
      </w:r>
    </w:p>
    <w:p>
      <w:pPr>
        <w:spacing w:after="0"/>
        <w:ind w:left="720"/>
      </w:pPr>
      <w:r>
        <w:rPr>
          <w:rFonts w:ascii="Courier New" w:cs="Courier New" w:eastAsia="Courier New" w:hAnsi="Courier New"/>
          <w:sz w:val="20"/>
          <w:szCs w:val="20"/>
        </w:rPr>
        <w:t xml:space="preserve">6.1. Éligibilité</w:t>
      </w:r>
    </w:p>
    <w:p>
      <w:pPr>
        <w:spacing w:after="0"/>
        <w:ind w:left="720"/>
      </w:pPr>
      <w:r>
        <w:rPr>
          <w:rFonts w:ascii="Courier New" w:cs="Courier New" w:eastAsia="Courier New" w:hAnsi="Courier New"/>
          <w:sz w:val="20"/>
          <w:szCs w:val="20"/>
        </w:rPr>
        <w:t xml:space="preserve">6.2. Coût et sélection</w:t>
      </w:r>
    </w:p>
    <w:p>
      <w:pPr>
        <w:spacing w:after="0"/>
        <w:ind w:left="720"/>
      </w:pPr>
      <w:r>
        <w:rPr>
          <w:rFonts w:ascii="Courier New" w:cs="Courier New" w:eastAsia="Courier New" w:hAnsi="Courier New"/>
          <w:sz w:val="20"/>
          <w:szCs w:val="20"/>
        </w:rPr>
        <w:t xml:space="preserve">6.3. Affinité des flux</w:t>
      </w:r>
    </w:p>
    <w:p>
      <w:pPr>
        <w:spacing w:after="0"/>
        <w:ind w:left="360"/>
      </w:pPr>
      <w:r>
        <w:rPr>
          <w:rFonts w:ascii="Courier New" w:cs="Courier New" w:eastAsia="Courier New" w:hAnsi="Courier New"/>
          <w:sz w:val="20"/>
          <w:szCs w:val="20"/>
        </w:rPr>
        <w:t xml:space="preserve">7. Sessions</w:t>
      </w:r>
    </w:p>
    <w:p>
      <w:pPr>
        <w:spacing w:after="0"/>
        <w:ind w:left="720"/>
      </w:pPr>
      <w:r>
        <w:rPr>
          <w:rFonts w:ascii="Courier New" w:cs="Courier New" w:eastAsia="Courier New" w:hAnsi="Courier New"/>
          <w:sz w:val="20"/>
          <w:szCs w:val="20"/>
        </w:rPr>
        <w:t xml:space="preserve">7.1. Transport</w:t>
      </w:r>
    </w:p>
    <w:p>
      <w:pPr>
        <w:spacing w:after="0"/>
        <w:ind w:left="720"/>
      </w:pPr>
      <w:r>
        <w:rPr>
          <w:rFonts w:ascii="Courier New" w:cs="Courier New" w:eastAsia="Courier New" w:hAnsi="Courier New"/>
          <w:sz w:val="20"/>
          <w:szCs w:val="20"/>
        </w:rPr>
        <w:t xml:space="preserve">7.2. Format commun</w:t>
      </w:r>
    </w:p>
    <w:p>
      <w:pPr>
        <w:spacing w:after="0"/>
        <w:ind w:left="720"/>
      </w:pPr>
      <w:r>
        <w:rPr>
          <w:rFonts w:ascii="Courier New" w:cs="Courier New" w:eastAsia="Courier New" w:hAnsi="Courier New"/>
          <w:sz w:val="20"/>
          <w:szCs w:val="20"/>
        </w:rPr>
        <w:t xml:space="preserve">7.3. Poignée de main</w:t>
      </w:r>
    </w:p>
    <w:p>
      <w:pPr>
        <w:spacing w:after="0"/>
        <w:ind w:left="720"/>
      </w:pPr>
      <w:r>
        <w:rPr>
          <w:rFonts w:ascii="Courier New" w:cs="Courier New" w:eastAsia="Courier New" w:hAnsi="Courier New"/>
          <w:sz w:val="20"/>
          <w:szCs w:val="20"/>
        </w:rPr>
        <w:t xml:space="preserve">7.4. Clés de session</w:t>
      </w:r>
    </w:p>
    <w:p>
      <w:pPr>
        <w:spacing w:after="0"/>
        <w:ind w:left="720"/>
      </w:pPr>
      <w:r>
        <w:rPr>
          <w:rFonts w:ascii="Courier New" w:cs="Courier New" w:eastAsia="Courier New" w:hAnsi="Courier New"/>
          <w:sz w:val="20"/>
          <w:szCs w:val="20"/>
        </w:rPr>
        <w:t xml:space="preserve">7.5. Trame de données</w:t>
      </w:r>
    </w:p>
    <w:p>
      <w:pPr>
        <w:spacing w:after="0"/>
        <w:ind w:left="720"/>
      </w:pPr>
      <w:r>
        <w:rPr>
          <w:rFonts w:ascii="Courier New" w:cs="Courier New" w:eastAsia="Courier New" w:hAnsi="Courier New"/>
          <w:sz w:val="20"/>
          <w:szCs w:val="20"/>
        </w:rPr>
        <w:t xml:space="preserve">7.6. Établissement, renouvellement et fermeture</w:t>
      </w:r>
    </w:p>
    <w:p>
      <w:pPr>
        <w:spacing w:after="0"/>
        <w:ind w:left="720"/>
      </w:pPr>
      <w:r>
        <w:rPr>
          <w:rFonts w:ascii="Courier New" w:cs="Courier New" w:eastAsia="Courier New" w:hAnsi="Courier New"/>
          <w:sz w:val="20"/>
          <w:szCs w:val="20"/>
        </w:rPr>
        <w:t xml:space="preserve">7.7. Traitement d'une initiation</w:t>
      </w:r>
    </w:p>
    <w:p>
      <w:pPr>
        <w:spacing w:after="0"/>
        <w:ind w:left="360"/>
      </w:pPr>
      <w:r>
        <w:rPr>
          <w:rFonts w:ascii="Courier New" w:cs="Courier New" w:eastAsia="Courier New" w:hAnsi="Courier New"/>
          <w:sz w:val="20"/>
          <w:szCs w:val="20"/>
        </w:rPr>
        <w:t xml:space="preserve">8. Diffusion vers un service</w:t>
      </w:r>
    </w:p>
    <w:p>
      <w:pPr>
        <w:spacing w:after="0"/>
        <w:ind w:left="360"/>
      </w:pPr>
      <w:r>
        <w:rPr>
          <w:rFonts w:ascii="Courier New" w:cs="Courier New" w:eastAsia="Courier New" w:hAnsi="Courier New"/>
          <w:sz w:val="20"/>
          <w:szCs w:val="20"/>
        </w:rPr>
        <w:t xml:space="preserve">9. Encapsulation</w:t>
      </w:r>
    </w:p>
    <w:p>
      <w:pPr>
        <w:spacing w:after="0"/>
        <w:ind w:left="720"/>
      </w:pPr>
      <w:r>
        <w:rPr>
          <w:rFonts w:ascii="Courier New" w:cs="Courier New" w:eastAsia="Courier New" w:hAnsi="Courier New"/>
          <w:sz w:val="20"/>
          <w:szCs w:val="20"/>
        </w:rPr>
        <w:t xml:space="preserve">9.1. MTU</w:t>
      </w:r>
    </w:p>
    <w:p>
      <w:pPr>
        <w:spacing w:after="0"/>
        <w:ind w:left="720"/>
      </w:pPr>
      <w:r>
        <w:rPr>
          <w:rFonts w:ascii="Courier New" w:cs="Courier New" w:eastAsia="Courier New" w:hAnsi="Courier New"/>
          <w:sz w:val="20"/>
          <w:szCs w:val="20"/>
        </w:rPr>
        <w:t xml:space="preserve">9.2. ECN et DSCP</w:t>
      </w:r>
    </w:p>
    <w:p>
      <w:pPr>
        <w:spacing w:after="0"/>
        <w:ind w:left="360"/>
      </w:pPr>
      <w:r>
        <w:rPr>
          <w:rFonts w:ascii="Courier New" w:cs="Courier New" w:eastAsia="Courier New" w:hAnsi="Courier New"/>
          <w:sz w:val="20"/>
          <w:szCs w:val="20"/>
        </w:rPr>
        <w:t xml:space="preserve">10. Paramètres</w:t>
      </w:r>
    </w:p>
    <w:p>
      <w:pPr>
        <w:spacing w:after="0"/>
        <w:ind w:left="360"/>
      </w:pPr>
      <w:r>
        <w:rPr>
          <w:rFonts w:ascii="Courier New" w:cs="Courier New" w:eastAsia="Courier New" w:hAnsi="Courier New"/>
          <w:sz w:val="20"/>
          <w:szCs w:val="20"/>
        </w:rPr>
        <w:t xml:space="preserve">11. Considérations de sécurité</w:t>
      </w:r>
    </w:p>
    <w:p>
      <w:pPr>
        <w:spacing w:after="0"/>
        <w:ind w:left="360"/>
      </w:pPr>
      <w:r>
        <w:rPr>
          <w:rFonts w:ascii="Courier New" w:cs="Courier New" w:eastAsia="Courier New" w:hAnsi="Courier New"/>
          <w:sz w:val="20"/>
          <w:szCs w:val="20"/>
        </w:rPr>
        <w:t xml:space="preserve">12. Considérations IANA</w:t>
      </w:r>
    </w:p>
    <w:p>
      <w:pPr>
        <w:spacing w:after="0"/>
        <w:ind w:left="360"/>
      </w:pPr>
      <w:r>
        <w:rPr>
          <w:rFonts w:ascii="Courier New" w:cs="Courier New" w:eastAsia="Courier New" w:hAnsi="Courier New"/>
          <w:sz w:val="20"/>
          <w:szCs w:val="20"/>
        </w:rPr>
        <w:t xml:space="preserve">13. Références</w:t>
      </w:r>
    </w:p>
    <w:p>
      <w:pPr>
        <w:spacing w:after="0"/>
        <w:ind w:left="720"/>
      </w:pPr>
      <w:r>
        <w:rPr>
          <w:rFonts w:ascii="Courier New" w:cs="Courier New" w:eastAsia="Courier New" w:hAnsi="Courier New"/>
          <w:sz w:val="20"/>
          <w:szCs w:val="20"/>
        </w:rPr>
        <w:t xml:space="preserve">13.1. Références normatives</w:t>
      </w:r>
    </w:p>
    <w:p>
      <w:pPr>
        <w:spacing w:after="0"/>
        <w:ind w:left="720"/>
      </w:pPr>
      <w:r>
        <w:rPr>
          <w:rFonts w:ascii="Courier New" w:cs="Courier New" w:eastAsia="Courier New" w:hAnsi="Courier New"/>
          <w:sz w:val="20"/>
          <w:szCs w:val="20"/>
        </w:rPr>
        <w:t xml:space="preserve">13.2. Références informatives</w:t>
      </w:r>
    </w:p>
    <w:p>
      <w:pPr>
        <w:spacing w:after="0"/>
        <w:ind w:left="360"/>
      </w:pPr>
      <w:r>
        <w:rPr>
          <w:rFonts w:ascii="Courier New" w:cs="Courier New" w:eastAsia="Courier New" w:hAnsi="Courier New"/>
          <w:sz w:val="20"/>
          <w:szCs w:val="20"/>
        </w:rPr>
        <w:t xml:space="preserve">Annexe A. Exemple de taille de trame</w:t>
      </w:r>
    </w:p>
    <w:p>
      <w:pPr>
        <w:spacing w:after="0"/>
        <w:ind w:left="360"/>
      </w:pPr>
      <w:r>
        <w:rPr>
          <w:rFonts w:ascii="Courier New" w:cs="Courier New" w:eastAsia="Courier New" w:hAnsi="Courier New"/>
          <w:sz w:val="20"/>
          <w:szCs w:val="20"/>
        </w:rPr>
        <w:t xml:space="preserve">Annexe B. Écarts avec le concept initial</w:t>
      </w:r>
    </w:p>
    <w:p>
      <w:pPr>
        <w:spacing w:after="0"/>
        <w:ind w:left="360"/>
      </w:pPr>
      <w:r>
        <w:rPr>
          <w:rFonts w:ascii="Courier New" w:cs="Courier New" w:eastAsia="Courier New" w:hAnsi="Courier New"/>
          <w:sz w:val="20"/>
          <w:szCs w:val="20"/>
        </w:rPr>
        <w:t xml:space="preserve">Annexe C. Modifications depuis draft-usmd-sp-00</w:t>
      </w:r>
    </w:p>
    <w:p>
      <w:pPr>
        <w:pStyle w:val="Heading1"/>
        <w:keepNext/>
        <w:pageBreakBefore/>
        <w:spacing w:after="120" w:before="0"/>
      </w:pPr>
      <w:r>
        <w:rPr>
          <w:rFonts w:ascii="Courier New" w:cs="Courier New" w:eastAsia="Courier New" w:hAnsi="Courier New"/>
          <w:b/>
          <w:bCs/>
          <w:sz w:val="22"/>
          <w:szCs w:val="22"/>
        </w:rPr>
        <w:t xml:space="preserve">1. Introduction</w:t>
      </w:r>
    </w:p>
    <w:p>
      <w:pPr>
        <w:pStyle w:val="Heading2"/>
        <w:keepNext/>
        <w:spacing w:after="120" w:before="240"/>
      </w:pPr>
      <w:r>
        <w:rPr>
          <w:rFonts w:ascii="Courier New" w:cs="Courier New" w:eastAsia="Courier New" w:hAnsi="Courier New"/>
          <w:b/>
          <w:bCs/>
          <w:sz w:val="20"/>
          <w:szCs w:val="20"/>
        </w:rPr>
        <w:t xml:space="preserve">1.1. Contexte</w:t>
      </w:r>
    </w:p>
    <w:p>
      <w:pPr>
        <w:spacing w:after="120" w:before="0" w:line="240"/>
        <w:ind w:left="360"/>
        <w:jc w:val="left"/>
      </w:pPr>
      <w:r>
        <w:rPr>
          <w:rFonts w:ascii="Courier New" w:cs="Courier New" w:eastAsia="Courier New" w:hAnsi="Courier New"/>
          <w:sz w:val="20"/>
          <w:szCs w:val="20"/>
        </w:rPr>
        <w:t xml:space="preserve">Dans un système USMD-RDSH [USMD-ARCH], un même service peut être hébergé simultanément par plusieurs nœuds, et les nœuds qui l'hébergent changent au gré des transmutations. Un service client, par exemple un serveur web, doit néanmoins pouvoir joindre un service dont il dépend, par exemple une base de données, au moyen d'une adresse unique et stable, sans connaître les nœuds qui l'hébergent à un instant donné.</w:t>
      </w:r>
    </w:p>
    <w:p>
      <w:pPr>
        <w:spacing w:after="120" w:before="0" w:line="240"/>
        <w:ind w:left="360"/>
        <w:jc w:val="left"/>
      </w:pPr>
      <w:r>
        <w:rPr>
          <w:rFonts w:ascii="Courier New" w:cs="Courier New" w:eastAsia="Courier New" w:hAnsi="Courier New"/>
          <w:sz w:val="20"/>
          <w:szCs w:val="20"/>
        </w:rPr>
        <w:t xml:space="preserve">SP répond à ce besoin. Il associe à chaque service une adresse IPv4 virtuelle et achemine, de manière chiffrée et authentifiée, les paquets adressés à cette adresse vers l'un des nœuds qui hébergent le service. Du point de vue du service client, il n'existe qu'une seule instance du service distant.</w:t>
      </w:r>
    </w:p>
    <w:p>
      <w:pPr>
        <w:pStyle w:val="Heading2"/>
        <w:keepNext/>
        <w:spacing w:after="120" w:before="240"/>
      </w:pPr>
      <w:r>
        <w:rPr>
          <w:rFonts w:ascii="Courier New" w:cs="Courier New" w:eastAsia="Courier New" w:hAnsi="Courier New"/>
          <w:b/>
          <w:bCs/>
          <w:sz w:val="20"/>
          <w:szCs w:val="20"/>
        </w:rPr>
        <w:t xml:space="preserve">1.2. Portée</w:t>
      </w:r>
    </w:p>
    <w:p>
      <w:pPr>
        <w:spacing w:after="120" w:before="0" w:line="240"/>
        <w:ind w:left="360"/>
        <w:jc w:val="left"/>
      </w:pPr>
      <w:r>
        <w:rPr>
          <w:rFonts w:ascii="Courier New" w:cs="Courier New" w:eastAsia="Courier New" w:hAnsi="Courier New"/>
          <w:sz w:val="20"/>
          <w:szCs w:val="20"/>
        </w:rPr>
        <w:t xml:space="preserve">Ce document définit :</w:t>
      </w:r>
    </w:p>
    <w:p>
      <w:pPr>
        <w:pStyle w:val="ListParagraph"/>
        <w:numPr>
          <w:ilvl w:val="0"/>
          <w:numId w:val="2"/>
        </w:numPr>
        <w:spacing w:after="60" w:line="240"/>
      </w:pPr>
      <w:r>
        <w:rPr>
          <w:rFonts w:ascii="Courier New" w:cs="Courier New" w:eastAsia="Courier New" w:hAnsi="Courier New"/>
          <w:sz w:val="20"/>
          <w:szCs w:val="20"/>
        </w:rPr>
        <w:t xml:space="preserve">l'usage des aires de service, des VIP et des adresses SP, et l'isolation des aires ;</w:t>
      </w:r>
    </w:p>
    <w:p>
      <w:pPr>
        <w:pStyle w:val="ListParagraph"/>
        <w:numPr>
          <w:ilvl w:val="0"/>
          <w:numId w:val="2"/>
        </w:numPr>
        <w:spacing w:after="60" w:line="240"/>
      </w:pPr>
      <w:r>
        <w:rPr>
          <w:rFonts w:ascii="Courier New" w:cs="Courier New" w:eastAsia="Courier New" w:hAnsi="Courier New"/>
          <w:sz w:val="20"/>
          <w:szCs w:val="20"/>
        </w:rPr>
        <w:t xml:space="preserve">le fonctionnement de l'interface TUN et de la traduction d'adresse de service ;</w:t>
      </w:r>
    </w:p>
    <w:p>
      <w:pPr>
        <w:pStyle w:val="ListParagraph"/>
        <w:numPr>
          <w:ilvl w:val="0"/>
          <w:numId w:val="2"/>
        </w:numPr>
        <w:spacing w:after="60" w:line="240"/>
      </w:pPr>
      <w:r>
        <w:rPr>
          <w:rFonts w:ascii="Courier New" w:cs="Courier New" w:eastAsia="Courier New" w:hAnsi="Courier New"/>
          <w:sz w:val="20"/>
          <w:szCs w:val="20"/>
        </w:rPr>
        <w:t xml:space="preserve">le choix du nœud de destination et l'affinité des flux ;</w:t>
      </w:r>
    </w:p>
    <w:p>
      <w:pPr>
        <w:pStyle w:val="ListParagraph"/>
        <w:numPr>
          <w:ilvl w:val="0"/>
          <w:numId w:val="2"/>
        </w:numPr>
        <w:spacing w:after="60" w:line="240"/>
      </w:pPr>
      <w:r>
        <w:rPr>
          <w:rFonts w:ascii="Courier New" w:cs="Courier New" w:eastAsia="Courier New" w:hAnsi="Courier New"/>
          <w:sz w:val="20"/>
          <w:szCs w:val="20"/>
        </w:rPr>
        <w:t xml:space="preserve">l'établissement des sessions, la dérivation des clés et le format des trames ;</w:t>
      </w:r>
    </w:p>
    <w:p>
      <w:pPr>
        <w:pStyle w:val="ListParagraph"/>
        <w:numPr>
          <w:ilvl w:val="0"/>
          <w:numId w:val="2"/>
        </w:numPr>
        <w:spacing w:after="60" w:line="240"/>
      </w:pPr>
      <w:r>
        <w:rPr>
          <w:rFonts w:ascii="Courier New" w:cs="Courier New" w:eastAsia="Courier New" w:hAnsi="Courier New"/>
          <w:sz w:val="20"/>
          <w:szCs w:val="20"/>
        </w:rPr>
        <w:t xml:space="preserve">l'encapsulation, la MTU, le traitement d'ECN et la diffusion vers un service.</w:t>
      </w:r>
    </w:p>
    <w:p>
      <w:pPr>
        <w:spacing w:after="120" w:before="0" w:line="240"/>
        <w:ind w:left="360"/>
        <w:jc w:val="left"/>
      </w:pPr>
      <w:r>
        <w:rPr>
          <w:rFonts w:ascii="Courier New" w:cs="Courier New" w:eastAsia="Courier New" w:hAnsi="Courier New"/>
          <w:sz w:val="20"/>
          <w:szCs w:val="20"/>
        </w:rPr>
        <w:t xml:space="preserve">Il ne définit pas la découverte des nœuds ([USMD-NNDP]), l'échange d'état et de configuration entre nœuds ([USMD-NCP]), ni la structure des services et des mutations ([USMD-ARCH]). SP n'utilise pas NCP pour transporter le trafic ; il exploite en revanche les tables que NCP alimente.</w:t>
      </w:r>
    </w:p>
    <w:p>
      <w:pPr>
        <w:pStyle w:val="Heading1"/>
        <w:keepNext/>
        <w:spacing w:after="120" w:before="360"/>
      </w:pPr>
      <w:r>
        <w:rPr>
          <w:rFonts w:ascii="Courier New" w:cs="Courier New" w:eastAsia="Courier New" w:hAnsi="Courier New"/>
          <w:b/>
          <w:bCs/>
          <w:sz w:val="22"/>
          <w:szCs w:val="22"/>
        </w:rPr>
        <w:t xml:space="preserve">2. Conventions et terminologie</w:t>
      </w:r>
    </w:p>
    <w:p>
      <w:pPr>
        <w:spacing w:after="120" w:before="0" w:line="240"/>
        <w:ind w:left="360"/>
        <w:jc w:val="left"/>
      </w:pPr>
      <w:r>
        <w:rPr>
          <w:rFonts w:ascii="Courier New" w:cs="Courier New" w:eastAsia="Courier New" w:hAnsi="Courier New"/>
          <w:sz w:val="20"/>
          <w:szCs w:val="20"/>
        </w:rPr>
        <w:t xml:space="preserve">Les mots-clés « DOIT », « NE DOIT PAS », « OBLIGATOIRE », « DEVRAIT », « NE DEVRAIT PAS », « RECOMMANDÉ », « PEUT » et « FACULTATIF » doivent être interprétés comme décrit dans le BCP 14 [RFC2119] [RFC8174] lorsqu'ils apparaissent en majuscules, comme ici. Ils correspondent respectivement aux mots-clés anglais MUST, MUST NOT, REQUIRED, SHOULD, SHOULD NOT, RECOMMENDED, MAY et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3"/>
        <w:gridCol w:w="7603"/>
      </w:tblGrid>
      <w:tr>
        <w:trPr>
          <w:cantSplit/>
          <w:tblHeader/>
        </w:trPr>
        <w:tc>
          <w:tcPr>
            <w:tcW w:type="dxa" w:w="142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Terme</w:t>
            </w:r>
          </w:p>
        </w:tc>
        <w:tc>
          <w:tcPr>
            <w:tcW w:type="dxa" w:w="760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Définition</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Ensemble de processus décrit par un fichier de service et hébergé par un ou plusieurs nœuds [USMD-ARCH]</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Aire de service</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Plan d'adressage IPv4 d'un USD portant un WVNN ; les services d'une aire ne peuvent pas joindre ceux d'une autre [USMD-ARCH], section 11.2</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VIP</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 virtuelle attribuée à un service par le catalogue des services, dans le préfixe de son aire</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de groupe</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 de diffusion attribuée à un service par le catalogue, prise dans 239.0.0.0/8</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Couple (identifiant de service, identifiant de gestion) désignant un service sur un nœud, noté sss.nnnn [USMD-ARCH], section 11.3</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WVNN</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Wide Virtual Node Network : réseau virtuel formé par les VIP d'une aire et les sessions SP qui relient les nœuds de cette aire</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Interface SP</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Interface virtuelle de type TUN par laquelle le système d'exploitation remet à SP les paquets destinés au WVNN</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SAT</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 Address Translation : choix du nœud de destination et encapsulation d'un paquet destiné à une VIP</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interne</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IPv4 lu ou écrit sur l'interface SP</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Session</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Association de sécurité bidirectionnelle entre deux nœuds, établie par une poignée de main</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Flux</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Suite de paquets internes partageant le même protocole, les mêmes adresses et, le cas échéant, les mêmes ports</w:t>
            </w:r>
          </w:p>
        </w:tc>
      </w:tr>
      <w:tr>
        <w:trPr>
          <w:cantSplit/>
        </w:trPr>
        <w:tc>
          <w:tcPr>
            <w:tcW w:type="dxa" w:w="142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Pair</w:t>
            </w:r>
          </w:p>
        </w:tc>
        <w:tc>
          <w:tcPr>
            <w:tcW w:type="dxa" w:w="760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à l'autre extrémité d'une session</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3. Vue d'ensemble</w:t>
      </w:r>
    </w:p>
    <w:p>
      <w:pPr>
        <w:spacing w:after="120" w:before="0" w:line="240"/>
        <w:ind w:left="360"/>
        <w:jc w:val="left"/>
      </w:pPr>
      <w:r>
        <w:rPr>
          <w:rFonts w:ascii="Courier New" w:cs="Courier New" w:eastAsia="Courier New" w:hAnsi="Courier New"/>
          <w:sz w:val="20"/>
          <w:szCs w:val="20"/>
        </w:rPr>
        <w:t xml:space="preserve">Dans l'aire « prod » (192.168.1.0/24), le nœud A héberge le service web (identifiant 0a1, VIP 192.168.1.10) avec l'adresse SP 0a1.5d68, et les nœuds B et C hébergent la base de données (identifiant 0b2, VIP 192.168.1.20) avec les adresses SP 0b2.0007 et 0b2.0012. Le service web ouvre une connexion vers 192.168.1.20 :</w:t>
      </w:r>
    </w:p>
    <w:p>
      <w:pPr>
        <w:keepNext/>
        <w:keepLines/>
        <w:spacing w:after="0" w:line="220"/>
        <w:ind w:left="360"/>
      </w:pPr>
      <w:r>
        <w:rPr>
          <w:rFonts w:ascii="Courier New" w:cs="Courier New" w:eastAsia="Courier New" w:hAnsi="Courier New"/>
          <w:sz w:val="18"/>
          <w:szCs w:val="18"/>
        </w:rPr>
        <w:t xml:space="preserve">  Nœud A (web, 192.168.1.10)                 Nœud B (base, 192.168.1.20)</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 service web            |                 | base de données        |</w:t>
      </w:r>
    </w:p>
    <w:p>
      <w:pPr>
        <w:keepNext/>
        <w:keepLines/>
        <w:spacing w:after="0" w:line="220"/>
        <w:ind w:left="360"/>
      </w:pPr>
      <w:r>
        <w:rPr>
          <w:rFonts w:ascii="Courier New" w:cs="Courier New" w:eastAsia="Courier New" w:hAnsi="Courier New"/>
          <w:sz w:val="18"/>
          <w:szCs w:val="18"/>
        </w:rPr>
        <w:t xml:space="preserve">  |   | dst 192.168.1.20   |                 |   ^                    |</w:t>
      </w:r>
    </w:p>
    <w:p>
      <w:pPr>
        <w:keepNext/>
        <w:keepLines/>
        <w:spacing w:after="0" w:line="220"/>
        <w:ind w:left="360"/>
      </w:pPr>
      <w:r>
        <w:rPr>
          <w:rFonts w:ascii="Courier New" w:cs="Courier New" w:eastAsia="Courier New" w:hAnsi="Courier New"/>
          <w:sz w:val="18"/>
          <w:szCs w:val="18"/>
        </w:rPr>
        <w:t xml:space="preserve">  |   v                    |                 |   |                    |</w:t>
      </w:r>
    </w:p>
    <w:p>
      <w:pPr>
        <w:keepNext/>
        <w:keepLines/>
        <w:spacing w:after="0" w:line="220"/>
        <w:ind w:left="360"/>
      </w:pPr>
      <w:r>
        <w:rPr>
          <w:rFonts w:ascii="Courier New" w:cs="Courier New" w:eastAsia="Courier New" w:hAnsi="Courier New"/>
          <w:sz w:val="18"/>
          <w:szCs w:val="18"/>
        </w:rPr>
        <w:t xml:space="preserve">  | interface SP (TUN)     |                 | interface SP (TUN)     |</w:t>
      </w:r>
    </w:p>
    <w:p>
      <w:pPr>
        <w:keepNext/>
        <w:keepLines/>
        <w:spacing w:after="0" w:line="220"/>
        <w:ind w:left="360"/>
      </w:pPr>
      <w:r>
        <w:rPr>
          <w:rFonts w:ascii="Courier New" w:cs="Courier New" w:eastAsia="Courier New" w:hAnsi="Courier New"/>
          <w:sz w:val="18"/>
          <w:szCs w:val="18"/>
        </w:rPr>
        <w:t xml:space="preserve">  |   | SAT : choix de B   |                 |   ^ décapsulation      |</w:t>
      </w:r>
    </w:p>
    <w:p>
      <w:pPr>
        <w:keepNext/>
        <w:keepLines/>
        <w:spacing w:after="0" w:line="220"/>
        <w:ind w:left="360"/>
      </w:pPr>
      <w:r>
        <w:rPr>
          <w:rFonts w:ascii="Courier New" w:cs="Courier New" w:eastAsia="Courier New" w:hAnsi="Courier New"/>
          <w:sz w:val="18"/>
          <w:szCs w:val="18"/>
        </w:rPr>
        <w:t xml:space="preserve">  |   v                    |   UDP, chiffré  |   |                    |</w:t>
      </w:r>
    </w:p>
    <w:p>
      <w:pPr>
        <w:keepNext/>
        <w:keepLines/>
        <w:spacing w:after="0" w:line="220"/>
        <w:ind w:left="360"/>
      </w:pPr>
      <w:r>
        <w:rPr>
          <w:rFonts w:ascii="Courier New" w:cs="Courier New" w:eastAsia="Courier New" w:hAnsi="Courier New"/>
          <w:sz w:val="18"/>
          <w:szCs w:val="18"/>
        </w:rPr>
        <w:t xml:space="preserve">  | SP --------------------------------------&gt;  SP                    |</w:t>
      </w:r>
    </w:p>
    <w:p>
      <w:pPr>
        <w:keepLines/>
        <w:spacing w:after="120" w:line="220"/>
        <w:ind w:left="360"/>
      </w:pPr>
      <w:r>
        <w:rPr>
          <w:rFonts w:ascii="Courier New" w:cs="Courier New" w:eastAsia="Courier New" w:hAnsi="Courier New"/>
          <w:sz w:val="18"/>
          <w:szCs w:val="18"/>
        </w:rPr>
        <w:t xml:space="preserve">  +------------------------+  10.0.0.1 -&gt; 10.0.0.2  +-----------------+</w:t>
      </w:r>
    </w:p>
    <w:p>
      <w:pPr>
        <w:pStyle w:val="ListParagraph"/>
        <w:numPr>
          <w:ilvl w:val="0"/>
          <w:numId w:val="2"/>
        </w:numPr>
        <w:spacing w:after="60" w:line="240"/>
      </w:pPr>
      <w:r>
        <w:rPr>
          <w:rFonts w:ascii="Courier New" w:cs="Courier New" w:eastAsia="Courier New" w:hAnsi="Courier New"/>
          <w:sz w:val="20"/>
          <w:szCs w:val="20"/>
        </w:rPr>
        <w:t xml:space="preserve">Le système d'exploitation de A route le paquet vers l'interface SP, car 192.168.1.20 appartient au préfixe de l'aire « prod », à laquelle A appartient.</w:t>
      </w:r>
    </w:p>
    <w:p>
      <w:pPr>
        <w:pStyle w:val="ListParagraph"/>
        <w:numPr>
          <w:ilvl w:val="0"/>
          <w:numId w:val="2"/>
        </w:numPr>
        <w:spacing w:after="60" w:line="240"/>
      </w:pPr>
      <w:r>
        <w:rPr>
          <w:rFonts w:ascii="Courier New" w:cs="Courier New" w:eastAsia="Courier New" w:hAnsi="Courier New"/>
          <w:sz w:val="20"/>
          <w:szCs w:val="20"/>
        </w:rPr>
        <w:t xml:space="preserve">SP lit le paquet et identifie le service 0b2 par sa VIP ; l'adresse de destination est donc 0b2.0000, « l'instance la plus proche ». SP la résout en 0b2.0007, l'instance de B, à l'aide de la table des services les plus proches (section 6).</w:t>
      </w:r>
    </w:p>
    <w:p>
      <w:pPr>
        <w:pStyle w:val="ListParagraph"/>
        <w:numPr>
          <w:ilvl w:val="0"/>
          <w:numId w:val="2"/>
        </w:numPr>
        <w:spacing w:after="60" w:line="240"/>
      </w:pPr>
      <w:r>
        <w:rPr>
          <w:rFonts w:ascii="Courier New" w:cs="Courier New" w:eastAsia="Courier New" w:hAnsi="Courier New"/>
          <w:sz w:val="20"/>
          <w:szCs w:val="20"/>
        </w:rPr>
        <w:t xml:space="preserve">SP encapsule le paquet dans une trame de données de la session A-B, établie à la demande (section 7), avec l'adresse SP source 0a1.5d68 et l'adresse SP destination 0b2.0007.</w:t>
      </w:r>
    </w:p>
    <w:p>
      <w:pPr>
        <w:pStyle w:val="ListParagraph"/>
        <w:numPr>
          <w:ilvl w:val="0"/>
          <w:numId w:val="2"/>
        </w:numPr>
        <w:spacing w:after="60" w:line="240"/>
      </w:pPr>
      <w:r>
        <w:rPr>
          <w:rFonts w:ascii="Courier New" w:cs="Courier New" w:eastAsia="Courier New" w:hAnsi="Courier New"/>
          <w:sz w:val="20"/>
          <w:szCs w:val="20"/>
        </w:rPr>
        <w:t xml:space="preserve">B déchiffre la trame, vérifie que 0b2.0007 est l'une de ses adresses, que 0a1.5d68 est attribuée à A et que les deux services appartiennent à la même aire, puis écrit le paquet sur sa propre interface SP. La base de données le reçoit comme s'il venait directement de 192.168.1.10.</w:t>
      </w:r>
    </w:p>
    <w:p>
      <w:pPr>
        <w:pStyle w:val="ListParagraph"/>
        <w:numPr>
          <w:ilvl w:val="0"/>
          <w:numId w:val="2"/>
        </w:numPr>
        <w:spacing w:after="60" w:line="240"/>
      </w:pPr>
      <w:r>
        <w:rPr>
          <w:rFonts w:ascii="Courier New" w:cs="Courier New" w:eastAsia="Courier New" w:hAnsi="Courier New"/>
          <w:sz w:val="20"/>
          <w:szCs w:val="20"/>
        </w:rPr>
        <w:t xml:space="preserve">La réponse de B suit le chemin inverse, vers l'adresse SP 0a1.5d68 enregistrée dans la table des flux (section 6.3) : elle revient à A, même si d'autres nœuds hébergent le service web.</w:t>
      </w:r>
    </w:p>
    <w:p>
      <w:pPr>
        <w:pStyle w:val="Heading1"/>
        <w:keepNext/>
        <w:spacing w:after="120" w:before="360"/>
      </w:pPr>
      <w:r>
        <w:rPr>
          <w:rFonts w:ascii="Courier New" w:cs="Courier New" w:eastAsia="Courier New" w:hAnsi="Courier New"/>
          <w:b/>
          <w:bCs/>
          <w:sz w:val="22"/>
          <w:szCs w:val="22"/>
        </w:rPr>
        <w:t xml:space="preserve">4. Adressage</w:t>
      </w:r>
    </w:p>
    <w:p>
      <w:pPr>
        <w:pStyle w:val="Heading2"/>
        <w:keepNext/>
        <w:spacing w:after="120" w:before="240"/>
      </w:pPr>
      <w:r>
        <w:rPr>
          <w:rFonts w:ascii="Courier New" w:cs="Courier New" w:eastAsia="Courier New" w:hAnsi="Courier New"/>
          <w:b/>
          <w:bCs/>
          <w:sz w:val="20"/>
          <w:szCs w:val="20"/>
        </w:rPr>
        <w:t xml:space="preserve">4.1. Aires de service</w:t>
      </w:r>
    </w:p>
    <w:p>
      <w:pPr>
        <w:spacing w:after="120" w:before="0" w:line="240"/>
        <w:ind w:left="360"/>
        <w:jc w:val="left"/>
      </w:pPr>
      <w:r>
        <w:rPr>
          <w:rFonts w:ascii="Courier New" w:cs="Courier New" w:eastAsia="Courier New" w:hAnsi="Courier New"/>
          <w:sz w:val="20"/>
          <w:szCs w:val="20"/>
        </w:rPr>
        <w:t xml:space="preserve">SP fonctionne uniquement en IPv4. Un USD contient une ou plusieurs aires de service, définies dans ses propriétés avec le catalogue des services [USMD-ARCH], section 11 ; chaque aire a un préfixe IPv4 et porte son propre WVNN.</w:t>
      </w:r>
    </w:p>
    <w:p>
      <w:pPr>
        <w:pStyle w:val="ListParagraph"/>
        <w:numPr>
          <w:ilvl w:val="0"/>
          <w:numId w:val="2"/>
        </w:numPr>
        <w:spacing w:after="60" w:line="240"/>
      </w:pPr>
      <w:r>
        <w:rPr>
          <w:rFonts w:ascii="Courier New" w:cs="Courier New" w:eastAsia="Courier New" w:hAnsi="Courier New"/>
          <w:sz w:val="20"/>
          <w:szCs w:val="20"/>
        </w:rPr>
        <w:t xml:space="preserve">Toutes les adresses du préfixe d'une aire sont utilisables, y compris celles dont la partie hôte ne contient que des 0 ou que des 1.</w:t>
      </w:r>
    </w:p>
    <w:p>
      <w:pPr>
        <w:pStyle w:val="ListParagraph"/>
        <w:numPr>
          <w:ilvl w:val="0"/>
          <w:numId w:val="2"/>
        </w:numPr>
        <w:spacing w:after="60" w:line="240"/>
      </w:pPr>
      <w:r>
        <w:rPr>
          <w:rFonts w:ascii="Courier New" w:cs="Courier New" w:eastAsia="Courier New" w:hAnsi="Courier New"/>
          <w:sz w:val="20"/>
          <w:szCs w:val="20"/>
        </w:rPr>
        <w:t xml:space="preserve">Les préfixes des aires NE DOIVENT PAS se recouvrir entre eux, ni recouvrir les adresses que les nœuds utilisent pour communiquer, ni aucun réseau joignable par les nœuds en dehors du WVNN.</w:t>
      </w:r>
    </w:p>
    <w:p>
      <w:pPr>
        <w:pStyle w:val="ListParagraph"/>
        <w:numPr>
          <w:ilvl w:val="0"/>
          <w:numId w:val="2"/>
        </w:numPr>
        <w:spacing w:after="60" w:line="240"/>
      </w:pPr>
      <w:r>
        <w:rPr>
          <w:rFonts w:ascii="Courier New" w:cs="Courier New" w:eastAsia="Courier New" w:hAnsi="Courier New"/>
          <w:sz w:val="20"/>
          <w:szCs w:val="20"/>
        </w:rPr>
        <w:t xml:space="preserve">Il est RECOMMANDÉ de prendre ces plages dans des blocs privés distincts [RFC1918], par exemple 10.0.0.0/8 pour les nœuds et 192.168.1.0/24, 192.168.2.0/24, etc. pour les aires.</w:t>
      </w:r>
    </w:p>
    <w:p>
      <w:pPr>
        <w:pStyle w:val="ListParagraph"/>
        <w:numPr>
          <w:ilvl w:val="0"/>
          <w:numId w:val="2"/>
        </w:numPr>
        <w:spacing w:after="60" w:line="240"/>
      </w:pPr>
      <w:r>
        <w:rPr>
          <w:rFonts w:ascii="Courier New" w:cs="Courier New" w:eastAsia="Courier New" w:hAnsi="Courier New"/>
          <w:sz w:val="20"/>
          <w:szCs w:val="20"/>
        </w:rPr>
        <w:t xml:space="preserve">Les services d'une aire ne peuvent pas joindre ceux d'une autre aire. Un nœud ignore, à l'émission comme à la réception, tout paquet interne dont la source et la destination appartiennent à des aires différentes.</w:t>
      </w:r>
    </w:p>
    <w:p>
      <w:pPr>
        <w:pStyle w:val="Heading2"/>
        <w:keepNext/>
        <w:spacing w:after="120" w:before="240"/>
      </w:pPr>
      <w:r>
        <w:rPr>
          <w:rFonts w:ascii="Courier New" w:cs="Courier New" w:eastAsia="Courier New" w:hAnsi="Courier New"/>
          <w:b/>
          <w:bCs/>
          <w:sz w:val="20"/>
          <w:szCs w:val="20"/>
        </w:rPr>
        <w:t xml:space="preserve">4.2. VIP, adresses de groupe et adresses SP</w:t>
      </w:r>
    </w:p>
    <w:p>
      <w:pPr>
        <w:spacing w:after="120" w:before="0" w:line="240"/>
        <w:ind w:left="360"/>
        <w:jc w:val="left"/>
      </w:pPr>
      <w:r>
        <w:rPr>
          <w:rFonts w:ascii="Courier New" w:cs="Courier New" w:eastAsia="Courier New" w:hAnsi="Courier New"/>
          <w:sz w:val="20"/>
          <w:szCs w:val="20"/>
        </w:rPr>
        <w:t xml:space="preserve">La VIP d'un service, son adresse de groupe éventuelle et son identifiant sont fixés par le catalogue des services. Ils sont transportés et versionnés avec les propriétés de l'USD [USMD-NCP], section 6.9, et sont identiques pour tous les nœuds de l'USD. Une adresse de groupe appartient à 239.0.0.0/8 (portée administrative [RFC2365]).</w:t>
      </w:r>
    </w:p>
    <w:p>
      <w:pPr>
        <w:spacing w:after="120" w:before="0" w:line="240"/>
        <w:ind w:left="360"/>
        <w:jc w:val="left"/>
      </w:pPr>
      <w:r>
        <w:rPr>
          <w:rFonts w:ascii="Courier New" w:cs="Courier New" w:eastAsia="Courier New" w:hAnsi="Courier New"/>
          <w:sz w:val="20"/>
          <w:szCs w:val="20"/>
        </w:rPr>
        <w:t xml:space="preserve">Les applications n'utilisent que les VIP et les adresses de groupe. SP utilise en interne les adresses SP [USMD-ARCH], section 11.3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8"/>
        <w:gridCol w:w="3152"/>
        <w:gridCol w:w="3386"/>
      </w:tblGrid>
      <w:tr>
        <w:trPr>
          <w:cantSplit/>
          <w:tblHeader/>
        </w:trPr>
        <w:tc>
          <w:tcPr>
            <w:tcW w:type="dxa" w:w="24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Adresse IPv4 de destination</w:t>
            </w:r>
          </w:p>
        </w:tc>
        <w:tc>
          <w:tcPr>
            <w:tcW w:type="dxa" w:w="315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Adresse SP de destination</w:t>
            </w:r>
          </w:p>
        </w:tc>
        <w:tc>
          <w:tcPr>
            <w:tcW w:type="dxa" w:w="33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Traitement</w:t>
            </w:r>
          </w:p>
        </w:tc>
      </w:tr>
      <w:tr>
        <w:trPr>
          <w:cantSplit/>
        </w:trPr>
        <w:tc>
          <w:tcPr>
            <w:tcW w:type="dxa" w:w="24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VIP du service sss</w:t>
            </w:r>
          </w:p>
        </w:tc>
        <w:tc>
          <w:tcPr>
            <w:tcW w:type="dxa" w:w="31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sss.0000, résolue en sss.nnnn avant l'envoi</w:t>
            </w:r>
          </w:p>
        </w:tc>
        <w:tc>
          <w:tcPr>
            <w:tcW w:type="dxa" w:w="33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Unicast vers une instance (section 6)</w:t>
            </w:r>
          </w:p>
        </w:tc>
      </w:tr>
      <w:tr>
        <w:trPr>
          <w:cantSplit/>
        </w:trPr>
        <w:tc>
          <w:tcPr>
            <w:tcW w:type="dxa" w:w="24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de groupe du service sss</w:t>
            </w:r>
          </w:p>
        </w:tc>
        <w:tc>
          <w:tcPr>
            <w:tcW w:type="dxa" w:w="31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sss.ffff</w:t>
            </w:r>
          </w:p>
        </w:tc>
        <w:tc>
          <w:tcPr>
            <w:tcW w:type="dxa" w:w="33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Diffusion vers toutes les instances (section 8)</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L'adresse SP source d'un paquet est celle du nœud émetteur pour le service dont la VIP est la source du paquet. Un nœud obtient ses identifiants de gestion du maître USD [USMD-NCP], section 6.15, avant de pouvoir émettre.</w:t>
      </w:r>
    </w:p>
    <w:p>
      <w:pPr>
        <w:pStyle w:val="Heading2"/>
        <w:keepNext/>
        <w:spacing w:after="120" w:before="240"/>
      </w:pPr>
      <w:r>
        <w:rPr>
          <w:rFonts w:ascii="Courier New" w:cs="Courier New" w:eastAsia="Courier New" w:hAnsi="Courier New"/>
          <w:b/>
          <w:bCs/>
          <w:sz w:val="20"/>
          <w:szCs w:val="20"/>
        </w:rPr>
        <w:t xml:space="preserve">4.3. Tables</w:t>
      </w:r>
    </w:p>
    <w:p>
      <w:pPr>
        <w:spacing w:after="120" w:before="0" w:line="240"/>
        <w:ind w:left="360"/>
        <w:jc w:val="left"/>
      </w:pPr>
      <w:r>
        <w:rPr>
          <w:rFonts w:ascii="Courier New" w:cs="Courier New" w:eastAsia="Courier New" w:hAnsi="Courier New"/>
          <w:sz w:val="20"/>
          <w:szCs w:val="20"/>
        </w:rPr>
        <w:t xml:space="preserve">Chaque nœud tient les tables suivantes.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0"/>
        <w:gridCol w:w="2105"/>
        <w:gridCol w:w="2971"/>
        <w:gridCol w:w="2020"/>
      </w:tblGrid>
      <w:tr>
        <w:trPr>
          <w:cantSplit/>
          <w:tblHeader/>
        </w:trPr>
        <w:tc>
          <w:tcPr>
            <w:tcW w:type="dxa" w:w="193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Table</w:t>
            </w:r>
          </w:p>
        </w:tc>
        <w:tc>
          <w:tcPr>
            <w:tcW w:type="dxa" w:w="210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Clé</w:t>
            </w:r>
          </w:p>
        </w:tc>
        <w:tc>
          <w:tcPr>
            <w:tcW w:type="dxa" w:w="297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Contenu</w:t>
            </w:r>
          </w:p>
        </w:tc>
        <w:tc>
          <w:tcPr>
            <w:tcW w:type="dxa" w:w="202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Source</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SP/VIP</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VIP ou adresse de groupe</w:t>
            </w:r>
          </w:p>
        </w:tc>
        <w:tc>
          <w:tcPr>
            <w:tcW w:type="dxa" w:w="29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service et de son aire</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Catalogue des services (NCP)</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adresses SP</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w:t>
            </w:r>
          </w:p>
        </w:tc>
        <w:tc>
          <w:tcPr>
            <w:tcW w:type="dxa" w:w="29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auquel l'adresse est attribuée</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Fiches de nœud (NCP, Send_node_table)</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services les plus proches</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service</w:t>
            </w:r>
          </w:p>
        </w:tc>
        <w:tc>
          <w:tcPr>
            <w:tcW w:type="dxa" w:w="29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 plus K instances (adresses SP) avec leur distance</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HIA (NNDP, section 6.5)</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sessions</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local de session</w:t>
            </w:r>
          </w:p>
        </w:tc>
        <w:tc>
          <w:tcPr>
            <w:tcW w:type="dxa" w:w="29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Pair, clés, compteurs, fenêtre anti-rejeu, dates</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Poignées de main SP</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flux</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Quintuplet du flux</w:t>
            </w:r>
          </w:p>
        </w:tc>
        <w:tc>
          <w:tcPr>
            <w:tcW w:type="dxa" w:w="29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 du correspondant, sens, date de dernière activité</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Trafic SP</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Cache de diffusion</w:t>
            </w:r>
          </w:p>
        </w:tc>
        <w:tc>
          <w:tcPr>
            <w:tcW w:type="dxa" w:w="210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du pair, identifiant de diffusion)</w:t>
            </w:r>
          </w:p>
        </w:tc>
        <w:tc>
          <w:tcPr>
            <w:tcW w:type="dxa" w:w="29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de réception</w:t>
            </w:r>
          </w:p>
        </w:tc>
        <w:tc>
          <w:tcPr>
            <w:tcW w:type="dxa" w:w="20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Trames de diffusion reçues</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5. Interface SP et traduction d'adresse de service</w:t>
      </w:r>
    </w:p>
    <w:p>
      <w:pPr>
        <w:pStyle w:val="Heading2"/>
        <w:keepNext/>
        <w:spacing w:after="120" w:before="240"/>
      </w:pPr>
      <w:r>
        <w:rPr>
          <w:rFonts w:ascii="Courier New" w:cs="Courier New" w:eastAsia="Courier New" w:hAnsi="Courier New"/>
          <w:b/>
          <w:bCs/>
          <w:sz w:val="20"/>
          <w:szCs w:val="20"/>
        </w:rPr>
        <w:t xml:space="preserve">5.1. Configuration de l'interface</w:t>
      </w:r>
    </w:p>
    <w:p>
      <w:pPr>
        <w:spacing w:after="120" w:before="0" w:line="240"/>
        <w:ind w:left="360"/>
        <w:jc w:val="left"/>
      </w:pPr>
      <w:r>
        <w:rPr>
          <w:rFonts w:ascii="Courier New" w:cs="Courier New" w:eastAsia="Courier New" w:hAnsi="Courier New"/>
          <w:sz w:val="20"/>
          <w:szCs w:val="20"/>
        </w:rPr>
        <w:t xml:space="preserve">Chaque nœud crée une interface SP de type TUN, qui échange des paquets IPv4 sans en-tête de liaison.</w:t>
      </w:r>
    </w:p>
    <w:p>
      <w:pPr>
        <w:pStyle w:val="ListParagraph"/>
        <w:numPr>
          <w:ilvl w:val="0"/>
          <w:numId w:val="2"/>
        </w:numPr>
        <w:spacing w:after="60" w:line="240"/>
      </w:pPr>
      <w:r>
        <w:rPr>
          <w:rFonts w:ascii="Courier New" w:cs="Courier New" w:eastAsia="Courier New" w:hAnsi="Courier New"/>
          <w:sz w:val="20"/>
          <w:szCs w:val="20"/>
        </w:rPr>
        <w:t xml:space="preserve">L'interface porte, comme adresses locales, les VIP de tous les services hébergés par le nœud, et seulement celles-ci.</w:t>
      </w:r>
    </w:p>
    <w:p>
      <w:pPr>
        <w:pStyle w:val="ListParagraph"/>
        <w:numPr>
          <w:ilvl w:val="0"/>
          <w:numId w:val="2"/>
        </w:numPr>
        <w:spacing w:after="60" w:line="240"/>
      </w:pPr>
      <w:r>
        <w:rPr>
          <w:rFonts w:ascii="Courier New" w:cs="Courier New" w:eastAsia="Courier New" w:hAnsi="Courier New"/>
          <w:sz w:val="20"/>
          <w:szCs w:val="20"/>
        </w:rPr>
        <w:t xml:space="preserve">Pour chaque aire à laquelle le nœud appartient, une route vers le préfixe de l'aire DOIT désigner l'interface SP. Le nœud NE DOIT PAS installer de route vers le préfixe d'une aire à laquelle il n'appartient pas.</w:t>
      </w:r>
    </w:p>
    <w:p>
      <w:pPr>
        <w:pStyle w:val="ListParagraph"/>
        <w:numPr>
          <w:ilvl w:val="0"/>
          <w:numId w:val="2"/>
        </w:numPr>
        <w:spacing w:after="60" w:line="240"/>
      </w:pPr>
      <w:r>
        <w:rPr>
          <w:rFonts w:ascii="Courier New" w:cs="Courier New" w:eastAsia="Courier New" w:hAnsi="Courier New"/>
          <w:sz w:val="20"/>
          <w:szCs w:val="20"/>
        </w:rPr>
        <w:t xml:space="preserve">Le nœud DOIT rejoindre, sur l'interface SP, les adresses de groupe des services qu'il héberge, et DOIT installer une route vers 239.0.0.0/8 désignant l'interface SP pour les adresses de groupe connues.</w:t>
      </w:r>
    </w:p>
    <w:p>
      <w:pPr>
        <w:pStyle w:val="ListParagraph"/>
        <w:numPr>
          <w:ilvl w:val="0"/>
          <w:numId w:val="2"/>
        </w:numPr>
        <w:spacing w:after="60" w:line="240"/>
      </w:pPr>
      <w:r>
        <w:rPr>
          <w:rFonts w:ascii="Courier New" w:cs="Courier New" w:eastAsia="Courier New" w:hAnsi="Courier New"/>
          <w:sz w:val="20"/>
          <w:szCs w:val="20"/>
        </w:rPr>
        <w:t xml:space="preserve">La MTU de l'interface est fixée selon la section 9.1.</w:t>
      </w:r>
    </w:p>
    <w:p>
      <w:pPr>
        <w:spacing w:after="120" w:before="0" w:line="240"/>
        <w:ind w:left="360"/>
        <w:jc w:val="left"/>
      </w:pPr>
      <w:r>
        <w:rPr>
          <w:rFonts w:ascii="Courier New" w:cs="Courier New" w:eastAsia="Courier New" w:hAnsi="Courier New"/>
          <w:sz w:val="20"/>
          <w:szCs w:val="20"/>
        </w:rPr>
        <w:t xml:space="preserve">Les VIP d'un nœud ne sont joignables que localement et à travers SP : un nœud NE DOIT PAS répondre aux requêtes ARP portant sur une VIP sur ses interfaces physiques, ni annoncer le préfixe d'une aire à un routeur.</w:t>
      </w:r>
    </w:p>
    <w:p>
      <w:pPr>
        <w:spacing w:after="120" w:before="0" w:line="240"/>
        <w:ind w:left="360"/>
        <w:jc w:val="left"/>
      </w:pPr>
      <w:r>
        <w:rPr>
          <w:rFonts w:ascii="Courier New" w:cs="Courier New" w:eastAsia="Courier New" w:hAnsi="Courier New"/>
          <w:sz w:val="20"/>
          <w:szCs w:val="20"/>
        </w:rPr>
        <w:t xml:space="preserve">Lorsqu'un service hébergé localement est la destination d'un paquet, le système d'exploitation le remet directement, sans passer par SP : l'instance locale est toujours la moins coûteuse.</w:t>
      </w:r>
    </w:p>
    <w:p>
      <w:pPr>
        <w:spacing w:after="120" w:before="0" w:line="240"/>
        <w:ind w:left="360"/>
        <w:jc w:val="left"/>
      </w:pPr>
      <w:r>
        <w:rPr>
          <w:rFonts w:ascii="Courier New" w:cs="Courier New" w:eastAsia="Courier New" w:hAnsi="Courier New"/>
          <w:sz w:val="20"/>
          <w:szCs w:val="20"/>
        </w:rPr>
        <w:t xml:space="preserve">Seuls les services communiquent à travers le WVNN. L'adresse source d'un paquet interne est donc la VIP d'un service hébergé par le nœud émetteur. Un nœud qui n'héberge aucun service n'émet aucun trafic SP.</w:t>
      </w:r>
    </w:p>
    <w:p>
      <w:pPr>
        <w:pStyle w:val="Heading2"/>
        <w:keepNext/>
        <w:spacing w:after="120" w:before="240"/>
      </w:pPr>
      <w:r>
        <w:rPr>
          <w:rFonts w:ascii="Courier New" w:cs="Courier New" w:eastAsia="Courier New" w:hAnsi="Courier New"/>
          <w:b/>
          <w:bCs/>
          <w:sz w:val="20"/>
          <w:szCs w:val="20"/>
        </w:rPr>
        <w:t xml:space="preserve">5.2. Émission (SAT)</w:t>
      </w:r>
    </w:p>
    <w:p>
      <w:pPr>
        <w:spacing w:after="120" w:before="0" w:line="240"/>
        <w:ind w:left="360"/>
        <w:jc w:val="left"/>
      </w:pPr>
      <w:r>
        <w:rPr>
          <w:rFonts w:ascii="Courier New" w:cs="Courier New" w:eastAsia="Courier New" w:hAnsi="Courier New"/>
          <w:sz w:val="20"/>
          <w:szCs w:val="20"/>
        </w:rPr>
        <w:t xml:space="preserve">Pour chaque paquet lu sur l'interface SP, le nœud :</w:t>
      </w:r>
    </w:p>
    <w:p>
      <w:pPr>
        <w:pStyle w:val="ListParagraph"/>
        <w:numPr>
          <w:ilvl w:val="0"/>
          <w:numId w:val="2"/>
        </w:numPr>
        <w:spacing w:after="60" w:line="240"/>
      </w:pPr>
      <w:r>
        <w:rPr>
          <w:rFonts w:ascii="Courier New" w:cs="Courier New" w:eastAsia="Courier New" w:hAnsi="Courier New"/>
          <w:sz w:val="20"/>
          <w:szCs w:val="20"/>
        </w:rPr>
        <w:t xml:space="preserve">vérifie que le paquet est un datagramme IPv4 bien formé, que sa source est une VIP locale et que sa destination appartient à la table SP/VIP ; sinon, il l'ignore ;</w:t>
      </w:r>
    </w:p>
    <w:p>
      <w:pPr>
        <w:pStyle w:val="ListParagraph"/>
        <w:numPr>
          <w:ilvl w:val="0"/>
          <w:numId w:val="2"/>
        </w:numPr>
        <w:spacing w:after="60" w:line="240"/>
      </w:pPr>
      <w:r>
        <w:rPr>
          <w:rFonts w:ascii="Courier New" w:cs="Courier New" w:eastAsia="Courier New" w:hAnsi="Courier New"/>
          <w:sz w:val="20"/>
          <w:szCs w:val="20"/>
        </w:rPr>
        <w:t xml:space="preserve">vérifie que le service source et le service destination appartiennent à la même aire ; sinon, il ignore le paquet ;</w:t>
      </w:r>
    </w:p>
    <w:p>
      <w:pPr>
        <w:pStyle w:val="ListParagraph"/>
        <w:numPr>
          <w:ilvl w:val="0"/>
          <w:numId w:val="2"/>
        </w:numPr>
        <w:spacing w:after="60" w:line="240"/>
      </w:pPr>
      <w:r>
        <w:rPr>
          <w:rFonts w:ascii="Courier New" w:cs="Courier New" w:eastAsia="Courier New" w:hAnsi="Courier New"/>
          <w:sz w:val="20"/>
          <w:szCs w:val="20"/>
        </w:rPr>
        <w:t xml:space="preserve">détermine l'adresse SP source, formée du service source et de son propre identifiant de gestion pour ce service ;</w:t>
      </w:r>
    </w:p>
    <w:p>
      <w:pPr>
        <w:pStyle w:val="ListParagraph"/>
        <w:numPr>
          <w:ilvl w:val="0"/>
          <w:numId w:val="2"/>
        </w:numPr>
        <w:spacing w:after="60" w:line="240"/>
      </w:pPr>
      <w:r>
        <w:rPr>
          <w:rFonts w:ascii="Courier New" w:cs="Courier New" w:eastAsia="Courier New" w:hAnsi="Courier New"/>
          <w:sz w:val="20"/>
          <w:szCs w:val="20"/>
        </w:rPr>
        <w:t xml:space="preserve">si la destination est une adresse de groupe, applique la section 8 ;</w:t>
      </w:r>
    </w:p>
    <w:p>
      <w:pPr>
        <w:pStyle w:val="ListParagraph"/>
        <w:numPr>
          <w:ilvl w:val="0"/>
          <w:numId w:val="2"/>
        </w:numPr>
        <w:spacing w:after="60" w:line="240"/>
      </w:pPr>
      <w:r>
        <w:rPr>
          <w:rFonts w:ascii="Courier New" w:cs="Courier New" w:eastAsia="Courier New" w:hAnsi="Courier New"/>
          <w:sz w:val="20"/>
          <w:szCs w:val="20"/>
        </w:rPr>
        <w:t xml:space="preserve">sinon, détermine l'adresse SP de destination par la table des flux ou, à défaut, par le choix de la section 6.2, puis met à jour la table des flux ;</w:t>
      </w:r>
    </w:p>
    <w:p>
      <w:pPr>
        <w:pStyle w:val="ListParagraph"/>
        <w:numPr>
          <w:ilvl w:val="0"/>
          <w:numId w:val="2"/>
        </w:numPr>
        <w:spacing w:after="60" w:line="240"/>
      </w:pPr>
      <w:r>
        <w:rPr>
          <w:rFonts w:ascii="Courier New" w:cs="Courier New" w:eastAsia="Courier New" w:hAnsi="Courier New"/>
          <w:sz w:val="20"/>
          <w:szCs w:val="20"/>
        </w:rPr>
        <w:t xml:space="preserve">détermine le pair, c'est-à-dire le nœud auquel cette adresse SP est attribuée, par la table des adresses SP ;</w:t>
      </w:r>
    </w:p>
    <w:p>
      <w:pPr>
        <w:pStyle w:val="ListParagraph"/>
        <w:numPr>
          <w:ilvl w:val="0"/>
          <w:numId w:val="2"/>
        </w:numPr>
        <w:spacing w:after="60" w:line="240"/>
      </w:pPr>
      <w:r>
        <w:rPr>
          <w:rFonts w:ascii="Courier New" w:cs="Courier New" w:eastAsia="Courier New" w:hAnsi="Courier New"/>
          <w:sz w:val="20"/>
          <w:szCs w:val="20"/>
        </w:rPr>
        <w:t xml:space="preserve">encapsule le paquet dans une trame de données de la session courante avec ce pair (section 7.5) ou, si aucune session n'existe, met le paquet en attente et engage une poignée de main (section 7.6).</w:t>
      </w:r>
    </w:p>
    <w:p>
      <w:pPr>
        <w:spacing w:after="120" w:before="0" w:line="240"/>
        <w:ind w:left="360"/>
        <w:jc w:val="left"/>
      </w:pPr>
      <w:r>
        <w:rPr>
          <w:rFonts w:ascii="Courier New" w:cs="Courier New" w:eastAsia="Courier New" w:hAnsi="Courier New"/>
          <w:sz w:val="20"/>
          <w:szCs w:val="20"/>
        </w:rPr>
        <w:t xml:space="preserve">Si aucun nœud ne peut être choisi, le nœud écrit sur l'interface SP un message ICMP « Destination inaccessible », code 1 (hôte inaccessible) [RFC792], adressé à la source du paquet. Le service client échoue ainsi rapidement au lieu d'attendre l'expiration de ses propres délais.</w:t>
      </w:r>
    </w:p>
    <w:p>
      <w:pPr>
        <w:pStyle w:val="Heading2"/>
        <w:keepNext/>
        <w:spacing w:after="120" w:before="240"/>
      </w:pPr>
      <w:r>
        <w:rPr>
          <w:rFonts w:ascii="Courier New" w:cs="Courier New" w:eastAsia="Courier New" w:hAnsi="Courier New"/>
          <w:b/>
          <w:bCs/>
          <w:sz w:val="20"/>
          <w:szCs w:val="20"/>
        </w:rPr>
        <w:t xml:space="preserve">5.3. Réception</w:t>
      </w:r>
    </w:p>
    <w:p>
      <w:pPr>
        <w:spacing w:after="120" w:before="0" w:line="240"/>
        <w:ind w:left="360"/>
        <w:jc w:val="left"/>
      </w:pPr>
      <w:r>
        <w:rPr>
          <w:rFonts w:ascii="Courier New" w:cs="Courier New" w:eastAsia="Courier New" w:hAnsi="Courier New"/>
          <w:sz w:val="20"/>
          <w:szCs w:val="20"/>
        </w:rPr>
        <w:t xml:space="preserve">Pour chaque trame de données authentifiée (section 7.5), le nœud :</w:t>
      </w:r>
    </w:p>
    <w:p>
      <w:pPr>
        <w:pStyle w:val="ListParagraph"/>
        <w:numPr>
          <w:ilvl w:val="0"/>
          <w:numId w:val="2"/>
        </w:numPr>
        <w:spacing w:after="60" w:line="240"/>
      </w:pPr>
      <w:r>
        <w:rPr>
          <w:rFonts w:ascii="Courier New" w:cs="Courier New" w:eastAsia="Courier New" w:hAnsi="Courier New"/>
          <w:sz w:val="20"/>
          <w:szCs w:val="20"/>
        </w:rPr>
        <w:t xml:space="preserve">vérifie que l'adresse SP de destination est l'une de ses propres adresses, ou une adresse sss.ffff, pour un service qu'il héberge ;</w:t>
      </w:r>
    </w:p>
    <w:p>
      <w:pPr>
        <w:pStyle w:val="ListParagraph"/>
        <w:numPr>
          <w:ilvl w:val="0"/>
          <w:numId w:val="2"/>
        </w:numPr>
        <w:spacing w:after="60" w:line="240"/>
      </w:pPr>
      <w:r>
        <w:rPr>
          <w:rFonts w:ascii="Courier New" w:cs="Courier New" w:eastAsia="Courier New" w:hAnsi="Courier New"/>
          <w:sz w:val="20"/>
          <w:szCs w:val="20"/>
        </w:rPr>
        <w:t xml:space="preserve">vérifie que l'adresse SP source est attribuée au pair dans la table des adresses SP ;</w:t>
      </w:r>
    </w:p>
    <w:p>
      <w:pPr>
        <w:pStyle w:val="ListParagraph"/>
        <w:numPr>
          <w:ilvl w:val="0"/>
          <w:numId w:val="2"/>
        </w:numPr>
        <w:spacing w:after="60" w:line="240"/>
      </w:pPr>
      <w:r>
        <w:rPr>
          <w:rFonts w:ascii="Courier New" w:cs="Courier New" w:eastAsia="Courier New" w:hAnsi="Courier New"/>
          <w:sz w:val="20"/>
          <w:szCs w:val="20"/>
        </w:rPr>
        <w:t xml:space="preserve">vérifie que les deux services appartiennent à la même aire, et que la source et la destination du paquet interne sont respectivement la VIP du service source et la VIP, ou l'adresse de groupe, du service destination ;</w:t>
      </w:r>
    </w:p>
    <w:p>
      <w:pPr>
        <w:pStyle w:val="ListParagraph"/>
        <w:numPr>
          <w:ilvl w:val="0"/>
          <w:numId w:val="2"/>
        </w:numPr>
        <w:spacing w:after="60" w:line="240"/>
      </w:pPr>
      <w:r>
        <w:rPr>
          <w:rFonts w:ascii="Courier New" w:cs="Courier New" w:eastAsia="Courier New" w:hAnsi="Courier New"/>
          <w:sz w:val="20"/>
          <w:szCs w:val="20"/>
        </w:rPr>
        <w:t xml:space="preserve">applique le traitement ECN de la section 9.2 ;</w:t>
      </w:r>
    </w:p>
    <w:p>
      <w:pPr>
        <w:pStyle w:val="ListParagraph"/>
        <w:numPr>
          <w:ilvl w:val="0"/>
          <w:numId w:val="2"/>
        </w:numPr>
        <w:spacing w:after="60" w:line="240"/>
      </w:pPr>
      <w:r>
        <w:rPr>
          <w:rFonts w:ascii="Courier New" w:cs="Courier New" w:eastAsia="Courier New" w:hAnsi="Courier New"/>
          <w:sz w:val="20"/>
          <w:szCs w:val="20"/>
        </w:rPr>
        <w:t xml:space="preserve">enregistre le flux inverse dans la table des flux (section 6.3) ;</w:t>
      </w:r>
    </w:p>
    <w:p>
      <w:pPr>
        <w:pStyle w:val="ListParagraph"/>
        <w:numPr>
          <w:ilvl w:val="0"/>
          <w:numId w:val="2"/>
        </w:numPr>
        <w:spacing w:after="60" w:line="240"/>
      </w:pPr>
      <w:r>
        <w:rPr>
          <w:rFonts w:ascii="Courier New" w:cs="Courier New" w:eastAsia="Courier New" w:hAnsi="Courier New"/>
          <w:sz w:val="20"/>
          <w:szCs w:val="20"/>
        </w:rPr>
        <w:t xml:space="preserve">écrit le paquet sur l'interface SP, sans modifier son TTL.</w:t>
      </w:r>
    </w:p>
    <w:p>
      <w:pPr>
        <w:spacing w:after="120" w:before="0" w:line="240"/>
        <w:ind w:left="360"/>
        <w:jc w:val="left"/>
      </w:pPr>
      <w:r>
        <w:rPr>
          <w:rFonts w:ascii="Courier New" w:cs="Courier New" w:eastAsia="Courier New" w:hAnsi="Courier New"/>
          <w:sz w:val="20"/>
          <w:szCs w:val="20"/>
        </w:rPr>
        <w:t xml:space="preserve">Un paquet qui échoue à l'une de ces vérifications est ignoré. SP n'émet jamais de message d'erreur vers un pair.</w:t>
      </w:r>
    </w:p>
    <w:p>
      <w:pPr>
        <w:pStyle w:val="Heading1"/>
        <w:keepNext/>
        <w:spacing w:after="120" w:before="360"/>
      </w:pPr>
      <w:r>
        <w:rPr>
          <w:rFonts w:ascii="Courier New" w:cs="Courier New" w:eastAsia="Courier New" w:hAnsi="Courier New"/>
          <w:b/>
          <w:bCs/>
          <w:sz w:val="22"/>
          <w:szCs w:val="22"/>
        </w:rPr>
        <w:t xml:space="preserve">6. Choix du nœud de destination</w:t>
      </w:r>
    </w:p>
    <w:p>
      <w:pPr>
        <w:pStyle w:val="Heading2"/>
        <w:keepNext/>
        <w:spacing w:after="120" w:before="240"/>
      </w:pPr>
      <w:r>
        <w:rPr>
          <w:rFonts w:ascii="Courier New" w:cs="Courier New" w:eastAsia="Courier New" w:hAnsi="Courier New"/>
          <w:b/>
          <w:bCs/>
          <w:sz w:val="20"/>
          <w:szCs w:val="20"/>
        </w:rPr>
        <w:t xml:space="preserve">6.1. Éligibilité</w:t>
      </w:r>
    </w:p>
    <w:p>
      <w:pPr>
        <w:spacing w:after="120" w:before="0" w:line="240"/>
        <w:ind w:left="360"/>
        <w:jc w:val="left"/>
      </w:pPr>
      <w:r>
        <w:rPr>
          <w:rFonts w:ascii="Courier New" w:cs="Courier New" w:eastAsia="Courier New" w:hAnsi="Courier New"/>
          <w:sz w:val="20"/>
          <w:szCs w:val="20"/>
        </w:rPr>
        <w:t xml:space="preserve">Les candidats pour un service S sont les instances que la table des services les plus proches contient pour S [USMD-NNDP], section 6.5. Une instance d'adresse SP A, attribuée au nœud N, est éligible si :</w:t>
      </w:r>
    </w:p>
    <w:p>
      <w:pPr>
        <w:pStyle w:val="ListParagraph"/>
        <w:numPr>
          <w:ilvl w:val="0"/>
          <w:numId w:val="2"/>
        </w:numPr>
        <w:spacing w:after="60" w:line="240"/>
      </w:pPr>
      <w:r>
        <w:rPr>
          <w:rFonts w:ascii="Courier New" w:cs="Courier New" w:eastAsia="Courier New" w:hAnsi="Courier New"/>
          <w:sz w:val="20"/>
          <w:szCs w:val="20"/>
        </w:rPr>
        <w:t xml:space="preserve">la table des adresses SP attribue A à N, d'après la fiche signée de N ;</w:t>
      </w:r>
    </w:p>
    <w:p>
      <w:pPr>
        <w:pStyle w:val="ListParagraph"/>
        <w:numPr>
          <w:ilvl w:val="0"/>
          <w:numId w:val="2"/>
        </w:numPr>
        <w:spacing w:after="60" w:line="240"/>
      </w:pPr>
      <w:r>
        <w:rPr>
          <w:rFonts w:ascii="Courier New" w:cs="Courier New" w:eastAsia="Courier New" w:hAnsi="Courier New"/>
          <w:sz w:val="20"/>
          <w:szCs w:val="20"/>
        </w:rPr>
        <w:t xml:space="preserve">le dernier HIA reçu de N, s'il en a été reçu un, annonce A parmi ses services hébergés ;</w:t>
      </w:r>
    </w:p>
    <w:p>
      <w:pPr>
        <w:pStyle w:val="ListParagraph"/>
        <w:numPr>
          <w:ilvl w:val="0"/>
          <w:numId w:val="2"/>
        </w:numPr>
        <w:spacing w:after="60" w:line="240"/>
      </w:pPr>
      <w:r>
        <w:rPr>
          <w:rFonts w:ascii="Courier New" w:cs="Courier New" w:eastAsia="Courier New" w:hAnsi="Courier New"/>
          <w:sz w:val="20"/>
          <w:szCs w:val="20"/>
        </w:rPr>
        <w:t xml:space="preserve">l'état de N est « Actif » (0x2000) [USMD-ARCH] ;</w:t>
      </w:r>
    </w:p>
    <w:p>
      <w:pPr>
        <w:pStyle w:val="ListParagraph"/>
        <w:numPr>
          <w:ilvl w:val="0"/>
          <w:numId w:val="2"/>
        </w:numPr>
        <w:spacing w:after="60" w:line="240"/>
      </w:pPr>
      <w:r>
        <w:rPr>
          <w:rFonts w:ascii="Courier New" w:cs="Courier New" w:eastAsia="Courier New" w:hAnsi="Courier New"/>
          <w:sz w:val="20"/>
          <w:szCs w:val="20"/>
        </w:rPr>
        <w:t xml:space="preserve">N figure dans la NIT du nœud émetteur ;</w:t>
      </w:r>
    </w:p>
    <w:p>
      <w:pPr>
        <w:pStyle w:val="ListParagraph"/>
        <w:numPr>
          <w:ilvl w:val="0"/>
          <w:numId w:val="2"/>
        </w:numPr>
        <w:spacing w:after="60" w:line="240"/>
      </w:pPr>
      <w:r>
        <w:rPr>
          <w:rFonts w:ascii="Courier New" w:cs="Courier New" w:eastAsia="Courier New" w:hAnsi="Courier New"/>
          <w:sz w:val="20"/>
          <w:szCs w:val="20"/>
        </w:rPr>
        <w:t xml:space="preserve">aucune poignée de main vers N n'a échoué au cours des 30 dernières secondes.</w:t>
      </w:r>
    </w:p>
    <w:p>
      <w:pPr>
        <w:pStyle w:val="Heading2"/>
        <w:keepNext/>
        <w:spacing w:after="120" w:before="240"/>
      </w:pPr>
      <w:r>
        <w:rPr>
          <w:rFonts w:ascii="Courier New" w:cs="Courier New" w:eastAsia="Courier New" w:hAnsi="Courier New"/>
          <w:b/>
          <w:bCs/>
          <w:sz w:val="20"/>
          <w:szCs w:val="20"/>
        </w:rPr>
        <w:t xml:space="preserve">6.2. Coût et sélection</w:t>
      </w:r>
    </w:p>
    <w:p>
      <w:pPr>
        <w:spacing w:after="120" w:before="0" w:line="240"/>
        <w:ind w:left="360"/>
        <w:jc w:val="left"/>
      </w:pPr>
      <w:r>
        <w:rPr>
          <w:rFonts w:ascii="Courier New" w:cs="Courier New" w:eastAsia="Courier New" w:hAnsi="Courier New"/>
          <w:sz w:val="20"/>
          <w:szCs w:val="20"/>
        </w:rPr>
        <w:t xml:space="preserve">Le coût d'une instance éligible est sa distance dans la table des services les plus proches, ramenée à l'unité :</w:t>
      </w:r>
    </w:p>
    <w:p>
      <w:pPr>
        <w:keepNext/>
        <w:keepLines/>
        <w:spacing w:after="0" w:line="220"/>
        <w:ind w:left="360"/>
      </w:pPr>
      <w:r>
        <w:rPr>
          <w:rFonts w:ascii="Courier New" w:cs="Courier New" w:eastAsia="Courier New" w:hAnsi="Courier New"/>
          <w:sz w:val="18"/>
          <w:szCs w:val="18"/>
        </w:rPr>
        <w:t xml:space="preserve">  k = D / 1000</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D : distance de l'instance [USMD-ARCH], section 11.5 ; elle cumule</w:t>
      </w:r>
    </w:p>
    <w:p>
      <w:pPr>
        <w:keepNext/>
        <w:keepLines/>
        <w:spacing w:after="0" w:line="220"/>
        <w:ind w:left="360"/>
      </w:pPr>
      <w:r>
        <w:rPr>
          <w:rFonts w:ascii="Courier New" w:cs="Courier New" w:eastAsia="Courier New" w:hAnsi="Courier New"/>
          <w:sz w:val="18"/>
          <w:szCs w:val="18"/>
        </w:rPr>
        <w:t xml:space="preserve">      la charge de référence du nœud hôte et les délais d'aller-retour</w:t>
      </w:r>
    </w:p>
    <w:p>
      <w:pPr>
        <w:keepLines/>
        <w:spacing w:after="120" w:line="220"/>
        <w:ind w:left="360"/>
      </w:pPr>
      <w:r>
        <w:rPr>
          <w:rFonts w:ascii="Courier New" w:cs="Courier New" w:eastAsia="Courier New" w:hAnsi="Courier New"/>
          <w:sz w:val="18"/>
          <w:szCs w:val="18"/>
        </w:rPr>
        <w:t xml:space="preserve">      rapportés à la tolérance de ping, sur le chemin des annonces</w:t>
      </w:r>
    </w:p>
    <w:p>
      <w:pPr>
        <w:spacing w:after="120" w:before="0" w:line="240"/>
        <w:ind w:left="360"/>
        <w:jc w:val="left"/>
      </w:pPr>
      <w:r>
        <w:rPr>
          <w:rFonts w:ascii="Courier New" w:cs="Courier New" w:eastAsia="Courier New" w:hAnsi="Courier New"/>
          <w:sz w:val="20"/>
          <w:szCs w:val="20"/>
        </w:rPr>
        <w:t xml:space="preserve">Le nœud émetteur détermine le coût minimal k_min, puis choisit au hasard, avec une probabilité uniforme, l'une des instances éligibles dont le coût ne dépasse pas k_min + Δ (Δ = 0,1 par défaut). Ce tirage évite que tous les émetteurs choisissent la même instance entre deux mises à jour de la table.</w:t>
      </w:r>
    </w:p>
    <w:p>
      <w:pPr>
        <w:pStyle w:val="Heading2"/>
        <w:keepNext/>
        <w:spacing w:after="120" w:before="240"/>
      </w:pPr>
      <w:r>
        <w:rPr>
          <w:rFonts w:ascii="Courier New" w:cs="Courier New" w:eastAsia="Courier New" w:hAnsi="Courier New"/>
          <w:b/>
          <w:bCs/>
          <w:sz w:val="20"/>
          <w:szCs w:val="20"/>
        </w:rPr>
        <w:t xml:space="preserve">6.3. Affinité des flux</w:t>
      </w:r>
    </w:p>
    <w:p>
      <w:pPr>
        <w:spacing w:after="120" w:before="0" w:line="240"/>
        <w:ind w:left="360"/>
        <w:jc w:val="left"/>
      </w:pPr>
      <w:r>
        <w:rPr>
          <w:rFonts w:ascii="Courier New" w:cs="Courier New" w:eastAsia="Courier New" w:hAnsi="Courier New"/>
          <w:sz w:val="20"/>
          <w:szCs w:val="20"/>
        </w:rPr>
        <w:t xml:space="preserve">Une fois choisie, l'instance de destination d'un flux ne change pas tant que le flux est actif, afin de ne pas rompre les connexions des services.</w:t>
      </w:r>
    </w:p>
    <w:p>
      <w:pPr>
        <w:pStyle w:val="ListParagraph"/>
        <w:numPr>
          <w:ilvl w:val="0"/>
          <w:numId w:val="2"/>
        </w:numPr>
        <w:spacing w:after="60" w:line="240"/>
      </w:pPr>
      <w:r>
        <w:rPr>
          <w:rFonts w:ascii="Courier New" w:cs="Courier New" w:eastAsia="Courier New" w:hAnsi="Courier New"/>
          <w:sz w:val="20"/>
          <w:szCs w:val="20"/>
        </w:rPr>
        <w:t xml:space="preserve">Le quintuplet d'un flux TCP ou UDP est (protocole, adresse source, port source, adresse de destination, port de destination). Pour les autres protocoles, les ports sont remplacés par 0.</w:t>
      </w:r>
    </w:p>
    <w:p>
      <w:pPr>
        <w:pStyle w:val="ListParagraph"/>
        <w:numPr>
          <w:ilvl w:val="0"/>
          <w:numId w:val="2"/>
        </w:numPr>
        <w:spacing w:after="60" w:line="240"/>
      </w:pPr>
      <w:r>
        <w:rPr>
          <w:rFonts w:ascii="Courier New" w:cs="Courier New" w:eastAsia="Courier New" w:hAnsi="Courier New"/>
          <w:sz w:val="20"/>
          <w:szCs w:val="20"/>
        </w:rPr>
        <w:t xml:space="preserve">À l'émission, le nœud enregistre le flux direct avec l'adresse SP de l'instance choisie.</w:t>
      </w:r>
    </w:p>
    <w:p>
      <w:pPr>
        <w:pStyle w:val="ListParagraph"/>
        <w:numPr>
          <w:ilvl w:val="0"/>
          <w:numId w:val="2"/>
        </w:numPr>
        <w:spacing w:after="60" w:line="240"/>
      </w:pPr>
      <w:r>
        <w:rPr>
          <w:rFonts w:ascii="Courier New" w:cs="Courier New" w:eastAsia="Courier New" w:hAnsi="Courier New"/>
          <w:sz w:val="20"/>
          <w:szCs w:val="20"/>
        </w:rPr>
        <w:t xml:space="preserve">À la réception, le nœud enregistre le flux inverse, c'est-à-dire le quintuplet dont la source et la destination sont échangées, avec l'adresse SP source de la trame. Une réponse est ainsi adressée à l'instance exacte qui a émis la requête, même si d'autres nœuds hébergent le service du client.</w:t>
      </w:r>
    </w:p>
    <w:p>
      <w:pPr>
        <w:pStyle w:val="ListParagraph"/>
        <w:numPr>
          <w:ilvl w:val="0"/>
          <w:numId w:val="2"/>
        </w:numPr>
        <w:spacing w:after="60" w:line="240"/>
      </w:pPr>
      <w:r>
        <w:rPr>
          <w:rFonts w:ascii="Courier New" w:cs="Courier New" w:eastAsia="Courier New" w:hAnsi="Courier New"/>
          <w:sz w:val="20"/>
          <w:szCs w:val="20"/>
        </w:rPr>
        <w:t xml:space="preserve">Une entrée expire après 300 s d'inactivité, ou 10 s après l'observation d'un segment TCP portant l'indicateur FIN ou RST dans chaque sens.</w:t>
      </w:r>
    </w:p>
    <w:p>
      <w:pPr>
        <w:pStyle w:val="ListParagraph"/>
        <w:numPr>
          <w:ilvl w:val="0"/>
          <w:numId w:val="2"/>
        </w:numPr>
        <w:spacing w:after="60" w:line="240"/>
      </w:pPr>
      <w:r>
        <w:rPr>
          <w:rFonts w:ascii="Courier New" w:cs="Courier New" w:eastAsia="Courier New" w:hAnsi="Courier New"/>
          <w:sz w:val="20"/>
          <w:szCs w:val="20"/>
        </w:rPr>
        <w:t xml:space="preserve">Si l'instance d'une entrée directe cesse d'être éligible, l'entrée est supprimée et le flux suivant est réorienté. Les connexions en cours vers cette instance sont alors perdues ; c'est au service client de les rétablir.</w:t>
      </w:r>
    </w:p>
    <w:p>
      <w:pPr>
        <w:spacing w:after="120" w:before="0" w:line="240"/>
        <w:ind w:left="360"/>
        <w:jc w:val="left"/>
      </w:pPr>
      <w:r>
        <w:rPr>
          <w:rFonts w:ascii="Courier New" w:cs="Courier New" w:eastAsia="Courier New" w:hAnsi="Courier New"/>
          <w:sz w:val="20"/>
          <w:szCs w:val="20"/>
        </w:rPr>
        <w:t xml:space="preserve">La recherche d'un paquet dans la table des flux précède toujours la sélection de la section 6.2.</w:t>
      </w:r>
    </w:p>
    <w:p>
      <w:pPr>
        <w:pStyle w:val="Heading1"/>
        <w:keepNext/>
        <w:spacing w:after="120" w:before="360"/>
      </w:pPr>
      <w:r>
        <w:rPr>
          <w:rFonts w:ascii="Courier New" w:cs="Courier New" w:eastAsia="Courier New" w:hAnsi="Courier New"/>
          <w:b/>
          <w:bCs/>
          <w:sz w:val="22"/>
          <w:szCs w:val="22"/>
        </w:rPr>
        <w:t xml:space="preserve">7. Sessions</w:t>
      </w:r>
    </w:p>
    <w:p>
      <w:pPr>
        <w:pStyle w:val="Heading2"/>
        <w:keepNext/>
        <w:spacing w:after="120" w:before="240"/>
      </w:pPr>
      <w:r>
        <w:rPr>
          <w:rFonts w:ascii="Courier New" w:cs="Courier New" w:eastAsia="Courier New" w:hAnsi="Courier New"/>
          <w:b/>
          <w:bCs/>
          <w:sz w:val="20"/>
          <w:szCs w:val="20"/>
        </w:rPr>
        <w:t xml:space="preserve">7.1. Transport</w:t>
      </w:r>
    </w:p>
    <w:p>
      <w:pPr>
        <w:spacing w:after="120" w:before="0" w:line="240"/>
        <w:ind w:left="360"/>
        <w:jc w:val="left"/>
      </w:pPr>
      <w:r>
        <w:rPr>
          <w:rFonts w:ascii="Courier New" w:cs="Courier New" w:eastAsia="Courier New" w:hAnsi="Courier New"/>
          <w:sz w:val="20"/>
          <w:szCs w:val="20"/>
        </w:rPr>
        <w:t xml:space="preserve">SP s'exécute au-dessus d'UDP [RFC768] et d'IPv4.</w:t>
      </w:r>
    </w:p>
    <w:p>
      <w:pPr>
        <w:pStyle w:val="ListParagraph"/>
        <w:numPr>
          <w:ilvl w:val="0"/>
          <w:numId w:val="2"/>
        </w:numPr>
        <w:spacing w:after="60" w:line="240"/>
      </w:pPr>
      <w:r>
        <w:rPr>
          <w:rFonts w:ascii="Courier New" w:cs="Courier New" w:eastAsia="Courier New" w:hAnsi="Courier New"/>
          <w:sz w:val="20"/>
          <w:szCs w:val="20"/>
        </w:rPr>
        <w:t xml:space="preserve">Le port UDP est défini par l'administrateur dans les propriétés de l'USD (paramètre 0x0010 de [USMD-ARCH]). Ce document ne fixe aucune valeur par défaut ; les exemples utilisent 9993.</w:t>
      </w:r>
    </w:p>
    <w:p>
      <w:pPr>
        <w:pStyle w:val="ListParagraph"/>
        <w:numPr>
          <w:ilvl w:val="0"/>
          <w:numId w:val="2"/>
        </w:numPr>
        <w:spacing w:after="60" w:line="240"/>
      </w:pPr>
      <w:r>
        <w:rPr>
          <w:rFonts w:ascii="Courier New" w:cs="Courier New" w:eastAsia="Courier New" w:hAnsi="Courier New"/>
          <w:sz w:val="20"/>
          <w:szCs w:val="20"/>
        </w:rPr>
        <w:t xml:space="preserve">Un nœud émet toutes ses trames SP depuis ce port et vers ce port.</w:t>
      </w:r>
    </w:p>
    <w:p>
      <w:pPr>
        <w:pStyle w:val="ListParagraph"/>
        <w:numPr>
          <w:ilvl w:val="0"/>
          <w:numId w:val="2"/>
        </w:numPr>
        <w:spacing w:after="60" w:line="240"/>
      </w:pPr>
      <w:r>
        <w:rPr>
          <w:rFonts w:ascii="Courier New" w:cs="Courier New" w:eastAsia="Courier New" w:hAnsi="Courier New"/>
          <w:sz w:val="20"/>
          <w:szCs w:val="20"/>
        </w:rPr>
        <w:t xml:space="preserve">L'adresse IPv4 d'un pair est celle que la NIT associe à sa clé publique. Un nœud ignore toute trame provenant d'une adresse que la NIT n'associe pas à la clé du pair de la session concernée.</w:t>
      </w:r>
    </w:p>
    <w:p>
      <w:pPr>
        <w:pStyle w:val="ListParagraph"/>
        <w:numPr>
          <w:ilvl w:val="0"/>
          <w:numId w:val="2"/>
        </w:numPr>
        <w:spacing w:after="60" w:line="240"/>
      </w:pPr>
      <w:r>
        <w:rPr>
          <w:rFonts w:ascii="Courier New" w:cs="Courier New" w:eastAsia="Courier New" w:hAnsi="Courier New"/>
          <w:sz w:val="20"/>
          <w:szCs w:val="20"/>
        </w:rPr>
        <w:t xml:space="preserve">Les datagrammes SP sont émis avec l'indicateur DF (« ne pas fragmenter ») positionné.</w:t>
      </w:r>
    </w:p>
    <w:p>
      <w:pPr>
        <w:pStyle w:val="Heading2"/>
        <w:keepNext/>
        <w:spacing w:after="120" w:before="240"/>
      </w:pPr>
      <w:r>
        <w:rPr>
          <w:rFonts w:ascii="Courier New" w:cs="Courier New" w:eastAsia="Courier New" w:hAnsi="Courier New"/>
          <w:b/>
          <w:bCs/>
          <w:sz w:val="20"/>
          <w:szCs w:val="20"/>
        </w:rPr>
        <w:t xml:space="preserve">7.2. Format commun</w:t>
      </w:r>
    </w:p>
    <w:p>
      <w:pPr>
        <w:spacing w:after="120" w:before="0" w:line="240"/>
        <w:ind w:left="360"/>
        <w:jc w:val="left"/>
      </w:pPr>
      <w:r>
        <w:rPr>
          <w:rFonts w:ascii="Courier New" w:cs="Courier New" w:eastAsia="Courier New" w:hAnsi="Courier New"/>
          <w:sz w:val="20"/>
          <w:szCs w:val="20"/>
        </w:rPr>
        <w:t xml:space="preserve">Toutes les trames SP commencent par l'en-tête de trame commun défini dans [USMD-ARCH] (section 10) : magic 0xD5C1 (16 bits), version (8 bits, valeur 1), événement (16 bits) et longueur (32 bits, en octets, de tout ce qui suit l'en-tête). Tous les entiers sont codés en ordre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2"/>
        <w:gridCol w:w="6484"/>
      </w:tblGrid>
      <w:tr>
        <w:trPr>
          <w:cantSplit/>
          <w:tblHeader/>
        </w:trPr>
        <w:tc>
          <w:tcPr>
            <w:tcW w:type="dxa" w:w="254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Événement</w:t>
            </w:r>
          </w:p>
        </w:tc>
        <w:tc>
          <w:tcPr>
            <w:tcW w:type="dxa" w:w="648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Trame</w:t>
            </w:r>
          </w:p>
        </w:tc>
      </w:tr>
      <w:tr>
        <w:trPr>
          <w:cantSplit/>
        </w:trPr>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648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Initiation de poignée de main</w:t>
            </w:r>
          </w:p>
        </w:tc>
      </w:tr>
      <w:tr>
        <w:trPr>
          <w:cantSplit/>
        </w:trPr>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648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Réponse de poignée de main</w:t>
            </w:r>
          </w:p>
        </w:tc>
      </w:tr>
      <w:tr>
        <w:trPr>
          <w:cantSplit/>
        </w:trPr>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648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Données</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7.3. Poignée de main</w:t>
      </w:r>
    </w:p>
    <w:p>
      <w:pPr>
        <w:spacing w:after="120" w:before="0" w:line="240"/>
        <w:ind w:left="360"/>
        <w:jc w:val="left"/>
      </w:pPr>
      <w:r>
        <w:rPr>
          <w:rFonts w:ascii="Courier New" w:cs="Courier New" w:eastAsia="Courier New" w:hAnsi="Courier New"/>
          <w:sz w:val="20"/>
          <w:szCs w:val="20"/>
        </w:rPr>
        <w:t xml:space="preserve">La poignée de main établit une session en un aller-retour entre un initiateur I et un répondeur R. Chaque nœud connaît la clé publique Ed25519 et la clé publique X25519 statique de l'autre par la NIT et par les HIA [USMD-NNDP]. Les identités sont prouvées par des signatures Ed25519 placées dans des parties chiffrées, de sorte qu'un observateur ne voit pas l'identité de l'initiateur.</w:t>
      </w:r>
    </w:p>
    <w:p>
      <w:pPr>
        <w:spacing w:after="120" w:before="0" w:line="240"/>
        <w:ind w:left="360"/>
        <w:jc w:val="left"/>
      </w:pPr>
      <w:r>
        <w:rPr>
          <w:rFonts w:ascii="Courier New" w:cs="Courier New" w:eastAsia="Courier New" w:hAnsi="Courier New"/>
          <w:sz w:val="20"/>
          <w:szCs w:val="20"/>
        </w:rPr>
        <w:t xml:space="preserve">Notations : S_R est la clé publique X25519 statique de R ; s_R, la clé privée correspondante ; e_I et e_R, les clés éphémères X25519 générées pour cette poignée de main, qui désignent leur clé privée lorsqu'elles sont le premier argument de DH et leur clé publique ailleurs ; Ed_I et Ed_R, les clés publiques Ed25519 ; DH(a, B), la fonction X25519 [RFC7748] ; H, la fonction SHA-256 ; « || », la concaténation.</w:t>
      </w:r>
    </w:p>
    <w:p>
      <w:pPr>
        <w:spacing w:after="120" w:before="0" w:line="240"/>
        <w:ind w:left="360"/>
        <w:jc w:val="left"/>
      </w:pPr>
      <w:r>
        <w:rPr>
          <w:rFonts w:ascii="Courier New" w:cs="Courier New" w:eastAsia="Courier New" w:hAnsi="Courier New"/>
          <w:b/>
          <w:bCs/>
          <w:sz w:val="20"/>
          <w:szCs w:val="20"/>
        </w:rPr>
        <w:t xml:space="preserve">Initiation (I vers R, événement 0x0001)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2"/>
        <w:gridCol w:w="1114"/>
        <w:gridCol w:w="6290"/>
      </w:tblGrid>
      <w:tr>
        <w:trPr>
          <w:cantSplit/>
          <w:tblHeader/>
        </w:trPr>
        <w:tc>
          <w:tcPr>
            <w:tcW w:type="dxa" w:w="16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1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29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de I</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local de session choisi au hasard par I</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éphémère e_I</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 nouvelle pour chaque initiation</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d'émission en millisecondes depuis l'époque Unix</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Partie chiffrée</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112 octets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AEAD sous k_init : Ed_I (32 octets), signature sig_I (64 octets), étiquette (16 octets)</w:t>
            </w:r>
          </w:p>
        </w:tc>
      </w:tr>
    </w:tbl>
    <w:p>
      <w:pPr>
        <w:spacing w:after="120"/>
      </w:pPr>
      <w:r>
        <w:rPr>
          <w:rFonts w:ascii="Courier New" w:cs="Courier New" w:eastAsia="Courier New" w:hAnsi="Courier New"/>
          <w:sz w:val="20"/>
          <w:szCs w:val="20"/>
        </w:rPr>
        <w:t xml:space="preserve"/>
      </w:r>
    </w:p>
    <w:p>
      <w:pPr>
        <w:keepNext/>
        <w:keepLines/>
        <w:spacing w:after="0" w:line="220"/>
        <w:ind w:left="360"/>
      </w:pPr>
      <w:r>
        <w:rPr>
          <w:rFonts w:ascii="Courier New" w:cs="Courier New" w:eastAsia="Courier New" w:hAnsi="Courier New"/>
          <w:sz w:val="18"/>
          <w:szCs w:val="18"/>
        </w:rPr>
        <w:t xml:space="preserve">  k_init = HKDF-SHA-256(sel = "USMD-SP-v1",</w:t>
      </w:r>
    </w:p>
    <w:p>
      <w:pPr>
        <w:keepNext/>
        <w:keepLines/>
        <w:spacing w:after="0" w:line="220"/>
        <w:ind w:left="360"/>
      </w:pPr>
      <w:r>
        <w:rPr>
          <w:rFonts w:ascii="Courier New" w:cs="Courier New" w:eastAsia="Courier New" w:hAnsi="Courier New"/>
          <w:sz w:val="18"/>
          <w:szCs w:val="18"/>
        </w:rPr>
        <w:t xml:space="preserve">                        ikm = DH(e_I, S_R),</w:t>
      </w:r>
    </w:p>
    <w:p>
      <w:pPr>
        <w:keepNext/>
        <w:keepLines/>
        <w:spacing w:after="0" w:line="220"/>
        <w:ind w:left="360"/>
      </w:pPr>
      <w:r>
        <w:rPr>
          <w:rFonts w:ascii="Courier New" w:cs="Courier New" w:eastAsia="Courier New" w:hAnsi="Courier New"/>
          <w:sz w:val="18"/>
          <w:szCs w:val="18"/>
        </w:rPr>
        <w:t xml:space="preserve">                        info = "init" || e_I || S_R, L = 32)</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sig_I  = Ed25519(I, "USMD-SP-v1-init" || index_I || e_I</w:t>
      </w:r>
    </w:p>
    <w:p>
      <w:pPr>
        <w:keepLines/>
        <w:spacing w:after="120" w:line="220"/>
        <w:ind w:left="360"/>
      </w:pPr>
      <w:r>
        <w:rPr>
          <w:rFonts w:ascii="Courier New" w:cs="Courier New" w:eastAsia="Courier New" w:hAnsi="Courier New"/>
          <w:sz w:val="18"/>
          <w:szCs w:val="18"/>
        </w:rPr>
        <w:t xml:space="preserve">                      || horodatage || Ed_R || S_R)</w:t>
      </w:r>
    </w:p>
    <w:p>
      <w:pPr>
        <w:spacing w:after="120" w:before="0" w:line="240"/>
        <w:ind w:left="360"/>
        <w:jc w:val="left"/>
      </w:pPr>
      <w:r>
        <w:rPr>
          <w:rFonts w:ascii="Courier New" w:cs="Courier New" w:eastAsia="Courier New" w:hAnsi="Courier New"/>
          <w:b/>
          <w:bCs/>
          <w:sz w:val="20"/>
          <w:szCs w:val="20"/>
        </w:rPr>
        <w:t xml:space="preserve">Réponse (R vers I, événement 0x0002)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2"/>
        <w:gridCol w:w="1114"/>
        <w:gridCol w:w="6290"/>
      </w:tblGrid>
      <w:tr>
        <w:trPr>
          <w:cantSplit/>
          <w:tblHeader/>
        </w:trPr>
        <w:tc>
          <w:tcPr>
            <w:tcW w:type="dxa" w:w="16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1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29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de R</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local de session choisi au hasard par R</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de I</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Recopié de l'initiation</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éphémère e_R</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 nouvelle pour chaque réponse</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Partie chiffrée</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112 octets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AEAD sous k_resp : Ed_R (32 octets), signature sig_R (64 octets), étiquette (16 octets)</w:t>
            </w:r>
          </w:p>
        </w:tc>
      </w:tr>
    </w:tbl>
    <w:p>
      <w:pPr>
        <w:spacing w:after="120"/>
      </w:pPr>
      <w:r>
        <w:rPr>
          <w:rFonts w:ascii="Courier New" w:cs="Courier New" w:eastAsia="Courier New" w:hAnsi="Courier New"/>
          <w:sz w:val="20"/>
          <w:szCs w:val="20"/>
        </w:rPr>
        <w:t xml:space="preserve"/>
      </w:r>
    </w:p>
    <w:p>
      <w:pPr>
        <w:keepNext/>
        <w:keepLines/>
        <w:spacing w:after="0" w:line="220"/>
        <w:ind w:left="360"/>
      </w:pPr>
      <w:r>
        <w:rPr>
          <w:rFonts w:ascii="Courier New" w:cs="Courier New" w:eastAsia="Courier New" w:hAnsi="Courier New"/>
          <w:sz w:val="18"/>
          <w:szCs w:val="18"/>
        </w:rPr>
        <w:t xml:space="preserve">  h      = H(trame d'initiation complète, en-tête compris)</w:t>
      </w:r>
    </w:p>
    <w:p>
      <w:pPr>
        <w:keepNext/>
        <w:keepLines/>
        <w:spacing w:after="0" w:line="220"/>
        <w:ind w:left="360"/>
      </w:pPr>
      <w:r>
        <w:rPr>
          <w:rFonts w:ascii="Courier New" w:cs="Courier New" w:eastAsia="Courier New" w:hAnsi="Courier New"/>
          <w:sz w:val="18"/>
          <w:szCs w:val="18"/>
        </w:rPr>
        <w:t xml:space="preserve">  k_resp = HKDF-SHA-256(sel = h,</w:t>
      </w:r>
    </w:p>
    <w:p>
      <w:pPr>
        <w:keepNext/>
        <w:keepLines/>
        <w:spacing w:after="0" w:line="220"/>
        <w:ind w:left="360"/>
      </w:pPr>
      <w:r>
        <w:rPr>
          <w:rFonts w:ascii="Courier New" w:cs="Courier New" w:eastAsia="Courier New" w:hAnsi="Courier New"/>
          <w:sz w:val="18"/>
          <w:szCs w:val="18"/>
        </w:rPr>
        <w:t xml:space="preserve">                        ikm = DH(e_R, e_I) || DH(s_R, e_I),</w:t>
      </w:r>
    </w:p>
    <w:p>
      <w:pPr>
        <w:keepNext/>
        <w:keepLines/>
        <w:spacing w:after="0" w:line="220"/>
        <w:ind w:left="360"/>
      </w:pPr>
      <w:r>
        <w:rPr>
          <w:rFonts w:ascii="Courier New" w:cs="Courier New" w:eastAsia="Courier New" w:hAnsi="Courier New"/>
          <w:sz w:val="18"/>
          <w:szCs w:val="18"/>
        </w:rPr>
        <w:t xml:space="preserve">                        info = "resp" || e_R, L = 32)</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sig_R  = Ed25519(R, "USMD-SP-v1-resp" || h || index_R || index_I</w:t>
      </w:r>
    </w:p>
    <w:p>
      <w:pPr>
        <w:keepLines/>
        <w:spacing w:after="120" w:line="220"/>
        <w:ind w:left="360"/>
      </w:pPr>
      <w:r>
        <w:rPr>
          <w:rFonts w:ascii="Courier New" w:cs="Courier New" w:eastAsia="Courier New" w:hAnsi="Courier New"/>
          <w:sz w:val="18"/>
          <w:szCs w:val="18"/>
        </w:rPr>
        <w:t xml:space="preserve">                      || e_R || Ed_I)</w:t>
      </w:r>
    </w:p>
    <w:p>
      <w:pPr>
        <w:spacing w:after="120" w:before="0" w:line="240"/>
        <w:ind w:left="360"/>
        <w:jc w:val="left"/>
      </w:pPr>
      <w:r>
        <w:rPr>
          <w:rFonts w:ascii="Courier New" w:cs="Courier New" w:eastAsia="Courier New" w:hAnsi="Courier New"/>
          <w:sz w:val="20"/>
          <w:szCs w:val="20"/>
        </w:rPr>
        <w:t xml:space="preserve">Les deux parties chiffrées utilisent ChaCha20-Poly1305 [RFC8439] avec un nonce nul de 12 octets, ce qui est sûr car chaque clé n'est utilisée qu'une fois. Les données authentifiées associées sont l'en-tête de trame et tous les champs en clair qui précèdent la partie chiffrée.</w:t>
      </w:r>
    </w:p>
    <w:p>
      <w:pPr>
        <w:pStyle w:val="Heading2"/>
        <w:keepNext/>
        <w:spacing w:after="120" w:before="240"/>
      </w:pPr>
      <w:r>
        <w:rPr>
          <w:rFonts w:ascii="Courier New" w:cs="Courier New" w:eastAsia="Courier New" w:hAnsi="Courier New"/>
          <w:b/>
          <w:bCs/>
          <w:sz w:val="20"/>
          <w:szCs w:val="20"/>
        </w:rPr>
        <w:t xml:space="preserve">7.4. Clés de session</w:t>
      </w:r>
    </w:p>
    <w:p>
      <w:pPr>
        <w:spacing w:after="120" w:before="0" w:line="240"/>
        <w:ind w:left="360"/>
        <w:jc w:val="left"/>
      </w:pPr>
      <w:r>
        <w:rPr>
          <w:rFonts w:ascii="Courier New" w:cs="Courier New" w:eastAsia="Courier New" w:hAnsi="Courier New"/>
          <w:sz w:val="20"/>
          <w:szCs w:val="20"/>
        </w:rPr>
        <w:t xml:space="preserve">Après une poignée de main réussie, chaque côté calcule :</w:t>
      </w:r>
    </w:p>
    <w:p>
      <w:pPr>
        <w:keepNext/>
        <w:keepLines/>
        <w:spacing w:after="0" w:line="220"/>
        <w:ind w:left="360"/>
      </w:pPr>
      <w:r>
        <w:rPr>
          <w:rFonts w:ascii="Courier New" w:cs="Courier New" w:eastAsia="Courier New" w:hAnsi="Courier New"/>
          <w:sz w:val="18"/>
          <w:szCs w:val="18"/>
        </w:rPr>
        <w:t xml:space="preserve">  h2 = H(trame d'initiation || trame de réponse)</w:t>
      </w:r>
    </w:p>
    <w:p>
      <w:pPr>
        <w:keepNext/>
        <w:keepLines/>
        <w:spacing w:after="0" w:line="220"/>
        <w:ind w:left="360"/>
      </w:pPr>
      <w:r>
        <w:rPr>
          <w:rFonts w:ascii="Courier New" w:cs="Courier New" w:eastAsia="Courier New" w:hAnsi="Courier New"/>
          <w:sz w:val="18"/>
          <w:szCs w:val="18"/>
        </w:rPr>
        <w:t xml:space="preserve">  k_IR || k_RI = HKDF-SHA-256(sel = h2,</w:t>
      </w:r>
    </w:p>
    <w:p>
      <w:pPr>
        <w:keepNext/>
        <w:keepLines/>
        <w:spacing w:after="0" w:line="220"/>
        <w:ind w:left="360"/>
      </w:pPr>
      <w:r>
        <w:rPr>
          <w:rFonts w:ascii="Courier New" w:cs="Courier New" w:eastAsia="Courier New" w:hAnsi="Courier New"/>
          <w:sz w:val="18"/>
          <w:szCs w:val="18"/>
        </w:rPr>
        <w:t xml:space="preserve">                              ikm = DH(e_I, e_R) || DH(e_I, S_R),</w:t>
      </w:r>
    </w:p>
    <w:p>
      <w:pPr>
        <w:keepLines/>
        <w:spacing w:after="120" w:line="220"/>
        <w:ind w:left="360"/>
      </w:pPr>
      <w:r>
        <w:rPr>
          <w:rFonts w:ascii="Courier New" w:cs="Courier New" w:eastAsia="Courier New" w:hAnsi="Courier New"/>
          <w:sz w:val="18"/>
          <w:szCs w:val="18"/>
        </w:rPr>
        <w:t xml:space="preserve">                              info = "USMD-SP-v1-session", L = 64)</w:t>
      </w:r>
    </w:p>
    <w:p>
      <w:pPr>
        <w:spacing w:after="120" w:before="0" w:line="240"/>
        <w:ind w:left="360"/>
        <w:jc w:val="left"/>
      </w:pPr>
      <w:r>
        <w:rPr>
          <w:rFonts w:ascii="Courier New" w:cs="Courier New" w:eastAsia="Courier New" w:hAnsi="Courier New"/>
          <w:sz w:val="20"/>
          <w:szCs w:val="20"/>
        </w:rPr>
        <w:t xml:space="preserve">k_IR chiffre les trames de I vers R, et k_RI celles de R vers I. Les clés éphémères privées DOIVENT être effacées dès que les clés de session sont calculées.</w:t>
      </w:r>
    </w:p>
    <w:p>
      <w:pPr>
        <w:pStyle w:val="Heading2"/>
        <w:keepNext/>
        <w:spacing w:after="120" w:before="240"/>
      </w:pPr>
      <w:r>
        <w:rPr>
          <w:rFonts w:ascii="Courier New" w:cs="Courier New" w:eastAsia="Courier New" w:hAnsi="Courier New"/>
          <w:b/>
          <w:bCs/>
          <w:sz w:val="20"/>
          <w:szCs w:val="20"/>
        </w:rPr>
        <w:t xml:space="preserve">7.5. Trame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8"/>
        <w:gridCol w:w="1100"/>
        <w:gridCol w:w="5808"/>
      </w:tblGrid>
      <w:tr>
        <w:trPr>
          <w:cantSplit/>
          <w:tblHeader/>
        </w:trPr>
        <w:tc>
          <w:tcPr>
            <w:tcW w:type="dxa" w:w="21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21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du destinataire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5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local de session choisi par le destinataire lors de la poignée de main</w:t>
            </w:r>
          </w:p>
        </w:tc>
      </w:tr>
      <w:tr>
        <w:trPr>
          <w:cantSplit/>
        </w:trPr>
        <w:tc>
          <w:tcPr>
            <w:tcW w:type="dxa" w:w="21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Compteur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5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Numéro de la trame dans ce sens, à partir de 0</w:t>
            </w:r>
          </w:p>
        </w:tc>
      </w:tr>
      <w:tr>
        <w:trPr>
          <w:cantSplit/>
        </w:trPr>
        <w:tc>
          <w:tcPr>
            <w:tcW w:type="dxa" w:w="21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Partie chiffrée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variable</w:t>
            </w:r>
          </w:p>
        </w:tc>
        <w:tc>
          <w:tcPr>
            <w:tcW w:type="dxa" w:w="5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AEAD du texte en clair ci-dessous, suivi de l'étiquette de 16 octets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texte en clair d'une trame de données est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5"/>
        <w:gridCol w:w="1100"/>
        <w:gridCol w:w="6161"/>
      </w:tblGrid>
      <w:tr>
        <w:trPr>
          <w:cantSplit/>
          <w:tblHeader/>
        </w:trPr>
        <w:tc>
          <w:tcPr>
            <w:tcW w:type="dxa" w:w="176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16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76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61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Bit 0x80 (M) : trame de maintien, sans aucun autre champ ; autres bits réservés, à 0 à l'émission et ignorés à la réception</w:t>
            </w:r>
          </w:p>
        </w:tc>
      </w:tr>
      <w:tr>
        <w:trPr>
          <w:cantSplit/>
        </w:trPr>
        <w:tc>
          <w:tcPr>
            <w:tcW w:type="dxa" w:w="176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 source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1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 de l'émetteur pour le service source</w:t>
            </w:r>
          </w:p>
        </w:tc>
      </w:tr>
      <w:tr>
        <w:trPr>
          <w:cantSplit/>
        </w:trPr>
        <w:tc>
          <w:tcPr>
            <w:tcW w:type="dxa" w:w="176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 destination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1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 de l'instance de destination, ou sss.ffff pour une diffusion ; jamais sss.0000</w:t>
            </w:r>
          </w:p>
        </w:tc>
      </w:tr>
      <w:tr>
        <w:trPr>
          <w:cantSplit/>
        </w:trPr>
        <w:tc>
          <w:tcPr>
            <w:tcW w:type="dxa" w:w="176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diffusion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61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Présent seulement si l'identifiant de gestion de destination vaut 0xFFFF (section 8)</w:t>
            </w:r>
          </w:p>
        </w:tc>
      </w:tr>
      <w:tr>
        <w:trPr>
          <w:cantSplit/>
        </w:trPr>
        <w:tc>
          <w:tcPr>
            <w:tcW w:type="dxa" w:w="176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interne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variable</w:t>
            </w:r>
          </w:p>
        </w:tc>
        <w:tc>
          <w:tcPr>
            <w:tcW w:type="dxa" w:w="616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IPv4 complet</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nonce ChaCha20-Poly1305 est formé de quatre octets nuls suivis du compteur. Les données authentifiées associées sont l'en-tête de trame, l'index du destinataire et le compteur.</w:t>
      </w:r>
    </w:p>
    <w:p>
      <w:pPr>
        <w:pStyle w:val="ListParagraph"/>
        <w:numPr>
          <w:ilvl w:val="0"/>
          <w:numId w:val="2"/>
        </w:numPr>
        <w:spacing w:after="60" w:line="240"/>
      </w:pPr>
      <w:r>
        <w:rPr>
          <w:rFonts w:ascii="Courier New" w:cs="Courier New" w:eastAsia="Courier New" w:hAnsi="Courier New"/>
          <w:sz w:val="20"/>
          <w:szCs w:val="20"/>
        </w:rPr>
        <w:t xml:space="preserve">L'émetteur incrémente le compteur à chaque trame et NE DOIT JAMAIS réutiliser une valeur sous la même clé.</w:t>
      </w:r>
    </w:p>
    <w:p>
      <w:pPr>
        <w:pStyle w:val="ListParagraph"/>
        <w:numPr>
          <w:ilvl w:val="0"/>
          <w:numId w:val="2"/>
        </w:numPr>
        <w:spacing w:after="60" w:line="240"/>
      </w:pPr>
      <w:r>
        <w:rPr>
          <w:rFonts w:ascii="Courier New" w:cs="Courier New" w:eastAsia="Courier New" w:hAnsi="Courier New"/>
          <w:sz w:val="20"/>
          <w:szCs w:val="20"/>
        </w:rPr>
        <w:t xml:space="preserve">Le destinataire retrouve la session par l'index, authentifie la trame, puis applique une fenêtre anti-rejeu d'au moins 2048 valeurs de compteur [RFC6479]. Il ignore toute trame non authentifiée, rejouée ou trop ancienne.</w:t>
      </w:r>
    </w:p>
    <w:p>
      <w:pPr>
        <w:pStyle w:val="ListParagraph"/>
        <w:numPr>
          <w:ilvl w:val="0"/>
          <w:numId w:val="2"/>
        </w:numPr>
        <w:spacing w:after="60" w:line="240"/>
      </w:pPr>
      <w:r>
        <w:rPr>
          <w:rFonts w:ascii="Courier New" w:cs="Courier New" w:eastAsia="Courier New" w:hAnsi="Courier New"/>
          <w:sz w:val="20"/>
          <w:szCs w:val="20"/>
        </w:rPr>
        <w:t xml:space="preserve">Une trame dont l'indicateur M vaut 1 est une trame de maintien ; son texte en clair ne contient que l'octet d'indicateurs. Un nœud qui a reçu des données et n'en a émis aucune pendant 10 s envoie une trame de maintien.</w:t>
      </w:r>
    </w:p>
    <w:p>
      <w:pPr>
        <w:pStyle w:val="Heading2"/>
        <w:keepNext/>
        <w:spacing w:after="120" w:before="240"/>
      </w:pPr>
      <w:r>
        <w:rPr>
          <w:rFonts w:ascii="Courier New" w:cs="Courier New" w:eastAsia="Courier New" w:hAnsi="Courier New"/>
          <w:b/>
          <w:bCs/>
          <w:sz w:val="20"/>
          <w:szCs w:val="20"/>
        </w:rPr>
        <w:t xml:space="preserve">7.6. Établissement, renouvellement et fermeture</w:t>
      </w:r>
    </w:p>
    <w:p>
      <w:pPr>
        <w:pStyle w:val="ListParagraph"/>
        <w:numPr>
          <w:ilvl w:val="0"/>
          <w:numId w:val="2"/>
        </w:numPr>
        <w:spacing w:after="60" w:line="240"/>
      </w:pPr>
      <w:r>
        <w:rPr>
          <w:rFonts w:ascii="Courier New" w:cs="Courier New" w:eastAsia="Courier New" w:hAnsi="Courier New"/>
          <w:sz w:val="20"/>
          <w:szCs w:val="20"/>
        </w:rPr>
        <w:t xml:space="preserve">Un nœud engage une poignée de main lorsqu'il doit émettre vers un pair sans session valide. Il conserve au plus 32 paquets en attente par pair ; au-delà, il ignore les plus anciens.</w:t>
      </w:r>
    </w:p>
    <w:p>
      <w:pPr>
        <w:pStyle w:val="ListParagraph"/>
        <w:numPr>
          <w:ilvl w:val="0"/>
          <w:numId w:val="2"/>
        </w:numPr>
        <w:spacing w:after="60" w:line="240"/>
      </w:pPr>
      <w:r>
        <w:rPr>
          <w:rFonts w:ascii="Courier New" w:cs="Courier New" w:eastAsia="Courier New" w:hAnsi="Courier New"/>
          <w:sz w:val="20"/>
          <w:szCs w:val="20"/>
        </w:rPr>
        <w:t xml:space="preserve">Sans réponse, l'initiation est réémise, avec une nouvelle clé éphémère, après 2 s puis 4 s, puis la tentative est abandonnée : le pair cesse d'être éligible pendant 30 s (section 6.1) et les paquets en attente sont réorientés ou ignorés.</w:t>
      </w:r>
    </w:p>
    <w:p>
      <w:pPr>
        <w:pStyle w:val="ListParagraph"/>
        <w:numPr>
          <w:ilvl w:val="0"/>
          <w:numId w:val="2"/>
        </w:numPr>
        <w:spacing w:after="60" w:line="240"/>
      </w:pPr>
      <w:r>
        <w:rPr>
          <w:rFonts w:ascii="Courier New" w:cs="Courier New" w:eastAsia="Courier New" w:hAnsi="Courier New"/>
          <w:sz w:val="20"/>
          <w:szCs w:val="20"/>
        </w:rPr>
        <w:t xml:space="preserve">Le répondeur n'émet aucune trame de données sur une nouvelle session avant d'avoir reçu et authentifié une première trame de l'initiateur. L'initiateur envoie donc une trame de maintien dès la réception de la réponse s'il n'a aucun paquet en attente.</w:t>
      </w:r>
    </w:p>
    <w:p>
      <w:pPr>
        <w:pStyle w:val="ListParagraph"/>
        <w:numPr>
          <w:ilvl w:val="0"/>
          <w:numId w:val="2"/>
        </w:numPr>
        <w:spacing w:after="60" w:line="240"/>
      </w:pPr>
      <w:r>
        <w:rPr>
          <w:rFonts w:ascii="Courier New" w:cs="Courier New" w:eastAsia="Courier New" w:hAnsi="Courier New"/>
          <w:sz w:val="20"/>
          <w:szCs w:val="20"/>
        </w:rPr>
        <w:t xml:space="preserve">Une session est renouvelée par une nouvelle poignée de main après 120 s ou 2^60 trames émises, au premier terme atteint. Une session NE DOIT plus être utilisée pour émettre au-delà de 180 s, ni pour recevoir au-delà de 240 s.</w:t>
      </w:r>
    </w:p>
    <w:p>
      <w:pPr>
        <w:pStyle w:val="ListParagraph"/>
        <w:numPr>
          <w:ilvl w:val="0"/>
          <w:numId w:val="2"/>
        </w:numPr>
        <w:spacing w:after="60" w:line="240"/>
      </w:pPr>
      <w:r>
        <w:rPr>
          <w:rFonts w:ascii="Courier New" w:cs="Courier New" w:eastAsia="Courier New" w:hAnsi="Courier New"/>
          <w:sz w:val="20"/>
          <w:szCs w:val="20"/>
        </w:rPr>
        <w:t xml:space="preserve">Les deux pairs peuvent engager simultanément un renouvellement. Chacun utilise alors pour émettre la session la plus récemment établie, et accepte en réception toute session valide.</w:t>
      </w:r>
    </w:p>
    <w:p>
      <w:pPr>
        <w:pStyle w:val="ListParagraph"/>
        <w:numPr>
          <w:ilvl w:val="0"/>
          <w:numId w:val="2"/>
        </w:numPr>
        <w:spacing w:after="60" w:line="240"/>
      </w:pPr>
      <w:r>
        <w:rPr>
          <w:rFonts w:ascii="Courier New" w:cs="Courier New" w:eastAsia="Courier New" w:hAnsi="Courier New"/>
          <w:sz w:val="20"/>
          <w:szCs w:val="20"/>
        </w:rPr>
        <w:t xml:space="preserve">Une session sans trafic depuis 180 s est supprimée, ainsi que toutes les sessions d'un pair qui perd l'état « Actif », est exclu ou disparaît de la NIT.</w:t>
      </w:r>
    </w:p>
    <w:p>
      <w:pPr>
        <w:pStyle w:val="Heading2"/>
        <w:keepNext/>
        <w:spacing w:after="120" w:before="240"/>
      </w:pPr>
      <w:r>
        <w:rPr>
          <w:rFonts w:ascii="Courier New" w:cs="Courier New" w:eastAsia="Courier New" w:hAnsi="Courier New"/>
          <w:b/>
          <w:bCs/>
          <w:sz w:val="20"/>
          <w:szCs w:val="20"/>
        </w:rPr>
        <w:t xml:space="preserve">7.7. Traitement d'une initiation</w:t>
      </w:r>
    </w:p>
    <w:p>
      <w:pPr>
        <w:spacing w:after="120" w:before="0" w:line="240"/>
        <w:ind w:left="360"/>
        <w:jc w:val="left"/>
      </w:pPr>
      <w:r>
        <w:rPr>
          <w:rFonts w:ascii="Courier New" w:cs="Courier New" w:eastAsia="Courier New" w:hAnsi="Courier New"/>
          <w:sz w:val="20"/>
          <w:szCs w:val="20"/>
        </w:rPr>
        <w:t xml:space="preserve">À la réception d'une initiation, le répondeur effectue les contrôles suivants dans l'ordre, du moins coûteux au plus coûteux, et ignore la trame sans répondre au premier échec :</w:t>
      </w:r>
    </w:p>
    <w:p>
      <w:pPr>
        <w:pStyle w:val="ListParagraph"/>
        <w:numPr>
          <w:ilvl w:val="0"/>
          <w:numId w:val="2"/>
        </w:numPr>
        <w:spacing w:after="60" w:line="240"/>
      </w:pPr>
      <w:r>
        <w:rPr>
          <w:rFonts w:ascii="Courier New" w:cs="Courier New" w:eastAsia="Courier New" w:hAnsi="Courier New"/>
          <w:sz w:val="20"/>
          <w:szCs w:val="20"/>
        </w:rPr>
        <w:t xml:space="preserve">le magic, la version, l'événement et la longueur sont corrects ;</w:t>
      </w:r>
    </w:p>
    <w:p>
      <w:pPr>
        <w:pStyle w:val="ListParagraph"/>
        <w:numPr>
          <w:ilvl w:val="0"/>
          <w:numId w:val="2"/>
        </w:numPr>
        <w:spacing w:after="60" w:line="240"/>
      </w:pPr>
      <w:r>
        <w:rPr>
          <w:rFonts w:ascii="Courier New" w:cs="Courier New" w:eastAsia="Courier New" w:hAnsi="Courier New"/>
          <w:sz w:val="20"/>
          <w:szCs w:val="20"/>
        </w:rPr>
        <w:t xml:space="preserve">l'adresse source figure dans la NIT et le débit d'initiations reçues de cette adresse ne dépasse pas 10 par seconde ;</w:t>
      </w:r>
    </w:p>
    <w:p>
      <w:pPr>
        <w:pStyle w:val="ListParagraph"/>
        <w:numPr>
          <w:ilvl w:val="0"/>
          <w:numId w:val="2"/>
        </w:numPr>
        <w:spacing w:after="60" w:line="240"/>
      </w:pPr>
      <w:r>
        <w:rPr>
          <w:rFonts w:ascii="Courier New" w:cs="Courier New" w:eastAsia="Courier New" w:hAnsi="Courier New"/>
          <w:sz w:val="20"/>
          <w:szCs w:val="20"/>
        </w:rPr>
        <w:t xml:space="preserve">l'horodatage ne s'écarte pas de l'heure locale de plus de 30 s ;</w:t>
      </w:r>
    </w:p>
    <w:p>
      <w:pPr>
        <w:pStyle w:val="ListParagraph"/>
        <w:numPr>
          <w:ilvl w:val="0"/>
          <w:numId w:val="2"/>
        </w:numPr>
        <w:spacing w:after="60" w:line="240"/>
      </w:pPr>
      <w:r>
        <w:rPr>
          <w:rFonts w:ascii="Courier New" w:cs="Courier New" w:eastAsia="Courier New" w:hAnsi="Courier New"/>
          <w:sz w:val="20"/>
          <w:szCs w:val="20"/>
        </w:rPr>
        <w:t xml:space="preserve">la clé e_I n'a pas été reçue au cours des 60 dernières secondes ;</w:t>
      </w:r>
    </w:p>
    <w:p>
      <w:pPr>
        <w:pStyle w:val="ListParagraph"/>
        <w:numPr>
          <w:ilvl w:val="0"/>
          <w:numId w:val="2"/>
        </w:numPr>
        <w:spacing w:after="60" w:line="240"/>
      </w:pPr>
      <w:r>
        <w:rPr>
          <w:rFonts w:ascii="Courier New" w:cs="Courier New" w:eastAsia="Courier New" w:hAnsi="Courier New"/>
          <w:sz w:val="20"/>
          <w:szCs w:val="20"/>
        </w:rPr>
        <w:t xml:space="preserve">la partie chiffrée s'authentifie sous k_init ;</w:t>
      </w:r>
    </w:p>
    <w:p>
      <w:pPr>
        <w:pStyle w:val="ListParagraph"/>
        <w:numPr>
          <w:ilvl w:val="0"/>
          <w:numId w:val="2"/>
        </w:numPr>
        <w:spacing w:after="60" w:line="240"/>
      </w:pPr>
      <w:r>
        <w:rPr>
          <w:rFonts w:ascii="Courier New" w:cs="Courier New" w:eastAsia="Courier New" w:hAnsi="Courier New"/>
          <w:sz w:val="20"/>
          <w:szCs w:val="20"/>
        </w:rPr>
        <w:t xml:space="preserve">Ed_I est associée à l'adresse source dans la NIT, et la NAL lui accorde au moins le rôle Node_executor [USMD-NCP] ;</w:t>
      </w:r>
    </w:p>
    <w:p>
      <w:pPr>
        <w:pStyle w:val="ListParagraph"/>
        <w:numPr>
          <w:ilvl w:val="0"/>
          <w:numId w:val="2"/>
        </w:numPr>
        <w:spacing w:after="60" w:line="240"/>
      </w:pPr>
      <w:r>
        <w:rPr>
          <w:rFonts w:ascii="Courier New" w:cs="Courier New" w:eastAsia="Courier New" w:hAnsi="Courier New"/>
          <w:sz w:val="20"/>
          <w:szCs w:val="20"/>
        </w:rPr>
        <w:t xml:space="preserve">sig_I est valide.</w:t>
      </w:r>
    </w:p>
    <w:p>
      <w:pPr>
        <w:pStyle w:val="Heading1"/>
        <w:keepNext/>
        <w:spacing w:after="120" w:before="360"/>
      </w:pPr>
      <w:r>
        <w:rPr>
          <w:rFonts w:ascii="Courier New" w:cs="Courier New" w:eastAsia="Courier New" w:hAnsi="Courier New"/>
          <w:b/>
          <w:bCs/>
          <w:sz w:val="22"/>
          <w:szCs w:val="22"/>
        </w:rPr>
        <w:t xml:space="preserve">8. Diffusion vers un service</w:t>
      </w:r>
    </w:p>
    <w:p>
      <w:pPr>
        <w:spacing w:after="120" w:before="0" w:line="240"/>
        <w:ind w:left="360"/>
        <w:jc w:val="left"/>
      </w:pPr>
      <w:r>
        <w:rPr>
          <w:rFonts w:ascii="Courier New" w:cs="Courier New" w:eastAsia="Courier New" w:hAnsi="Courier New"/>
          <w:sz w:val="20"/>
          <w:szCs w:val="20"/>
        </w:rPr>
        <w:t xml:space="preserve">La diffusion permet à un nœud d'adresser un même paquet à tous les nœuds qui hébergent un service, par exemple pour synchroniser les données d'un service dynamique.</w:t>
      </w:r>
    </w:p>
    <w:p>
      <w:pPr>
        <w:pStyle w:val="ListParagraph"/>
        <w:numPr>
          <w:ilvl w:val="0"/>
          <w:numId w:val="2"/>
        </w:numPr>
        <w:spacing w:after="60" w:line="240"/>
      </w:pPr>
      <w:r>
        <w:rPr>
          <w:rFonts w:ascii="Courier New" w:cs="Courier New" w:eastAsia="Courier New" w:hAnsi="Courier New"/>
          <w:sz w:val="20"/>
          <w:szCs w:val="20"/>
        </w:rPr>
        <w:t xml:space="preserve">Un paquet interne dont la destination est l'adresse de groupe d'un service S est adressé à sss.ffff et répliqué par le nœud émetteur. Une copie est chiffrée et envoyée, par la session correspondante, à chaque nœud à l'état « Actif » dont la fiche indique une mutation comprenant S [USMD-NCP], section 7.8, à l'exception de l'émetteur.</w:t>
      </w:r>
    </w:p>
    <w:p>
      <w:pPr>
        <w:pStyle w:val="ListParagraph"/>
        <w:numPr>
          <w:ilvl w:val="0"/>
          <w:numId w:val="2"/>
        </w:numPr>
        <w:spacing w:after="60" w:line="240"/>
      </w:pPr>
      <w:r>
        <w:rPr>
          <w:rFonts w:ascii="Courier New" w:cs="Courier New" w:eastAsia="Courier New" w:hAnsi="Courier New"/>
          <w:sz w:val="20"/>
          <w:szCs w:val="20"/>
        </w:rPr>
        <w:t xml:space="preserve">Toutes les copies portent l'adresse de destination sss.ffff et le même identifiant de diffusion de 64 bits, tiré au hasard.</w:t>
      </w:r>
    </w:p>
    <w:p>
      <w:pPr>
        <w:pStyle w:val="ListParagraph"/>
        <w:numPr>
          <w:ilvl w:val="0"/>
          <w:numId w:val="2"/>
        </w:numPr>
        <w:spacing w:after="60" w:line="240"/>
      </w:pPr>
      <w:r>
        <w:rPr>
          <w:rFonts w:ascii="Courier New" w:cs="Courier New" w:eastAsia="Courier New" w:hAnsi="Courier New"/>
          <w:sz w:val="20"/>
          <w:szCs w:val="20"/>
        </w:rPr>
        <w:t xml:space="preserve">Le destinataire ignore une trame de diffusion dont le couple (clé du pair, identifiant de diffusion) figure dans son cache de diffusion, puis enregistre ce couple pour 60 s. Il écrit ensuite le paquet sur l'interface SP.</w:t>
      </w:r>
    </w:p>
    <w:p>
      <w:pPr>
        <w:pStyle w:val="ListParagraph"/>
        <w:numPr>
          <w:ilvl w:val="0"/>
          <w:numId w:val="2"/>
        </w:numPr>
        <w:spacing w:after="60" w:line="240"/>
      </w:pPr>
      <w:r>
        <w:rPr>
          <w:rFonts w:ascii="Courier New" w:cs="Courier New" w:eastAsia="Courier New" w:hAnsi="Courier New"/>
          <w:sz w:val="20"/>
          <w:szCs w:val="20"/>
        </w:rPr>
        <w:t xml:space="preserve">Les trames de diffusion ne sont jamais relayées par le destinataire et n'alimentent pas la table des flux.</w:t>
      </w:r>
    </w:p>
    <w:p>
      <w:pPr>
        <w:spacing w:after="120" w:before="0" w:line="240"/>
        <w:ind w:left="360"/>
        <w:jc w:val="left"/>
      </w:pPr>
      <w:r>
        <w:rPr>
          <w:rFonts w:ascii="Courier New" w:cs="Courier New" w:eastAsia="Courier New" w:hAnsi="Courier New"/>
          <w:sz w:val="20"/>
          <w:szCs w:val="20"/>
        </w:rPr>
        <w:t xml:space="preserve">Comme chaque copie circule dans une session bilatérale, la diffusion ne requiert aucune clé de groupe : la confidentialité et l'authentification sont celles des sessions. En contrepartie, le coût d'émission croît linéairement avec le nombre de nœuds hébergeant le service. La diffusion SP n'est pas fiable, comme la multidiffusion IP ; la fiabilité, si elle est nécessaire, relève du service.</w:t>
      </w:r>
    </w:p>
    <w:p>
      <w:pPr>
        <w:pStyle w:val="Heading1"/>
        <w:keepNext/>
        <w:spacing w:after="120" w:before="360"/>
      </w:pPr>
      <w:r>
        <w:rPr>
          <w:rFonts w:ascii="Courier New" w:cs="Courier New" w:eastAsia="Courier New" w:hAnsi="Courier New"/>
          <w:b/>
          <w:bCs/>
          <w:sz w:val="22"/>
          <w:szCs w:val="22"/>
        </w:rPr>
        <w:t xml:space="preserve">9. Encapsulation</w:t>
      </w:r>
    </w:p>
    <w:p>
      <w:pPr>
        <w:pStyle w:val="Heading2"/>
        <w:keepNext/>
        <w:spacing w:after="120" w:before="240"/>
      </w:pPr>
      <w:r>
        <w:rPr>
          <w:rFonts w:ascii="Courier New" w:cs="Courier New" w:eastAsia="Courier New" w:hAnsi="Courier New"/>
          <w:b/>
          <w:bCs/>
          <w:sz w:val="20"/>
          <w:szCs w:val="20"/>
        </w:rPr>
        <w:t xml:space="preserve">9.1. MTU</w:t>
      </w:r>
    </w:p>
    <w:p>
      <w:pPr>
        <w:spacing w:after="120" w:before="0" w:line="240"/>
        <w:ind w:left="360"/>
        <w:jc w:val="left"/>
      </w:pPr>
      <w:r>
        <w:rPr>
          <w:rFonts w:ascii="Courier New" w:cs="Courier New" w:eastAsia="Courier New" w:hAnsi="Courier New"/>
          <w:sz w:val="20"/>
          <w:szCs w:val="20"/>
        </w:rPr>
        <w:t xml:space="preserve">Le surcoût d'une trame de données est de 82 octets au plus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2"/>
        <w:gridCol w:w="1804"/>
      </w:tblGrid>
      <w:tr>
        <w:trPr>
          <w:cantSplit/>
          <w:tblHeader/>
        </w:trPr>
        <w:tc>
          <w:tcPr>
            <w:tcW w:type="dxa" w:w="72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Élément</w:t>
            </w:r>
          </w:p>
        </w:tc>
        <w:tc>
          <w:tcPr>
            <w:tcW w:type="dxa" w:w="180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Octets</w:t>
            </w:r>
          </w:p>
        </w:tc>
      </w:tr>
      <w:tr>
        <w:trPr>
          <w:cantSplit/>
        </w:trPr>
        <w:tc>
          <w:tcPr>
            <w:tcW w:type="dxa" w:w="72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En-tête IPv4 externe, sans options</w:t>
            </w:r>
          </w:p>
        </w:tc>
        <w:tc>
          <w:tcPr>
            <w:tcW w:type="dxa" w:w="18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20</w:t>
            </w:r>
          </w:p>
        </w:tc>
      </w:tr>
      <w:tr>
        <w:trPr>
          <w:cantSplit/>
        </w:trPr>
        <w:tc>
          <w:tcPr>
            <w:tcW w:type="dxa" w:w="72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En-tête UDP</w:t>
            </w:r>
          </w:p>
        </w:tc>
        <w:tc>
          <w:tcPr>
            <w:tcW w:type="dxa" w:w="18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w:t>
            </w:r>
          </w:p>
        </w:tc>
      </w:tr>
      <w:tr>
        <w:trPr>
          <w:cantSplit/>
        </w:trPr>
        <w:tc>
          <w:tcPr>
            <w:tcW w:type="dxa" w:w="72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En-tête de trame commun</w:t>
            </w:r>
          </w:p>
        </w:tc>
        <w:tc>
          <w:tcPr>
            <w:tcW w:type="dxa" w:w="18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w:t>
            </w:r>
          </w:p>
        </w:tc>
      </w:tr>
      <w:tr>
        <w:trPr>
          <w:cantSplit/>
        </w:trPr>
        <w:tc>
          <w:tcPr>
            <w:tcW w:type="dxa" w:w="72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du destinataire et compteur</w:t>
            </w:r>
          </w:p>
        </w:tc>
        <w:tc>
          <w:tcPr>
            <w:tcW w:type="dxa" w:w="18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w:t>
            </w:r>
          </w:p>
        </w:tc>
      </w:tr>
      <w:tr>
        <w:trPr>
          <w:cantSplit/>
        </w:trPr>
        <w:tc>
          <w:tcPr>
            <w:tcW w:type="dxa" w:w="72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Indicateurs</w:t>
            </w:r>
          </w:p>
        </w:tc>
        <w:tc>
          <w:tcPr>
            <w:tcW w:type="dxa" w:w="18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w:t>
            </w:r>
          </w:p>
        </w:tc>
      </w:tr>
      <w:tr>
        <w:trPr>
          <w:cantSplit/>
        </w:trPr>
        <w:tc>
          <w:tcPr>
            <w:tcW w:type="dxa" w:w="72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Adresses SP source et destination</w:t>
            </w:r>
          </w:p>
        </w:tc>
        <w:tc>
          <w:tcPr>
            <w:tcW w:type="dxa" w:w="18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w:t>
            </w:r>
          </w:p>
        </w:tc>
      </w:tr>
      <w:tr>
        <w:trPr>
          <w:cantSplit/>
        </w:trPr>
        <w:tc>
          <w:tcPr>
            <w:tcW w:type="dxa" w:w="72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diffusion</w:t>
            </w:r>
          </w:p>
        </w:tc>
        <w:tc>
          <w:tcPr>
            <w:tcW w:type="dxa" w:w="18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w:t>
            </w:r>
          </w:p>
        </w:tc>
      </w:tr>
      <w:tr>
        <w:trPr>
          <w:cantSplit/>
        </w:trPr>
        <w:tc>
          <w:tcPr>
            <w:tcW w:type="dxa" w:w="72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Étiquette AEAD</w:t>
            </w:r>
          </w:p>
        </w:tc>
        <w:tc>
          <w:tcPr>
            <w:tcW w:type="dxa" w:w="18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w:t>
            </w:r>
          </w:p>
        </w:tc>
      </w:tr>
      <w:tr>
        <w:trPr>
          <w:cantSplit/>
        </w:trPr>
        <w:tc>
          <w:tcPr>
            <w:tcW w:type="dxa" w:w="72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Total</w:t>
            </w:r>
          </w:p>
        </w:tc>
        <w:tc>
          <w:tcPr>
            <w:tcW w:type="dxa" w:w="18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82</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MTU de l'interface SP DOIT être au plus égale à la plus petite MTU des chemins entre nœuds de l'USD, diminuée de 82. La valeur par défaut est 1412 (paramètre 0x0013 de [USMD-ARCH]), qui convient à un chemin de MTU 1500 avec une marge de 6 octets.</w:t>
      </w:r>
    </w:p>
    <w:p>
      <w:pPr>
        <w:pStyle w:val="ListParagraph"/>
        <w:numPr>
          <w:ilvl w:val="0"/>
          <w:numId w:val="2"/>
        </w:numPr>
        <w:spacing w:after="60" w:line="240"/>
      </w:pPr>
      <w:r>
        <w:rPr>
          <w:rFonts w:ascii="Courier New" w:cs="Courier New" w:eastAsia="Courier New" w:hAnsi="Courier New"/>
          <w:sz w:val="20"/>
          <w:szCs w:val="20"/>
        </w:rPr>
        <w:t xml:space="preserve">Si un paquet interne dépasse la MTU de l'interface SP et porte l'indicateur DF, le nœud l'ignore et écrit sur l'interface SP un message ICMP « Destination inaccessible », code 4 (fragmentation nécessaire), indiquant la MTU de l'interface [RFC1191].</w:t>
      </w:r>
    </w:p>
    <w:p>
      <w:pPr>
        <w:pStyle w:val="ListParagraph"/>
        <w:numPr>
          <w:ilvl w:val="0"/>
          <w:numId w:val="2"/>
        </w:numPr>
        <w:spacing w:after="60" w:line="240"/>
      </w:pPr>
      <w:r>
        <w:rPr>
          <w:rFonts w:ascii="Courier New" w:cs="Courier New" w:eastAsia="Courier New" w:hAnsi="Courier New"/>
          <w:sz w:val="20"/>
          <w:szCs w:val="20"/>
        </w:rPr>
        <w:t xml:space="preserve">Sinon, le nœud fragmente le paquet interne [RFC791] avant l'encapsulation.</w:t>
      </w:r>
    </w:p>
    <w:p>
      <w:pPr>
        <w:pStyle w:val="Heading2"/>
        <w:keepNext/>
        <w:spacing w:after="120" w:before="240"/>
      </w:pPr>
      <w:r>
        <w:rPr>
          <w:rFonts w:ascii="Courier New" w:cs="Courier New" w:eastAsia="Courier New" w:hAnsi="Courier New"/>
          <w:b/>
          <w:bCs/>
          <w:sz w:val="20"/>
          <w:szCs w:val="20"/>
        </w:rPr>
        <w:t xml:space="preserve">9.2. ECN et DSCP</w:t>
      </w:r>
    </w:p>
    <w:p>
      <w:pPr>
        <w:spacing w:after="120" w:before="0" w:line="240"/>
        <w:ind w:left="360"/>
        <w:jc w:val="left"/>
      </w:pPr>
      <w:r>
        <w:rPr>
          <w:rFonts w:ascii="Courier New" w:cs="Courier New" w:eastAsia="Courier New" w:hAnsi="Courier New"/>
          <w:sz w:val="20"/>
          <w:szCs w:val="20"/>
        </w:rPr>
        <w:t xml:space="preserve">SP traite ECN selon le mode normal de [RFC6040] :</w:t>
      </w:r>
    </w:p>
    <w:p>
      <w:pPr>
        <w:pStyle w:val="ListParagraph"/>
        <w:numPr>
          <w:ilvl w:val="0"/>
          <w:numId w:val="2"/>
        </w:numPr>
        <w:spacing w:after="60" w:line="240"/>
      </w:pPr>
      <w:r>
        <w:rPr>
          <w:rFonts w:ascii="Courier New" w:cs="Courier New" w:eastAsia="Courier New" w:hAnsi="Courier New"/>
          <w:sz w:val="20"/>
          <w:szCs w:val="20"/>
        </w:rPr>
        <w:t xml:space="preserve">à l'encapsulation, le champ ECN du paquet interne est recopié dans l'en-tête IPv4 externe ;</w:t>
      </w:r>
    </w:p>
    <w:p>
      <w:pPr>
        <w:pStyle w:val="ListParagraph"/>
        <w:numPr>
          <w:ilvl w:val="0"/>
          <w:numId w:val="2"/>
        </w:numPr>
        <w:spacing w:after="60" w:line="240"/>
      </w:pPr>
      <w:r>
        <w:rPr>
          <w:rFonts w:ascii="Courier New" w:cs="Courier New" w:eastAsia="Courier New" w:hAnsi="Courier New"/>
          <w:sz w:val="20"/>
          <w:szCs w:val="20"/>
        </w:rPr>
        <w:t xml:space="preserve">à la décapsulation, si l'en-tête externe porte CE et que le paquet interne porte ECT(0) ou ECT(1), le paquet interne est marqué CE ; si l'en-tête externe porte CE et que le paquet interne porte Not-ECT, le paquet est ignoré ;</w:t>
      </w:r>
    </w:p>
    <w:p>
      <w:pPr>
        <w:pStyle w:val="ListParagraph"/>
        <w:numPr>
          <w:ilvl w:val="0"/>
          <w:numId w:val="2"/>
        </w:numPr>
        <w:spacing w:after="60" w:line="240"/>
      </w:pPr>
      <w:r>
        <w:rPr>
          <w:rFonts w:ascii="Courier New" w:cs="Courier New" w:eastAsia="Courier New" w:hAnsi="Courier New"/>
          <w:sz w:val="20"/>
          <w:szCs w:val="20"/>
        </w:rPr>
        <w:t xml:space="preserve">dans les autres cas, le champ ECN du paquet interne est conservé.</w:t>
      </w:r>
    </w:p>
    <w:p>
      <w:pPr>
        <w:spacing w:after="120" w:before="0" w:line="240"/>
        <w:ind w:left="360"/>
        <w:jc w:val="left"/>
      </w:pPr>
      <w:r>
        <w:rPr>
          <w:rFonts w:ascii="Courier New" w:cs="Courier New" w:eastAsia="Courier New" w:hAnsi="Courier New"/>
          <w:sz w:val="20"/>
          <w:szCs w:val="20"/>
        </w:rPr>
        <w:t xml:space="preserve">Le nœud DEVRAIT recopier le champ DSCP du paquet interne dans l'en-tête externe. Le TTL du paquet interne n'est pas modifié ; le TTL externe est fixé par le système d'exploitation.</w:t>
      </w:r>
    </w:p>
    <w:p>
      <w:pPr>
        <w:pStyle w:val="Heading1"/>
        <w:keepNext/>
        <w:spacing w:after="120" w:before="360"/>
      </w:pPr>
      <w:r>
        <w:rPr>
          <w:rFonts w:ascii="Courier New" w:cs="Courier New" w:eastAsia="Courier New" w:hAnsi="Courier New"/>
          <w:b/>
          <w:bCs/>
          <w:sz w:val="22"/>
          <w:szCs w:val="22"/>
        </w:rPr>
        <w:t xml:space="preserve">10. 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57"/>
        <w:gridCol w:w="3156"/>
        <w:gridCol w:w="2313"/>
      </w:tblGrid>
      <w:tr>
        <w:trPr>
          <w:cantSplit/>
          <w:tblHeader/>
        </w:trPr>
        <w:tc>
          <w:tcPr>
            <w:tcW w:type="dxa" w:w="355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Paramètre</w:t>
            </w:r>
          </w:p>
        </w:tc>
        <w:tc>
          <w:tcPr>
            <w:tcW w:type="dxa" w:w="315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Valeur par défaut</w:t>
            </w:r>
          </w:p>
        </w:tc>
        <w:tc>
          <w:tcPr>
            <w:tcW w:type="dxa" w:w="23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Source</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 UDP</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 (9993 dans les exemples)</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 paramètre 0x0010</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Aires de service et catalogue</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Propriétés de l'USD</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MTU de l'interface SP</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1412 octets</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 paramètre 0x0013</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Instances retenues par service K</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 paramètre 0x000A</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Marge de sélection Δ</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0,1</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Local</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Inactivité d'un flux</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300 s</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Local</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Paquets en attente par pair</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Local</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Réémission de l'initiation</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 s puis 4 s</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Inéligibilité après échec</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 s</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Local</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Renouvellement de session</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120 s ou 2^60 trames</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Fin d'émission / de réception</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180 s / 240 s</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Maintien</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 s</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Fenêtre anti-rejeu</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2048 trames au moins</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Local</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Fenêtre de fraîcheur des initiations</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 s</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55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Durée du cache de diffusion</w:t>
            </w:r>
          </w:p>
        </w:tc>
        <w:tc>
          <w:tcPr>
            <w:tcW w:type="dxa" w:w="315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 s</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11. Considérations de sécurité</w:t>
      </w:r>
    </w:p>
    <w:p>
      <w:pPr>
        <w:spacing w:after="120" w:before="0" w:line="240"/>
        <w:ind w:left="360"/>
        <w:jc w:val="left"/>
      </w:pPr>
      <w:r>
        <w:rPr>
          <w:rFonts w:ascii="Courier New" w:cs="Courier New" w:eastAsia="Courier New" w:hAnsi="Courier New"/>
          <w:b/>
          <w:bCs/>
          <w:sz w:val="20"/>
          <w:szCs w:val="20"/>
        </w:rPr>
        <w:t xml:space="preserve">Confidentialité et confidentialité persistante.</w:t>
      </w:r>
      <w:r>
        <w:rPr>
          <w:rFonts w:ascii="Courier New" w:cs="Courier New" w:eastAsia="Courier New" w:hAnsi="Courier New"/>
          <w:sz w:val="20"/>
          <w:szCs w:val="20"/>
        </w:rPr>
        <w:t xml:space="preserve"> Les clés de session dérivent d'un échange entre clés éphémères : la compromission ultérieure de la clé X25519 statique d'un nœud n'expose pas les sessions passées. La compromission de cette clé permet en revanche de déchiffrer l'identité Ed25519 d'un initiateur, sans plus. Les en-têtes de trame, les index, les compteurs et la taille des trames restent visibles et permettent une analyse de trafic.</w:t>
      </w:r>
    </w:p>
    <w:p>
      <w:pPr>
        <w:spacing w:after="120" w:before="0" w:line="240"/>
        <w:ind w:left="360"/>
        <w:jc w:val="left"/>
      </w:pPr>
      <w:r>
        <w:rPr>
          <w:rFonts w:ascii="Courier New" w:cs="Courier New" w:eastAsia="Courier New" w:hAnsi="Courier New"/>
          <w:b/>
          <w:bCs/>
          <w:sz w:val="20"/>
          <w:szCs w:val="20"/>
        </w:rPr>
        <w:t xml:space="preserve">Authentification.</w:t>
      </w:r>
      <w:r>
        <w:rPr>
          <w:rFonts w:ascii="Courier New" w:cs="Courier New" w:eastAsia="Courier New" w:hAnsi="Courier New"/>
          <w:sz w:val="20"/>
          <w:szCs w:val="20"/>
        </w:rPr>
        <w:t xml:space="preserve"> Chaque côté prouve la détention de sa clé Ed25519 par une signature qui couvre ses clés éphémères ; le répondeur prouve en outre la détention de sa clé X25519 statique, nécessaire au calcul de k_resp. Un nœud n'accepte une session que d'une clé admise dans l'USD, liée à son adresse par la NIT et dotée d'un rôle suffisant.</w:t>
      </w:r>
    </w:p>
    <w:p>
      <w:pPr>
        <w:spacing w:after="120" w:before="0" w:line="240"/>
        <w:ind w:left="360"/>
        <w:jc w:val="left"/>
      </w:pPr>
      <w:r>
        <w:rPr>
          <w:rFonts w:ascii="Courier New" w:cs="Courier New" w:eastAsia="Courier New" w:hAnsi="Courier New"/>
          <w:b/>
          <w:bCs/>
          <w:sz w:val="20"/>
          <w:szCs w:val="20"/>
        </w:rPr>
        <w:t xml:space="preserve">Rejeu.</w:t>
      </w:r>
      <w:r>
        <w:rPr>
          <w:rFonts w:ascii="Courier New" w:cs="Courier New" w:eastAsia="Courier New" w:hAnsi="Courier New"/>
          <w:sz w:val="20"/>
          <w:szCs w:val="20"/>
        </w:rPr>
        <w:t xml:space="preserve"> Une initiation rejouée est rejetée par la fenêtre de fraîcheur et le cache des clés éphémères ; même acceptée, elle ne donnerait aucune clé à l'attaquant, qui ne détient pas e_I. Les trames de données sont protégées par le compteur et la fenêtre anti-rejeu, et le répondeur n'émet rien avant la confirmation de clé de la section 7.6.</w:t>
      </w:r>
    </w:p>
    <w:p>
      <w:pPr>
        <w:spacing w:after="120" w:before="0" w:line="240"/>
        <w:ind w:left="360"/>
        <w:jc w:val="left"/>
      </w:pPr>
      <w:r>
        <w:rPr>
          <w:rFonts w:ascii="Courier New" w:cs="Courier New" w:eastAsia="Courier New" w:hAnsi="Courier New"/>
          <w:b/>
          <w:bCs/>
          <w:sz w:val="20"/>
          <w:szCs w:val="20"/>
        </w:rPr>
        <w:t xml:space="preserve">Usurpation d'un service.</w:t>
      </w:r>
      <w:r>
        <w:rPr>
          <w:rFonts w:ascii="Courier New" w:cs="Courier New" w:eastAsia="Courier New" w:hAnsi="Courier New"/>
          <w:sz w:val="20"/>
          <w:szCs w:val="20"/>
        </w:rPr>
        <w:t xml:space="preserve"> Un nœud admis pourrait tenter d'émettre des paquets internes au nom d'un service qu'il n'héberge pas, ou d'en recevoir. Les contrôles des adresses SP (sections 5.3 et 6.1) n'acceptent une adresse SP que si elle figure dans la fiche signée du nœud concerné, et les identifiants de gestion ne sont attribués que par le maître USD. Ils limitent ce risque aux nœuds de l'aire du service.</w:t>
      </w:r>
    </w:p>
    <w:p>
      <w:pPr>
        <w:spacing w:after="120" w:before="0" w:line="240"/>
        <w:ind w:left="360"/>
        <w:jc w:val="left"/>
      </w:pPr>
      <w:r>
        <w:rPr>
          <w:rFonts w:ascii="Courier New" w:cs="Courier New" w:eastAsia="Courier New" w:hAnsi="Courier New"/>
          <w:b/>
          <w:bCs/>
          <w:sz w:val="20"/>
          <w:szCs w:val="20"/>
        </w:rPr>
        <w:t xml:space="preserve">Isolation des aires.</w:t>
      </w:r>
      <w:r>
        <w:rPr>
          <w:rFonts w:ascii="Courier New" w:cs="Courier New" w:eastAsia="Courier New" w:hAnsi="Courier New"/>
          <w:sz w:val="20"/>
          <w:szCs w:val="20"/>
        </w:rPr>
        <w:t xml:space="preserve"> Chaque nœud vérifie à l'émission et à la réception que la source et la destination appartiennent à la même aire, et n'installe de routes que vers les aires dont il fait partie. Un nœud compromis qui appartient à deux aires peut néanmoins relayer du trafic entre elles par ses propres moyens. Un nœud admis mais compromis reste toutefois capable de lire et de modifier le trafic des services qu'il héberge.</w:t>
      </w:r>
    </w:p>
    <w:p>
      <w:pPr>
        <w:spacing w:after="120" w:before="0" w:line="240"/>
        <w:ind w:left="360"/>
        <w:jc w:val="left"/>
      </w:pPr>
      <w:r>
        <w:rPr>
          <w:rFonts w:ascii="Courier New" w:cs="Courier New" w:eastAsia="Courier New" w:hAnsi="Courier New"/>
          <w:b/>
          <w:bCs/>
          <w:sz w:val="20"/>
          <w:szCs w:val="20"/>
        </w:rPr>
        <w:t xml:space="preserve">Relais ouvert.</w:t>
      </w:r>
      <w:r>
        <w:rPr>
          <w:rFonts w:ascii="Courier New" w:cs="Courier New" w:eastAsia="Courier New" w:hAnsi="Courier New"/>
          <w:sz w:val="20"/>
          <w:szCs w:val="20"/>
        </w:rPr>
        <w:t xml:space="preserve"> Un nœud n'écrit sur son interface SP que des paquets destinés à des services qu'il héberge ; SP ne peut donc pas servir à atteindre d'autres réseaux.</w:t>
      </w:r>
    </w:p>
    <w:p>
      <w:pPr>
        <w:spacing w:after="120" w:before="0" w:line="240"/>
        <w:ind w:left="360"/>
        <w:jc w:val="left"/>
      </w:pPr>
      <w:r>
        <w:rPr>
          <w:rFonts w:ascii="Courier New" w:cs="Courier New" w:eastAsia="Courier New" w:hAnsi="Courier New"/>
          <w:b/>
          <w:bCs/>
          <w:sz w:val="20"/>
          <w:szCs w:val="20"/>
        </w:rPr>
        <w:t xml:space="preserve">Déni de service.</w:t>
      </w:r>
      <w:r>
        <w:rPr>
          <w:rFonts w:ascii="Courier New" w:cs="Courier New" w:eastAsia="Courier New" w:hAnsi="Courier New"/>
          <w:sz w:val="20"/>
          <w:szCs w:val="20"/>
        </w:rPr>
        <w:t xml:space="preserve"> Une initiation coûte au répondeur trois opérations X25519 et une vérification Ed25519. Les contrôles de la section 7.7 éliminent d'abord, sans calcul, les adresses absentes de la NIT, et le débit des initiations est limité par adresse. La diffusion multiplie le trafic émis par le nombre d'hébergeurs du service ; un nœud DEVRAIT en limiter le débit par service.</w:t>
      </w:r>
    </w:p>
    <w:p>
      <w:pPr>
        <w:spacing w:after="120" w:before="0" w:line="240"/>
        <w:ind w:left="360"/>
        <w:jc w:val="left"/>
      </w:pPr>
      <w:r>
        <w:rPr>
          <w:rFonts w:ascii="Courier New" w:cs="Courier New" w:eastAsia="Courier New" w:hAnsi="Courier New"/>
          <w:b/>
          <w:bCs/>
          <w:sz w:val="20"/>
          <w:szCs w:val="20"/>
        </w:rPr>
        <w:t xml:space="preserve">Partition.</w:t>
      </w:r>
      <w:r>
        <w:rPr>
          <w:rFonts w:ascii="Courier New" w:cs="Courier New" w:eastAsia="Courier New" w:hAnsi="Courier New"/>
          <w:sz w:val="20"/>
          <w:szCs w:val="20"/>
        </w:rPr>
        <w:t xml:space="preserve"> Lorsque l'USD est partitionné [USMD-ARCH], chaque partie continue d'acheminer le trafic vers les nœuds qu'elle juge actifs. Les instances d'un service dynamique peuvent alors diverger ; leur réconciliation relève du service.</w:t>
      </w:r>
    </w:p>
    <w:p>
      <w:pPr>
        <w:spacing w:after="120" w:before="0" w:line="240"/>
        <w:ind w:left="360"/>
        <w:jc w:val="left"/>
      </w:pPr>
      <w:r>
        <w:rPr>
          <w:rFonts w:ascii="Courier New" w:cs="Courier New" w:eastAsia="Courier New" w:hAnsi="Courier New"/>
          <w:b/>
          <w:bCs/>
          <w:sz w:val="20"/>
          <w:szCs w:val="20"/>
        </w:rPr>
        <w:t xml:space="preserve">Primitives.</w:t>
      </w:r>
      <w:r>
        <w:rPr>
          <w:rFonts w:ascii="Courier New" w:cs="Courier New" w:eastAsia="Courier New" w:hAnsi="Courier New"/>
          <w:sz w:val="20"/>
          <w:szCs w:val="20"/>
        </w:rPr>
        <w:t xml:space="preserve"> X25519, Ed25519, HKDF-SHA-256 et ChaCha20-Poly1305 sont figées pour la version 1 ; tout changement exige un nouveau numéro de version dans l'en-tête de trame.</w:t>
      </w:r>
    </w:p>
    <w:p>
      <w:pPr>
        <w:pStyle w:val="Heading1"/>
        <w:keepNext/>
        <w:spacing w:after="120" w:before="360"/>
      </w:pPr>
      <w:r>
        <w:rPr>
          <w:rFonts w:ascii="Courier New" w:cs="Courier New" w:eastAsia="Courier New" w:hAnsi="Courier New"/>
          <w:b/>
          <w:bCs/>
          <w:sz w:val="22"/>
          <w:szCs w:val="22"/>
        </w:rPr>
        <w:t xml:space="preserve">12. Considérations IANA</w:t>
      </w:r>
    </w:p>
    <w:p>
      <w:pPr>
        <w:spacing w:after="120" w:before="0" w:line="240"/>
        <w:ind w:left="360"/>
        <w:jc w:val="left"/>
      </w:pPr>
      <w:r>
        <w:rPr>
          <w:rFonts w:ascii="Courier New" w:cs="Courier New" w:eastAsia="Courier New" w:hAnsi="Courier New"/>
          <w:sz w:val="20"/>
          <w:szCs w:val="20"/>
        </w:rPr>
        <w:t xml:space="preserve">Ce document demande à l'IANA les actions suivantes.</w:t>
      </w:r>
    </w:p>
    <w:p>
      <w:pPr>
        <w:pStyle w:val="ListParagraph"/>
        <w:numPr>
          <w:ilvl w:val="0"/>
          <w:numId w:val="2"/>
        </w:numPr>
        <w:spacing w:after="60" w:line="240"/>
      </w:pPr>
      <w:r>
        <w:rPr>
          <w:rFonts w:ascii="Courier New" w:cs="Courier New" w:eastAsia="Courier New" w:hAnsi="Courier New"/>
          <w:sz w:val="20"/>
          <w:szCs w:val="20"/>
        </w:rPr>
        <w:t xml:space="preserve">Création du registre « Événements SP USMD » (champ Événement de l'en-tête de trame, 16 bits) : 0x0000 réservé ; 0x0001 Initiation ; 0x0002 Réponse ; 0x0003 Données ; 0x0004 à 0x7FFF, politique « Spécification requise » [RFC8126] ; 0x8000 à 0xFFFF, usage expérimental.</w:t>
      </w:r>
    </w:p>
    <w:p>
      <w:pPr>
        <w:pStyle w:val="ListParagraph"/>
        <w:numPr>
          <w:ilvl w:val="0"/>
          <w:numId w:val="2"/>
        </w:numPr>
        <w:spacing w:after="60" w:line="240"/>
      </w:pPr>
      <w:r>
        <w:rPr>
          <w:rFonts w:ascii="Courier New" w:cs="Courier New" w:eastAsia="Courier New" w:hAnsi="Courier New"/>
          <w:sz w:val="20"/>
          <w:szCs w:val="20"/>
        </w:rPr>
        <w:t xml:space="preserve">Création du registre « Indicateurs de données SP USMD » (8 bits) : 0x80 Maintien ; autres bits,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Aucun port n'est demandé : le port SP est choisi par l'administrateur.</w:t>
      </w:r>
    </w:p>
    <w:p>
      <w:pPr>
        <w:pStyle w:val="ListParagraph"/>
        <w:numPr>
          <w:ilvl w:val="0"/>
          <w:numId w:val="2"/>
        </w:numPr>
        <w:spacing w:after="60" w:line="240"/>
      </w:pPr>
      <w:r>
        <w:rPr>
          <w:rFonts w:ascii="Courier New" w:cs="Courier New" w:eastAsia="Courier New" w:hAnsi="Courier New"/>
          <w:sz w:val="20"/>
          <w:szCs w:val="20"/>
        </w:rPr>
        <w:t xml:space="preserve">Utilisation du magic et du registre « Paramètres d'USD » définis dans [USMD-ARCH].</w:t>
      </w:r>
    </w:p>
    <w:p>
      <w:pPr>
        <w:pStyle w:val="Heading1"/>
        <w:keepNext/>
        <w:spacing w:after="120" w:before="360"/>
      </w:pPr>
      <w:r>
        <w:rPr>
          <w:rFonts w:ascii="Courier New" w:cs="Courier New" w:eastAsia="Courier New" w:hAnsi="Courier New"/>
          <w:b/>
          <w:bCs/>
          <w:sz w:val="22"/>
          <w:szCs w:val="22"/>
        </w:rPr>
        <w:t xml:space="preserve">13. Références</w:t>
      </w:r>
    </w:p>
    <w:p>
      <w:pPr>
        <w:pStyle w:val="Heading2"/>
        <w:keepNext/>
        <w:spacing w:after="120" w:before="240"/>
      </w:pPr>
      <w:r>
        <w:rPr>
          <w:rFonts w:ascii="Courier New" w:cs="Courier New" w:eastAsia="Courier New" w:hAnsi="Courier New"/>
          <w:b/>
          <w:bCs/>
          <w:sz w:val="20"/>
          <w:szCs w:val="20"/>
        </w:rPr>
        <w:t xml:space="preserve">13.1. Références normatives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8"/>
        <w:gridCol w:w="7768"/>
      </w:tblGrid>
      <w:tr>
        <w:trPr>
          <w:cantSplit/>
          <w:tblHeader/>
        </w:trPr>
        <w:tc>
          <w:tcPr>
            <w:tcW w:type="dxa" w:w="12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7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[RFC768]</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Postel, J., « User Datagram Protocol », STD 6, RFC 768, 1980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[RFC791]</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Postel, J., « Internet Protocol », STD 5, RFC 791, 1981</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[RFC792]</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Postel, J., « Internet Control Message Protocol », STD 5, RFC 792, 1981</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[RFC1191]</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Mogul, J. et S. Deering, « Path MTU Discovery », RFC 1191, 1990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[RFC2119]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Bradner, S., « Key words for use in RFCs to Indicate Requirement Levels », BCP 14, RFC 2119, 1997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[RFC2365]</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Meyer, D., « Administratively Scoped IP Multicast », BCP 23, RFC 2365, 1998</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[RFC5869]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Krawczyk, H. et P. Eronen, « HMAC-based Extract-and-Expand Key Derivation Function (HKDF) », RFC 5869, 2010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[RFC6040]</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Briscoe, B., « Tunnelling of Explicit Congestion Notification », RFC 6040, 2010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[RFC7748]</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Langley, A., Hamburg, M. et S. Turner, « Elliptic Curves for Security », RFC 7748, 2016</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[RFC8032]</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Josefsson, S. et I. Liusvaara, « Edwards-Curve Digital Signature Algorithm (EdDSA) », RFC 8032, 2017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[RFC8174]</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Leiba, B., « Ambiguity of Uppercase vs Lowercase in RFC 2119 Key Words », BCP 14, RFC 8174, 2017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[RFC8439]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Nir, Y. et A. Langley, « ChaCha20 and Poly1305 for IETF Protocols », RFC 8439, 2018</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[USMD-ARCH]</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Architecture du système », draft-usmd-rdsh-architecture-02</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[USMD-NCP]</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cohésion de nœuds (NCP) », draft-usmd-ncp-02</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découverte de nœuds voisins (NNDP) », draft-usmd-nndp-01</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13.2. Références informatives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7897"/>
      </w:tblGrid>
      <w:tr>
        <w:trPr>
          <w:cantSplit/>
          <w:tblHeader/>
        </w:trPr>
        <w:tc>
          <w:tcPr>
            <w:tcW w:type="dxa" w:w="112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89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[RFC1918]</w:t>
            </w:r>
          </w:p>
        </w:tc>
        <w:tc>
          <w:tcPr>
            <w:tcW w:type="dxa" w:w="78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Rekhter, Y. et al., « Address Allocation for Private Internets », BCP 5, RFC 1918, 1996</w:t>
            </w:r>
          </w:p>
        </w:tc>
      </w:tr>
      <w:tr>
        <w:trPr>
          <w:cantSplit/>
        </w:trPr>
        <w:tc>
          <w:tcPr>
            <w:tcW w:type="dxa" w:w="11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[RFC6479]</w:t>
            </w:r>
          </w:p>
        </w:tc>
        <w:tc>
          <w:tcPr>
            <w:tcW w:type="dxa" w:w="78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Zhang, X. et T. Tsou, « IPsec Anti-Replay Algorithm without Bit Shifting », RFC 6479, 2012</w:t>
            </w:r>
          </w:p>
        </w:tc>
      </w:tr>
      <w:tr>
        <w:trPr>
          <w:cantSplit/>
        </w:trPr>
        <w:tc>
          <w:tcPr>
            <w:tcW w:type="dxa" w:w="11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[RFC8126]</w:t>
            </w:r>
          </w:p>
        </w:tc>
        <w:tc>
          <w:tcPr>
            <w:tcW w:type="dxa" w:w="78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Cotton, M., Leiba, B. et T. Narten, « Guidelines for Writing an IANA Considerations Section in RFCs », BCP 26, RFC 8126, 2017</w:t>
            </w:r>
          </w:p>
        </w:tc>
      </w:tr>
      <w:tr>
        <w:trPr>
          <w:cantSplit/>
        </w:trPr>
        <w:tc>
          <w:tcPr>
            <w:tcW w:type="dxa" w:w="11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[WIREGUARD]</w:t>
            </w:r>
          </w:p>
        </w:tc>
        <w:tc>
          <w:tcPr>
            <w:tcW w:type="dxa" w:w="78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Donenfeld, J., « WireGuard: Next Generation Kernel Network Tunnel », NDSS 2017</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Annexe A. Exemple de taille de trame</w:t>
      </w:r>
    </w:p>
    <w:p>
      <w:pPr>
        <w:spacing w:after="120" w:before="0" w:line="240"/>
        <w:ind w:left="360"/>
        <w:jc w:val="left"/>
      </w:pPr>
      <w:r>
        <w:rPr>
          <w:rFonts w:ascii="Courier New" w:cs="Courier New" w:eastAsia="Courier New" w:hAnsi="Courier New"/>
          <w:sz w:val="20"/>
          <w:szCs w:val="20"/>
        </w:rPr>
        <w:t xml:space="preserve">Un segment TCP de 1372 octets (paquet interne de 1412 octets, à la MTU de l'interface) adressé en unicast produit une trame de données de 9 + 12 + 1 + 8 + 1412 + 16 = 1458 octets de charge UDP, soit un datagramme IPv4 de 1486 octets, inférieur à 1500. En diffusion, l'identifiant de diffusion ajoute 8 octets, soit un datagramme de 1494 octets. Une trame de maintien compte 9 + 12 + 1 + 16 = 38 octets de charge UDP. Une initiation compte 9 + 4 + 32 + 8 + 112 = 165 octets, et une réponse 9 + 4 + 4 + 32 + 112 = 161 octets.</w:t>
      </w:r>
    </w:p>
    <w:p>
      <w:pPr>
        <w:pStyle w:val="Heading1"/>
        <w:keepNext/>
        <w:spacing w:after="120" w:before="360"/>
      </w:pPr>
      <w:r>
        <w:rPr>
          <w:rFonts w:ascii="Courier New" w:cs="Courier New" w:eastAsia="Courier New" w:hAnsi="Courier New"/>
          <w:b/>
          <w:bCs/>
          <w:sz w:val="22"/>
          <w:szCs w:val="22"/>
        </w:rPr>
        <w:t xml:space="preserve">Annexe B. Écarts avec le concept initial</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Transport : le concept initial plaçait SP au-dessus de QUIC. Ce document retient UDP avec une poignée de main et un chiffrement propres, dans la lignée de NCP. QUIC multiplexe des flux fiables et ordonnés ; un tunnel qui transporte des paquets IP, eux-mêmes porteurs de TCP, subirait alors un double contrôle de congestion et des blocages en tête de file. La conception retenue s'inspire de [WIREGUARD]. Ce choix est à confirmer par l'auteur.</w:t>
      </w:r>
    </w:p>
    <w:p>
      <w:pPr>
        <w:pStyle w:val="ListParagraph"/>
        <w:numPr>
          <w:ilvl w:val="0"/>
          <w:numId w:val="2"/>
        </w:numPr>
        <w:spacing w:after="60" w:line="240"/>
      </w:pPr>
      <w:r>
        <w:rPr>
          <w:rFonts w:ascii="Courier New" w:cs="Courier New" w:eastAsia="Courier New" w:hAnsi="Courier New"/>
          <w:sz w:val="20"/>
          <w:szCs w:val="20"/>
        </w:rPr>
        <w:t xml:space="preserve">Le concept décrivait la « liste des requêtes SP reçues avec leur identifiant » ; elle devient le cache de diffusion de la section 8, seul usage où un identifiant applicatif est nécessaire.</w:t>
      </w:r>
    </w:p>
    <w:p>
      <w:pPr>
        <w:pStyle w:val="ListParagraph"/>
        <w:numPr>
          <w:ilvl w:val="0"/>
          <w:numId w:val="2"/>
        </w:numPr>
        <w:spacing w:after="60" w:line="240"/>
      </w:pPr>
      <w:r>
        <w:rPr>
          <w:rFonts w:ascii="Courier New" w:cs="Courier New" w:eastAsia="Courier New" w:hAnsi="Courier New"/>
          <w:sz w:val="20"/>
          <w:szCs w:val="20"/>
        </w:rPr>
        <w:t xml:space="preserve">L'affinité des flux, la table des flux inverses, la règle selon laquelle la source d'un paquet interne est la VIP d'un service local, la marge de sélection Δ et le traitement ECN et MTU sont des propositions de ce document.</w:t>
      </w:r>
    </w:p>
    <w:p>
      <w:pPr>
        <w:pStyle w:val="ListParagraph"/>
        <w:numPr>
          <w:ilvl w:val="0"/>
          <w:numId w:val="2"/>
        </w:numPr>
        <w:spacing w:after="60" w:line="240"/>
      </w:pPr>
      <w:r>
        <w:rPr>
          <w:rFonts w:ascii="Courier New" w:cs="Courier New" w:eastAsia="Courier New" w:hAnsi="Courier New"/>
          <w:sz w:val="20"/>
          <w:szCs w:val="20"/>
        </w:rPr>
        <w:t xml:space="preserve">La diffusion vers un service est réalisée par réplication à la source sur des sessions bilatérales, sans clé de groupe.</w:t>
      </w:r>
    </w:p>
    <w:p>
      <w:pPr>
        <w:pStyle w:val="ListParagraph"/>
        <w:numPr>
          <w:ilvl w:val="0"/>
          <w:numId w:val="2"/>
        </w:numPr>
        <w:spacing w:after="60" w:line="240"/>
      </w:pPr>
      <w:r>
        <w:rPr>
          <w:rFonts w:ascii="Courier New" w:cs="Courier New" w:eastAsia="Courier New" w:hAnsi="Courier New"/>
          <w:sz w:val="20"/>
          <w:szCs w:val="20"/>
        </w:rPr>
        <w:t xml:space="preserve">Le transport sur UDP plutôt que sur QUIC a été validé par l'auteur.</w:t>
      </w:r>
    </w:p>
    <w:p>
      <w:pPr>
        <w:pStyle w:val="Heading1"/>
        <w:keepNext/>
        <w:spacing w:after="120" w:before="360"/>
      </w:pPr>
      <w:r>
        <w:rPr>
          <w:rFonts w:ascii="Courier New" w:cs="Courier New" w:eastAsia="Courier New" w:hAnsi="Courier New"/>
          <w:b/>
          <w:bCs/>
          <w:sz w:val="22"/>
          <w:szCs w:val="22"/>
        </w:rPr>
        <w:t xml:space="preserve">Annexe C. Modifications depuis draft-usmd-sp-00</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Le préfixe unique des services est remplacé par des aires de service isolées entre elles, dont toutes les adresses sont utilisables (section 4.1, décision de l'auteur).</w:t>
      </w:r>
    </w:p>
    <w:p>
      <w:pPr>
        <w:pStyle w:val="ListParagraph"/>
        <w:numPr>
          <w:ilvl w:val="0"/>
          <w:numId w:val="2"/>
        </w:numPr>
        <w:spacing w:after="60" w:line="240"/>
      </w:pPr>
      <w:r>
        <w:rPr>
          <w:rFonts w:ascii="Courier New" w:cs="Courier New" w:eastAsia="Courier New" w:hAnsi="Courier New"/>
          <w:sz w:val="20"/>
          <w:szCs w:val="20"/>
        </w:rPr>
        <w:t xml:space="preserve">Les VIP et les adresses de groupe quittent le fichier de service pour le catalogue des services de l'USD (section 4.2).</w:t>
      </w:r>
    </w:p>
    <w:p>
      <w:pPr>
        <w:pStyle w:val="ListParagraph"/>
        <w:numPr>
          <w:ilvl w:val="0"/>
          <w:numId w:val="2"/>
        </w:numPr>
        <w:spacing w:after="60" w:line="240"/>
      </w:pPr>
      <w:r>
        <w:rPr>
          <w:rFonts w:ascii="Courier New" w:cs="Courier New" w:eastAsia="Courier New" w:hAnsi="Courier New"/>
          <w:sz w:val="20"/>
          <w:szCs w:val="20"/>
        </w:rPr>
        <w:t xml:space="preserve">Les trames de données portent les adresses SP source et destination (section 7.5). La VIP correspond à l'adresse sss.0000, résolue avant l'envoi, et l'adresse de groupe à sss.ffff (décision de l'auteur pour le format ; réservation de 0x0000 et 0xFFFF proposée par ce document).</w:t>
      </w:r>
    </w:p>
    <w:p>
      <w:pPr>
        <w:pStyle w:val="ListParagraph"/>
        <w:numPr>
          <w:ilvl w:val="0"/>
          <w:numId w:val="2"/>
        </w:numPr>
        <w:spacing w:after="60" w:line="240"/>
      </w:pPr>
      <w:r>
        <w:rPr>
          <w:rFonts w:ascii="Courier New" w:cs="Courier New" w:eastAsia="Courier New" w:hAnsi="Courier New"/>
          <w:sz w:val="20"/>
          <w:szCs w:val="20"/>
        </w:rPr>
        <w:t xml:space="preserve">Le choix de l'instance s'appuie sur la table des services les plus proches tenue par NNDP, et le trafic part en session directe vers l'instance retenue (section 6, décision de l'auteur).</w:t>
      </w:r>
    </w:p>
    <w:p>
      <w:pPr>
        <w:pStyle w:val="ListParagraph"/>
        <w:numPr>
          <w:ilvl w:val="0"/>
          <w:numId w:val="2"/>
        </w:numPr>
        <w:spacing w:after="60" w:line="240"/>
      </w:pPr>
      <w:r>
        <w:rPr>
          <w:rFonts w:ascii="Courier New" w:cs="Courier New" w:eastAsia="Courier New" w:hAnsi="Courier New"/>
          <w:sz w:val="20"/>
          <w:szCs w:val="20"/>
        </w:rPr>
        <w:t xml:space="preserve">La table des flux enregistre des adresses SP au lieu de pairs ; l'indicateur de diffusion est remplacé par l'adresse sss.ffff, et l'indicateur 0x80 désigne désormais une trame de maintien.</w:t>
      </w:r>
    </w:p>
    <w:p>
      <w:pPr>
        <w:pStyle w:val="ListParagraph"/>
        <w:numPr>
          <w:ilvl w:val="0"/>
          <w:numId w:val="2"/>
        </w:numPr>
        <w:spacing w:after="60" w:line="240"/>
      </w:pPr>
      <w:r>
        <w:rPr>
          <w:rFonts w:ascii="Courier New" w:cs="Courier New" w:eastAsia="Courier New" w:hAnsi="Courier New"/>
          <w:sz w:val="20"/>
          <w:szCs w:val="20"/>
        </w:rPr>
        <w:t xml:space="preserve">Le surcoût passe de 74 à 82 octets et la MTU par défaut de 1420 à 1412 octets.</w:t>
      </w:r>
    </w:p>
    <w:p>
      <w:pPr>
        <w:pStyle w:val="Heading1"/>
        <w:keepNext/>
        <w:spacing w:after="120" w:before="360"/>
      </w:pPr>
      <w:r>
        <w:rPr>
          <w:rFonts w:ascii="Courier New" w:cs="Courier New" w:eastAsia="Courier New" w:hAnsi="Courier New"/>
          <w:b/>
          <w:bCs/>
          <w:sz w:val="22"/>
          <w:szCs w:val="22"/>
        </w:rPr>
        <w:t xml:space="preserve">Adresse de l’auteur</w:t>
      </w:r>
    </w:p>
    <w:p>
      <w:pPr>
        <w:spacing w:after="0" w:before="0" w:line="240"/>
        <w:ind w:left="360"/>
        <w:jc w:val="left"/>
      </w:pPr>
      <w:r>
        <w:rPr>
          <w:rFonts w:ascii="Courier New" w:cs="Courier New" w:eastAsia="Courier New" w:hAnsi="Courier New"/>
          <w:sz w:val="20"/>
          <w:szCs w:val="20"/>
        </w:rPr>
        <w:t xml:space="preserve">[Auteur]</w:t>
      </w:r>
    </w:p>
    <w:p>
      <w:pPr>
        <w:spacing w:after="0" w:before="0" w:line="240"/>
        <w:ind w:left="360"/>
        <w:jc w:val="left"/>
      </w:pPr>
      <w:r>
        <w:rPr>
          <w:rFonts w:ascii="Courier New" w:cs="Courier New" w:eastAsia="Courier New" w:hAnsi="Courier New"/>
          <w:sz w:val="20"/>
          <w:szCs w:val="20"/>
        </w:rPr>
        <w:t xml:space="preserve">[Organisation]</w:t>
      </w:r>
    </w:p>
    <w:p>
      <w:pPr>
        <w:spacing w:after="0" w:before="0" w:line="240"/>
        <w:ind w:left="360"/>
        <w:jc w:val="left"/>
      </w:pPr>
      <w:r>
        <w:rPr>
          <w:rFonts w:ascii="Courier New" w:cs="Courier New" w:eastAsia="Courier New" w:hAnsi="Courier New"/>
          <w:sz w:val="20"/>
          <w:szCs w:val="20"/>
        </w:rPr>
        <w:t xml:space="preserve">Courriel : [adresse à préciser]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Courier New" w:cs="Courier New" w:eastAsia="Courier New" w:hAnsi="Courier New"/>
        <w:sz w:val="18"/>
        <w:szCs w:val="18"/>
      </w:rPr>
      <w:t xml:space="preserve">[Auteur]   Standards Track</w:t>
    </w:r>
    <w:r>
      <w:rPr>
        <w:rFonts w:ascii="Courier New" w:cs="Courier New" w:eastAsia="Courier New" w:hAnsi="Courier New"/>
        <w:sz w:val="18"/>
        <w:szCs w:val="18"/>
      </w:rPr>
      <w:t xml:space="preserve">	[Page </w:t>
    </w:r>
    <w:r>
      <w:rPr>
        <w:rFonts w:ascii="Courier New" w:cs="Courier New" w:eastAsia="Courier New" w:hAnsi="Courier New"/>
        <w:sz w:val="18"/>
        <w:szCs w:val="18"/>
      </w:rPr>
      <w:fldChar w:fldCharType="begin"/>
      <w:instrText xml:space="preserve">PAGE</w:instrText>
      <w:fldChar w:fldCharType="separate"/>
      <w:fldChar w:fldCharType="end"/>
    </w:r>
    <w:r>
      <w:rPr>
        <w:rFonts w:ascii="Courier New" w:cs="Courier New" w:eastAsia="Courier New" w:hAnsi="Courier New"/>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Courier New" w:cs="Courier New" w:eastAsia="Courier New" w:hAnsi="Courier New"/>
        <w:sz w:val="18"/>
        <w:szCs w:val="18"/>
      </w:rPr>
      <w:t xml:space="preserve">Projet Internet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USMD-SP   22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urier New" w:cs="Courier New" w:eastAsia="Courier New" w:hAnsi="Courier New"/>
      <w:b/>
      <w:bCs/>
      <w:sz w:val="22"/>
      <w:szCs w:val="22"/>
    </w:rPr>
  </w:style>
  <w:style w:type="paragraph" w:styleId="Heading2">
    <w:name w:val="Heading 2"/>
    <w:basedOn w:val="Normal"/>
    <w:next w:val="Normal"/>
    <w:qFormat/>
    <w:pPr>
      <w:spacing w:after="120" w:before="240"/>
      <w:outlineLvl w:val="1"/>
    </w:pPr>
    <w:rPr>
      <w:rFonts w:ascii="Courier New" w:cs="Courier New" w:eastAsia="Courier New" w:hAnsi="Courier New"/>
      <w:b/>
      <w:bCs/>
      <w:sz w:val="20"/>
      <w:szCs w:val="20"/>
    </w:rPr>
  </w:style>
  <w:style w:type="paragraph" w:styleId="Heading3">
    <w:name w:val="Heading 3"/>
    <w:basedOn w:val="Normal"/>
    <w:next w:val="Normal"/>
    <w:qFormat/>
    <w:pPr>
      <w:spacing w:after="100" w:before="20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USMD-RDSH : Protocole de service (SP)</dc:title>
  <dc:creator>USMD</dc:creator>
  <cp:lastModifiedBy>Un-named</cp:lastModifiedBy>
  <cp:revision>1</cp:revision>
  <dcterms:created xsi:type="dcterms:W3CDTF">2026-10-22T16:30:05.697Z</dcterms:created>
  <dcterms:modified xsi:type="dcterms:W3CDTF">2026-10-22T16:30:05.704Z</dcterms:modified>
</cp:coreProperties>
</file>

<file path=docProps/custom.xml><?xml version="1.0" encoding="utf-8"?>
<Properties xmlns="http://schemas.openxmlformats.org/officeDocument/2006/custom-properties" xmlns:vt="http://schemas.openxmlformats.org/officeDocument/2006/docPropsVTypes"/>
</file>