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1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1942"/>
        <w:gridCol w:w="1200"/>
        <w:gridCol w:w="40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11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银宏亮组第二次会议记录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时间</w:t>
            </w:r>
          </w:p>
        </w:tc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2020/3/16 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4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银宏亮 李旭 张可弛 陈泓宇 张泽光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会议主题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项目业务分析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会议内容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1&gt;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  <w:t>项目背景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2&gt;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  <w:t>项目调研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方式及设计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3&gt;可行性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  <w:t>分析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4&gt;成本效益分析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  <w:jc w:val="center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会议结果</w:t>
            </w:r>
          </w:p>
        </w:tc>
        <w:tc>
          <w:tcPr>
            <w:tcW w:w="71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生成“星宇心寻”项目业务分析报告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28A9"/>
    <w:rsid w:val="184D7A28"/>
    <w:rsid w:val="34A328A9"/>
    <w:rsid w:val="619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2020-03-04T07:04:00Z</dcterms:created>
  <dc:creator>Administrator</dc:creator>
  <cp:lastModifiedBy>Y宏亮</cp:lastModifiedBy>
  <dcterms:modified xsi:type="dcterms:W3CDTF">2020-06-18T10:31:56Z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