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a365d"/>
          <w:sz w:val="72"/>
          <w:szCs w:val="72"/>
        </w:rPr>
        <w:t xml:space="preserve">SPINNER</w:t>
      </w:r>
    </w:p>
    <w:p>
      <w:pPr>
        <w:spacing w:after="80"/>
        <w:jc w:val="center"/>
      </w:pPr>
      <w:r>
        <w:rPr>
          <w:i/>
          <w:iCs/>
          <w:color w:val="2d6a9f"/>
          <w:sz w:val="32"/>
          <w:szCs w:val="32"/>
        </w:rPr>
        <w:t xml:space="preserve">Decentralised Wheel-Spin Gaming Protocol</w:t>
      </w:r>
    </w:p>
    <w:p>
      <w:pPr>
        <w:spacing w:after="600"/>
        <w:jc w:val="center"/>
      </w:pPr>
      <w:r>
        <w:rPr>
          <w:color w:val="888888"/>
          <w:sz w:val="24"/>
          <w:szCs w:val="24"/>
        </w:rPr>
        <w:t xml:space="preserve">Technical Whitepaper  ·  v1.0</w:t>
      </w:r>
    </w:p>
    <w:p>
      <w:pPr>
        <w:pBdr>
          <w:bottom w:val="single" w:color="CCCCCC" w:sz="6"/>
        </w:pBdr>
        <w:spacing w:after="200" w:before="200"/>
      </w:pPr>
    </w:p>
    <w:p>
      <w:pPr>
        <w:spacing w:after="80"/>
        <w:jc w:val="center"/>
      </w:pPr>
      <w:r>
        <w:rPr>
          <w:color w:val="555555"/>
          <w:sz w:val="22"/>
          <w:szCs w:val="22"/>
        </w:rPr>
        <w:t xml:space="preserve">Built on EVM-compatible chains  ·  Powered by Solidity &amp; Web3</w:t>
      </w:r>
    </w:p>
    <w:p>
      <w:pPr>
        <w:jc w:val="center"/>
      </w:pPr>
      <w:r>
        <w:rPr>
          <w:color w:val="555555"/>
          <w:sz w:val="22"/>
          <w:szCs w:val="22"/>
        </w:rPr>
        <w:t xml:space="preserve">September 2026</w:t>
      </w:r>
    </w:p>
    <w:p>
      <w:r>
        <w:br w:type="page"/>
      </w:r>
    </w:p>
    <w:p>
      <w:pPr>
        <w:pStyle w:val="Heading1"/>
        <w:spacing w:after="200" w:before="400"/>
      </w:pPr>
      <w:r>
        <w:t xml:space="preserve">Disclaimer</w:t>
      </w:r>
    </w:p>
    <w:p>
      <w:pPr>
        <w:spacing w:after="160"/>
        <w:jc w:val="both"/>
      </w:pPr>
      <w:r>
        <w:rPr>
          <w:sz w:val="24"/>
          <w:szCs w:val="24"/>
        </w:rPr>
        <w:t xml:space="preserve">This whitepaper is provided for informational purposes only and does not constitute financial, legal, or investment advice. The Spinner protocol is a gaming product; participation involves risk. Users are solely responsible for their actions on the platform. Smart contract interactions carry inherent blockchain risks, including but not limited to transaction failures and market volatility of the underlying ERC-20 token.</w:t>
      </w:r>
    </w:p>
    <w:p>
      <w:pPr>
        <w:spacing w:after="160"/>
        <w:jc w:val="both"/>
      </w:pPr>
      <w:r>
        <w:rPr>
          <w:sz w:val="24"/>
          <w:szCs w:val="24"/>
        </w:rPr>
        <w:t xml:space="preserve">This document reflects the current design of the protocol and may be updated as the project evolves. Always verify information against the latest on-chain deployment.</w:t>
      </w:r>
    </w:p>
    <w:p>
      <w:r>
        <w:br w:type="page"/>
      </w:r>
    </w:p>
    <w:p>
      <w:pPr>
        <w:pStyle w:val="Heading1"/>
        <w:spacing w:after="200" w:before="400"/>
      </w:pPr>
      <w:r>
        <w:t xml:space="preserve">Abstract</w:t>
      </w:r>
    </w:p>
    <w:p>
      <w:pPr>
        <w:spacing w:after="160"/>
        <w:jc w:val="both"/>
      </w:pPr>
      <w:r>
        <w:rPr>
          <w:sz w:val="24"/>
          <w:szCs w:val="24"/>
        </w:rPr>
        <w:t xml:space="preserve">Spinner is an on-chain, provably-fair wheel-spin gaming protocol deployed on EVM-compatible blockchain networks. Players fund a personal balance, stake tokens on each spin, and receive outcomes determined by a seven-segment wheel. Winnings accumulate in the player's on-chain balance and can be withdrawn at any time subject to a transparent 2 % protocol fee.</w:t>
      </w:r>
    </w:p>
    <w:p>
      <w:pPr>
        <w:spacing w:after="160"/>
        <w:jc w:val="both"/>
      </w:pPr>
      <w:r>
        <w:rPr>
          <w:sz w:val="24"/>
          <w:szCs w:val="24"/>
        </w:rPr>
        <w:t xml:space="preserve">By recording every stake, spin result, and reward directly on a public ledger, Spinner eliminates the need to trust a centralised operator. The SpinReward smart contract governs all fund flows — player deposits, reward payouts, loss collection, and fee distribution — making the house economics fully auditable by anyone.</w:t>
      </w:r>
    </w:p>
    <w:p>
      <w:pPr>
        <w:spacing w:after="160"/>
        <w:jc w:val="both"/>
      </w:pPr>
      <w:r>
        <w:rPr>
          <w:sz w:val="24"/>
          <w:szCs w:val="24"/>
        </w:rPr>
        <w:t xml:space="preserve">This whitepaper describes the protocol architecture, game mechanics, economic model, security considerations, and the technology stack used to implement and deploy Spinner.</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Background</w:t>
      </w:r>
    </w:p>
    <w:p>
      <w:pPr>
        <w:spacing w:after="160"/>
        <w:jc w:val="both"/>
      </w:pPr>
      <w:r>
        <w:rPr>
          <w:sz w:val="24"/>
          <w:szCs w:val="24"/>
        </w:rPr>
        <w:t xml:space="preserve">Traditional online casinos and gaming platforms operate as black boxes. Players deposit funds, place bets, and receive payouts with no ability to verify that outcomes are fair or that winnings are not manipulated. Trust is placed entirely in the platform operator, creating significant counterparty risk.</w:t>
      </w:r>
    </w:p>
    <w:p>
      <w:pPr>
        <w:spacing w:after="160"/>
        <w:jc w:val="both"/>
      </w:pPr>
      <w:r>
        <w:rPr>
          <w:sz w:val="24"/>
          <w:szCs w:val="24"/>
        </w:rPr>
        <w:t xml:space="preserve">The rise of programmable blockchains such as Ethereum and its EVM-compatible siblings has made it possible to encode game logic directly in immutable smart contracts. When the rules of a game live on-chain, any participant — player, regulator, or researcher — can inspect them. This transparency is the foundational value proposition of on-chain gaming.</w:t>
      </w:r>
    </w:p>
    <w:p>
      <w:pPr>
        <w:pStyle w:val="Heading2"/>
        <w:spacing w:after="150" w:before="300"/>
      </w:pPr>
      <w:r>
        <w:t xml:space="preserve">1.2 Problem Statement</w:t>
      </w:r>
    </w:p>
    <w:p>
      <w:pPr>
        <w:spacing w:after="160"/>
        <w:jc w:val="both"/>
      </w:pPr>
      <w:r>
        <w:rPr>
          <w:sz w:val="24"/>
          <w:szCs w:val="24"/>
        </w:rPr>
        <w:t xml:space="preserve">Existing on-chain gaming solutions often suffer from one or more of the following shortcomings:</w:t>
      </w:r>
    </w:p>
    <w:p>
      <w:pPr>
        <w:pStyle w:val="ListParagraph"/>
        <w:numPr>
          <w:ilvl w:val="0"/>
          <w:numId w:val="1"/>
        </w:numPr>
        <w:spacing w:after="100"/>
      </w:pPr>
      <w:r>
        <w:rPr>
          <w:sz w:val="24"/>
          <w:szCs w:val="24"/>
        </w:rPr>
        <w:t xml:space="preserve">Complex tokenomics that obscure the true house edge.</w:t>
      </w:r>
    </w:p>
    <w:p>
      <w:pPr>
        <w:pStyle w:val="ListParagraph"/>
        <w:numPr>
          <w:ilvl w:val="0"/>
          <w:numId w:val="1"/>
        </w:numPr>
        <w:spacing w:after="100"/>
      </w:pPr>
      <w:r>
        <w:rPr>
          <w:sz w:val="24"/>
          <w:szCs w:val="24"/>
        </w:rPr>
        <w:t xml:space="preserve">Reliance on off-chain randomness oracles that introduce centralisation risks.</w:t>
      </w:r>
    </w:p>
    <w:p>
      <w:pPr>
        <w:pStyle w:val="ListParagraph"/>
        <w:numPr>
          <w:ilvl w:val="0"/>
          <w:numId w:val="1"/>
        </w:numPr>
        <w:spacing w:after="100"/>
      </w:pPr>
      <w:r>
        <w:rPr>
          <w:sz w:val="24"/>
          <w:szCs w:val="24"/>
        </w:rPr>
        <w:t xml:space="preserve">Gas-intensive mechanics that make small-stake play economically unviable.</w:t>
      </w:r>
    </w:p>
    <w:p>
      <w:pPr>
        <w:pStyle w:val="ListParagraph"/>
        <w:numPr>
          <w:ilvl w:val="0"/>
          <w:numId w:val="1"/>
        </w:numPr>
        <w:spacing w:after="100"/>
      </w:pPr>
      <w:r>
        <w:rPr>
          <w:sz w:val="24"/>
          <w:szCs w:val="24"/>
        </w:rPr>
        <w:t xml:space="preserve">Poor UX — players must interact with raw contract ABIs rather than friendly frontends.</w:t>
      </w:r>
    </w:p>
    <w:p>
      <w:pPr>
        <w:spacing w:after="160"/>
      </w:pPr>
    </w:p>
    <w:p>
      <w:pPr>
        <w:spacing w:after="160"/>
        <w:jc w:val="both"/>
      </w:pPr>
      <w:r>
        <w:rPr>
          <w:sz w:val="24"/>
          <w:szCs w:val="24"/>
        </w:rPr>
        <w:t xml:space="preserve">Spinner addresses these issues by providing a simple, gas-efficient contract with a clean web frontend, straightforward win/loss mechanics, and transparent fee accounting.</w:t>
      </w:r>
    </w:p>
    <w:p>
      <w:pPr>
        <w:pStyle w:val="Heading2"/>
        <w:spacing w:after="150" w:before="300"/>
      </w:pPr>
      <w:r>
        <w:t xml:space="preserve">1.3 Vision</w:t>
      </w:r>
    </w:p>
    <w:p>
      <w:pPr>
        <w:spacing w:after="160"/>
        <w:jc w:val="both"/>
      </w:pPr>
      <w:r>
        <w:rPr>
          <w:sz w:val="24"/>
          <w:szCs w:val="24"/>
        </w:rPr>
        <w:t xml:space="preserve">Spinner aims to be the simplest trustless on-chain game achievable: deposit tokens, spin a wheel, win or lose, and withdraw — all verifiable on a public ledger. It serves as both a standalone product and a reference implementation for builders who want to embed provably-fair gaming into their own dApps.</w:t>
      </w:r>
    </w:p>
    <w:p>
      <w:r>
        <w:br w:type="page"/>
      </w:r>
    </w:p>
    <w:p>
      <w:pPr>
        <w:pStyle w:val="Heading1"/>
        <w:spacing w:after="200" w:before="400"/>
      </w:pPr>
      <w:r>
        <w:t xml:space="preserve">2. Protocol Overview</w:t>
      </w:r>
    </w:p>
    <w:p>
      <w:pPr>
        <w:spacing w:after="160"/>
        <w:jc w:val="both"/>
      </w:pPr>
      <w:r>
        <w:rPr>
          <w:sz w:val="24"/>
          <w:szCs w:val="24"/>
        </w:rPr>
        <w:t xml:space="preserve">The Spinner protocol consists of two primary components: the SpinReward smart contract (Solidity) and a single-page Web3 frontend (HTML/CSS/JavaScript). Together they form a complete, self-contained gaming application.</w:t>
      </w:r>
    </w:p>
    <w:p>
      <w:pPr>
        <w:pStyle w:val="Heading2"/>
        <w:spacing w:after="150" w:before="300"/>
      </w:pPr>
      <w:r>
        <w:t xml:space="preserve">2.1 High-Level Flow</w:t>
      </w:r>
    </w:p>
    <w:p>
      <w:pPr>
        <w:spacing w:after="160"/>
        <w:jc w:val="both"/>
      </w:pPr>
      <w:r>
        <w:rPr>
          <w:sz w:val="24"/>
          <w:szCs w:val="24"/>
        </w:rPr>
        <w:t xml:space="preserve">The lifecycle of a single game session proceeds as follows:</w:t>
      </w:r>
    </w:p>
    <w:p>
      <w:pPr>
        <w:pStyle w:val="ListParagraph"/>
        <w:numPr>
          <w:ilvl w:val="0"/>
          <w:numId w:val="1"/>
        </w:numPr>
        <w:spacing w:after="100"/>
      </w:pPr>
      <w:r>
        <w:rPr>
          <w:sz w:val="24"/>
          <w:szCs w:val="24"/>
        </w:rPr>
        <w:t xml:space="preserve">Fund — The player approves and deposits ERC-20 tokens into the SpinReward contract. This creates an on-chain balance associated with their wallet address.</w:t>
      </w:r>
    </w:p>
    <w:p>
      <w:pPr>
        <w:pStyle w:val="ListParagraph"/>
        <w:numPr>
          <w:ilvl w:val="0"/>
          <w:numId w:val="1"/>
        </w:numPr>
        <w:spacing w:after="100"/>
      </w:pPr>
      <w:r>
        <w:rPr>
          <w:sz w:val="24"/>
          <w:szCs w:val="24"/>
        </w:rPr>
        <w:t xml:space="preserve">Stake — Before each spin, the player commits a portion of their on-chain balance as the spin stake. The staked amount is deducted from their balance.</w:t>
      </w:r>
    </w:p>
    <w:p>
      <w:pPr>
        <w:pStyle w:val="ListParagraph"/>
        <w:numPr>
          <w:ilvl w:val="0"/>
          <w:numId w:val="1"/>
        </w:numPr>
        <w:spacing w:after="100"/>
      </w:pPr>
      <w:r>
        <w:rPr>
          <w:sz w:val="24"/>
          <w:szCs w:val="24"/>
        </w:rPr>
        <w:t xml:space="preserve">Spin — The frontend animates the wheel and determines the outcome segment. The resulting label (e.g., "2", "Death", "Draw") is sent to the contract as a string parameter.</w:t>
      </w:r>
    </w:p>
    <w:p>
      <w:pPr>
        <w:pStyle w:val="ListParagraph"/>
        <w:numPr>
          <w:ilvl w:val="0"/>
          <w:numId w:val="1"/>
        </w:numPr>
        <w:spacing w:after="100"/>
      </w:pPr>
      <w:r>
        <w:rPr>
          <w:sz w:val="24"/>
          <w:szCs w:val="24"/>
        </w:rPr>
        <w:t xml:space="preserve">Resolve — The contract's processSpinResult function evaluates the outcome, adjusts balances accordingly, and emits an event recording the result on-chain.</w:t>
      </w:r>
    </w:p>
    <w:p>
      <w:pPr>
        <w:pStyle w:val="ListParagraph"/>
        <w:numPr>
          <w:ilvl w:val="0"/>
          <w:numId w:val="1"/>
        </w:numPr>
        <w:spacing w:after="100"/>
      </w:pPr>
      <w:r>
        <w:rPr>
          <w:sz w:val="24"/>
          <w:szCs w:val="24"/>
        </w:rPr>
        <w:t xml:space="preserve">Withdraw — When the player wishes to collect winnings, they call withdraw. The contract transfers tokens minus a 2 % fee directly to the player's wallet.</w:t>
      </w:r>
    </w:p>
    <w:p>
      <w:pPr>
        <w:pStyle w:val="Heading2"/>
        <w:spacing w:after="150" w:before="300"/>
      </w:pPr>
      <w:r>
        <w:t xml:space="preserve">2.2 Contract Architecture</w:t>
      </w:r>
    </w:p>
    <w:p>
      <w:pPr>
        <w:spacing w:after="160"/>
        <w:jc w:val="both"/>
      </w:pPr>
      <w:r>
        <w:rPr>
          <w:sz w:val="24"/>
          <w:szCs w:val="24"/>
        </w:rPr>
        <w:t xml:space="preserve">The SpinReward contract is intentionally minimal. It exposes seven public functions grouped into two categories:</w:t>
      </w:r>
    </w:p>
    <w:p>
      <w:pPr>
        <w:pStyle w:val="Heading3"/>
        <w:spacing w:after="100" w:before="200"/>
      </w:pPr>
      <w:r>
        <w:t xml:space="preserve">Player Functions</w:t>
      </w:r>
    </w:p>
    <w:p>
      <w:pPr>
        <w:pStyle w:val="ListParagraph"/>
        <w:numPr>
          <w:ilvl w:val="0"/>
          <w:numId w:val="1"/>
        </w:numPr>
        <w:spacing w:after="100"/>
      </w:pPr>
      <w:r>
        <w:rPr>
          <w:sz w:val="24"/>
          <w:szCs w:val="24"/>
        </w:rPr>
        <w:t xml:space="preserve">fund(uint256 amount) — Deposit ERC-20 tokens; increments balances[msg.sender].</w:t>
      </w:r>
    </w:p>
    <w:p>
      <w:pPr>
        <w:pStyle w:val="ListParagraph"/>
        <w:numPr>
          <w:ilvl w:val="0"/>
          <w:numId w:val="1"/>
        </w:numPr>
        <w:spacing w:after="100"/>
      </w:pPr>
      <w:r>
        <w:rPr>
          <w:sz w:val="24"/>
          <w:szCs w:val="24"/>
        </w:rPr>
        <w:t xml:space="preserve">stake(uint256 amount) — Deduct amount from balance to set up a spin.</w:t>
      </w:r>
    </w:p>
    <w:p>
      <w:pPr>
        <w:pStyle w:val="ListParagraph"/>
        <w:numPr>
          <w:ilvl w:val="0"/>
          <w:numId w:val="1"/>
        </w:numPr>
        <w:spacing w:after="100"/>
      </w:pPr>
      <w:r>
        <w:rPr>
          <w:sz w:val="24"/>
          <w:szCs w:val="24"/>
        </w:rPr>
        <w:t xml:space="preserve">processSpinResult(uint256 stakedAmount, string result) — Evaluate outcome and adjust balance.</w:t>
      </w:r>
    </w:p>
    <w:p>
      <w:pPr>
        <w:pStyle w:val="ListParagraph"/>
        <w:numPr>
          <w:ilvl w:val="0"/>
          <w:numId w:val="1"/>
        </w:numPr>
        <w:spacing w:after="100"/>
      </w:pPr>
      <w:r>
        <w:rPr>
          <w:sz w:val="24"/>
          <w:szCs w:val="24"/>
        </w:rPr>
        <w:t xml:space="preserve">withdraw(uint256 amount) — Withdraw tokens with 2 % fee deduction.</w:t>
      </w:r>
    </w:p>
    <w:p>
      <w:pPr>
        <w:pStyle w:val="Heading3"/>
        <w:spacing w:after="100" w:before="200"/>
      </w:pPr>
      <w:r>
        <w:t xml:space="preserve">Owner Functions</w:t>
      </w:r>
    </w:p>
    <w:p>
      <w:pPr>
        <w:pStyle w:val="ListParagraph"/>
        <w:numPr>
          <w:ilvl w:val="0"/>
          <w:numId w:val="1"/>
        </w:numPr>
        <w:spacing w:after="100"/>
      </w:pPr>
      <w:r>
        <w:rPr>
          <w:sz w:val="24"/>
          <w:szCs w:val="24"/>
        </w:rPr>
        <w:t xml:space="preserve">addFundsToContract(uint256 amount) — Seed the contract treasury to cover player wins.</w:t>
      </w:r>
    </w:p>
    <w:p>
      <w:pPr>
        <w:pStyle w:val="ListParagraph"/>
        <w:numPr>
          <w:ilvl w:val="0"/>
          <w:numId w:val="1"/>
        </w:numPr>
        <w:spacing w:after="100"/>
      </w:pPr>
      <w:r>
        <w:rPr>
          <w:sz w:val="24"/>
          <w:szCs w:val="24"/>
        </w:rPr>
        <w:t xml:space="preserve">withdrawFromContract(uint256 amount) — Retrieve accumulated fees and excess treasury funds.</w:t>
      </w:r>
    </w:p>
    <w:p>
      <w:pPr>
        <w:pStyle w:val="Heading3"/>
        <w:spacing w:after="100" w:before="200"/>
      </w:pPr>
      <w:r>
        <w:t xml:space="preserve">View Functions</w:t>
      </w:r>
    </w:p>
    <w:p>
      <w:pPr>
        <w:pStyle w:val="ListParagraph"/>
        <w:numPr>
          <w:ilvl w:val="0"/>
          <w:numId w:val="1"/>
        </w:numPr>
        <w:spacing w:after="100"/>
      </w:pPr>
      <w:r>
        <w:rPr>
          <w:sz w:val="24"/>
          <w:szCs w:val="24"/>
        </w:rPr>
        <w:t xml:space="preserve">balances(address) — Read any player's current on-chain balance.</w:t>
      </w:r>
    </w:p>
    <w:p>
      <w:pPr>
        <w:pStyle w:val="ListParagraph"/>
        <w:numPr>
          <w:ilvl w:val="0"/>
          <w:numId w:val="1"/>
        </w:numPr>
        <w:spacing w:after="100"/>
      </w:pPr>
      <w:r>
        <w:rPr>
          <w:sz w:val="24"/>
          <w:szCs w:val="24"/>
        </w:rPr>
        <w:t xml:space="preserve">contractBalance — Read the treasury balance used to pay out wins.</w:t>
      </w:r>
    </w:p>
    <w:p>
      <w:r>
        <w:br w:type="page"/>
      </w:r>
    </w:p>
    <w:p>
      <w:pPr>
        <w:pStyle w:val="Heading1"/>
        <w:spacing w:after="200" w:before="400"/>
      </w:pPr>
      <w:r>
        <w:t xml:space="preserve">3. Game Mechanics</w:t>
      </w:r>
    </w:p>
    <w:p>
      <w:pPr>
        <w:pStyle w:val="Heading2"/>
        <w:spacing w:after="150" w:before="300"/>
      </w:pPr>
      <w:r>
        <w:t xml:space="preserve">3.1 The Wheel</w:t>
      </w:r>
    </w:p>
    <w:p>
      <w:pPr>
        <w:spacing w:after="160"/>
        <w:jc w:val="both"/>
      </w:pPr>
      <w:r>
        <w:rPr>
          <w:sz w:val="24"/>
          <w:szCs w:val="24"/>
        </w:rPr>
        <w:t xml:space="preserve">The Spinner wheel is divided into seven equal segments, each spanning 51.43 degrees (360° ÷ 7). Each segment is colour-coded and carries a distinct reward label. The table below maps segments to their on-chain result codes and economic outcomes: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1a365d" w:val="clear"/>
            <w:vAlign w:val="center"/>
          </w:tcPr>
          <w:p>
            <w:pPr>
              <w:jc w:val="center"/>
            </w:pPr>
            <w:r>
              <w:rPr>
                <w:b/>
                <w:bCs/>
                <w:color w:val="FFFFFF"/>
                <w:sz w:val="22"/>
                <w:szCs w:val="22"/>
              </w:rPr>
              <w:t xml:space="preserve">Segment</w:t>
            </w:r>
          </w:p>
        </w:tc>
        <w:tc>
          <w:tcPr>
            <w:tcW w:type="dxa" w:w="1800"/>
            <w:shd w:fill="1a365d" w:val="clear"/>
            <w:vAlign w:val="center"/>
          </w:tcPr>
          <w:p>
            <w:pPr>
              <w:jc w:val="center"/>
            </w:pPr>
            <w:r>
              <w:rPr>
                <w:b/>
                <w:bCs/>
                <w:color w:val="FFFFFF"/>
                <w:sz w:val="22"/>
                <w:szCs w:val="22"/>
              </w:rPr>
              <w:t xml:space="preserve">Colour</w:t>
            </w:r>
          </w:p>
        </w:tc>
        <w:tc>
          <w:tcPr>
            <w:tcW w:type="dxa" w:w="1800"/>
            <w:shd w:fill="1a365d" w:val="clear"/>
            <w:vAlign w:val="center"/>
          </w:tcPr>
          <w:p>
            <w:pPr>
              <w:jc w:val="center"/>
            </w:pPr>
            <w:r>
              <w:rPr>
                <w:b/>
                <w:bCs/>
                <w:color w:val="FFFFFF"/>
                <w:sz w:val="22"/>
                <w:szCs w:val="22"/>
              </w:rPr>
              <w:t xml:space="preserve">Result Code</w:t>
            </w:r>
          </w:p>
        </w:tc>
        <w:tc>
          <w:tcPr>
            <w:tcW w:type="dxa" w:w="1800"/>
            <w:shd w:fill="1a365d" w:val="clear"/>
            <w:vAlign w:val="center"/>
          </w:tcPr>
          <w:p>
            <w:pPr>
              <w:jc w:val="center"/>
            </w:pPr>
            <w:r>
              <w:rPr>
                <w:b/>
                <w:bCs/>
                <w:color w:val="FFFFFF"/>
                <w:sz w:val="22"/>
                <w:szCs w:val="22"/>
              </w:rPr>
              <w:t xml:space="preserve">Economic Outcome</w:t>
            </w:r>
          </w:p>
        </w:tc>
        <w:tc>
          <w:tcPr>
            <w:tcW w:type="dxa" w:w="1800"/>
            <w:shd w:fill="1a365d" w:val="clear"/>
            <w:vAlign w:val="center"/>
          </w:tcPr>
          <w:p>
            <w:pPr>
              <w:jc w:val="center"/>
            </w:pPr>
            <w:r>
              <w:rPr>
                <w:b/>
                <w:bCs/>
                <w:color w:val="FFFFFF"/>
                <w:sz w:val="22"/>
                <w:szCs w:val="22"/>
              </w:rPr>
              <w:t xml:space="preserve">Player Balance Effect</w:t>
            </w:r>
          </w:p>
        </w:tc>
      </w:tr>
      <w:tr>
        <w:tc>
          <w:tcPr>
            <w:tcW w:type="dxa" w:w="1800"/>
            <w:shd w:fill="EBF4FF" w:val="clear"/>
            <w:vAlign w:val="center"/>
          </w:tcPr>
          <w:p>
            <w:pPr>
              <w:jc w:val="center"/>
            </w:pPr>
            <w:r>
              <w:rPr>
                <w:sz w:val="22"/>
                <w:szCs w:val="22"/>
              </w:rPr>
              <w:t xml:space="preserve">1 Mio €</w:t>
            </w:r>
          </w:p>
        </w:tc>
        <w:tc>
          <w:tcPr>
            <w:tcW w:type="dxa" w:w="1800"/>
            <w:shd w:fill="EBF4FF" w:val="clear"/>
            <w:vAlign w:val="center"/>
          </w:tcPr>
          <w:p>
            <w:pPr>
              <w:jc w:val="center"/>
            </w:pPr>
            <w:r>
              <w:rPr>
                <w:sz w:val="22"/>
                <w:szCs w:val="22"/>
              </w:rPr>
              <w:t xml:space="preserve">Green</w:t>
            </w:r>
          </w:p>
        </w:tc>
        <w:tc>
          <w:tcPr>
            <w:tcW w:type="dxa" w:w="1800"/>
            <w:shd w:fill="EBF4FF" w:val="clear"/>
            <w:vAlign w:val="center"/>
          </w:tcPr>
          <w:p>
            <w:pPr>
              <w:jc w:val="center"/>
            </w:pPr>
            <w:r>
              <w:rPr>
                <w:sz w:val="22"/>
                <w:szCs w:val="22"/>
              </w:rPr>
              <w:t xml:space="preserve">(default)</w:t>
            </w:r>
          </w:p>
        </w:tc>
        <w:tc>
          <w:tcPr>
            <w:tcW w:type="dxa" w:w="1800"/>
            <w:shd w:fill="EBF4FF" w:val="clear"/>
            <w:vAlign w:val="center"/>
          </w:tcPr>
          <w:p>
            <w:pPr>
              <w:jc w:val="center"/>
            </w:pPr>
            <w:r>
              <w:rPr>
                <w:sz w:val="22"/>
                <w:szCs w:val="22"/>
              </w:rPr>
              <w:t xml:space="preserve">Stake returned intact</w:t>
            </w:r>
          </w:p>
        </w:tc>
        <w:tc>
          <w:tcPr>
            <w:tcW w:type="dxa" w:w="1800"/>
            <w:shd w:fill="EBF4FF" w:val="clear"/>
            <w:vAlign w:val="center"/>
          </w:tcPr>
          <w:p>
            <w:pPr>
              <w:jc w:val="center"/>
            </w:pPr>
            <w:r>
              <w:rPr>
                <w:sz w:val="22"/>
                <w:szCs w:val="22"/>
              </w:rPr>
              <w:t xml:space="preserve">+100 % of stake</w:t>
            </w:r>
          </w:p>
        </w:tc>
      </w:tr>
      <w:tr>
        <w:tc>
          <w:tcPr>
            <w:tcW w:type="dxa" w:w="1800"/>
            <w:shd w:fill="FFFFFF" w:val="clear"/>
            <w:vAlign w:val="center"/>
          </w:tcPr>
          <w:p>
            <w:pPr>
              <w:jc w:val="center"/>
            </w:pPr>
            <w:r>
              <w:rPr>
                <w:sz w:val="22"/>
                <w:szCs w:val="22"/>
              </w:rPr>
              <w:t xml:space="preserve">10k €</w:t>
            </w:r>
          </w:p>
        </w:tc>
        <w:tc>
          <w:tcPr>
            <w:tcW w:type="dxa" w:w="1800"/>
            <w:shd w:fill="FFFFFF" w:val="clear"/>
            <w:vAlign w:val="center"/>
          </w:tcPr>
          <w:p>
            <w:pPr>
              <w:jc w:val="center"/>
            </w:pPr>
            <w:r>
              <w:rPr>
                <w:sz w:val="22"/>
                <w:szCs w:val="22"/>
              </w:rPr>
              <w:t xml:space="preserve">Pink</w:t>
            </w:r>
          </w:p>
        </w:tc>
        <w:tc>
          <w:tcPr>
            <w:tcW w:type="dxa" w:w="1800"/>
            <w:shd w:fill="FFFFFF" w:val="clear"/>
            <w:vAlign w:val="center"/>
          </w:tcPr>
          <w:p>
            <w:pPr>
              <w:jc w:val="center"/>
            </w:pPr>
            <w:r>
              <w:rPr>
                <w:sz w:val="22"/>
                <w:szCs w:val="22"/>
              </w:rPr>
              <w:t xml:space="preserve">2</w:t>
            </w:r>
          </w:p>
        </w:tc>
        <w:tc>
          <w:tcPr>
            <w:tcW w:type="dxa" w:w="1800"/>
            <w:shd w:fill="FFFFFF" w:val="clear"/>
            <w:vAlign w:val="center"/>
          </w:tcPr>
          <w:p>
            <w:pPr>
              <w:jc w:val="center"/>
            </w:pPr>
            <w:r>
              <w:rPr>
                <w:sz w:val="22"/>
                <w:szCs w:val="22"/>
              </w:rPr>
              <w:t xml:space="preserve">2 % bonus on stake</w:t>
            </w:r>
          </w:p>
        </w:tc>
        <w:tc>
          <w:tcPr>
            <w:tcW w:type="dxa" w:w="1800"/>
            <w:shd w:fill="FFFFFF" w:val="clear"/>
            <w:vAlign w:val="center"/>
          </w:tcPr>
          <w:p>
            <w:pPr>
              <w:jc w:val="center"/>
            </w:pPr>
            <w:r>
              <w:rPr>
                <w:sz w:val="22"/>
                <w:szCs w:val="22"/>
              </w:rPr>
              <w:t xml:space="preserve">+102 % of stake</w:t>
            </w:r>
          </w:p>
        </w:tc>
      </w:tr>
      <w:tr>
        <w:tc>
          <w:tcPr>
            <w:tcW w:type="dxa" w:w="1800"/>
            <w:shd w:fill="EBF4FF" w:val="clear"/>
            <w:vAlign w:val="center"/>
          </w:tcPr>
          <w:p>
            <w:pPr>
              <w:jc w:val="center"/>
            </w:pPr>
            <w:r>
              <w:rPr>
                <w:sz w:val="22"/>
                <w:szCs w:val="22"/>
              </w:rPr>
              <w:t xml:space="preserve">500k €</w:t>
            </w:r>
          </w:p>
        </w:tc>
        <w:tc>
          <w:tcPr>
            <w:tcW w:type="dxa" w:w="1800"/>
            <w:shd w:fill="EBF4FF" w:val="clear"/>
            <w:vAlign w:val="center"/>
          </w:tcPr>
          <w:p>
            <w:pPr>
              <w:jc w:val="center"/>
            </w:pPr>
            <w:r>
              <w:rPr>
                <w:sz w:val="22"/>
                <w:szCs w:val="22"/>
              </w:rPr>
              <w:t xml:space="preserve">Yellow</w:t>
            </w:r>
          </w:p>
        </w:tc>
        <w:tc>
          <w:tcPr>
            <w:tcW w:type="dxa" w:w="1800"/>
            <w:shd w:fill="EBF4FF" w:val="clear"/>
            <w:vAlign w:val="center"/>
          </w:tcPr>
          <w:p>
            <w:pPr>
              <w:jc w:val="center"/>
            </w:pPr>
            <w:r>
              <w:rPr>
                <w:sz w:val="22"/>
                <w:szCs w:val="22"/>
              </w:rPr>
              <w:t xml:space="preserve">3</w:t>
            </w:r>
          </w:p>
        </w:tc>
        <w:tc>
          <w:tcPr>
            <w:tcW w:type="dxa" w:w="1800"/>
            <w:shd w:fill="EBF4FF" w:val="clear"/>
            <w:vAlign w:val="center"/>
          </w:tcPr>
          <w:p>
            <w:pPr>
              <w:jc w:val="center"/>
            </w:pPr>
            <w:r>
              <w:rPr>
                <w:sz w:val="22"/>
                <w:szCs w:val="22"/>
              </w:rPr>
              <w:t xml:space="preserve">3 % bonus on stake</w:t>
            </w:r>
          </w:p>
        </w:tc>
        <w:tc>
          <w:tcPr>
            <w:tcW w:type="dxa" w:w="1800"/>
            <w:shd w:fill="EBF4FF" w:val="clear"/>
            <w:vAlign w:val="center"/>
          </w:tcPr>
          <w:p>
            <w:pPr>
              <w:jc w:val="center"/>
            </w:pPr>
            <w:r>
              <w:rPr>
                <w:sz w:val="22"/>
                <w:szCs w:val="22"/>
              </w:rPr>
              <w:t xml:space="preserve">+103 % of stake</w:t>
            </w:r>
          </w:p>
        </w:tc>
      </w:tr>
      <w:tr>
        <w:tc>
          <w:tcPr>
            <w:tcW w:type="dxa" w:w="1800"/>
            <w:shd w:fill="FFFFFF" w:val="clear"/>
            <w:vAlign w:val="center"/>
          </w:tcPr>
          <w:p>
            <w:pPr>
              <w:jc w:val="center"/>
            </w:pPr>
            <w:r>
              <w:rPr>
                <w:sz w:val="22"/>
                <w:szCs w:val="22"/>
              </w:rPr>
              <w:t xml:space="preserve">1k €</w:t>
            </w:r>
          </w:p>
        </w:tc>
        <w:tc>
          <w:tcPr>
            <w:tcW w:type="dxa" w:w="1800"/>
            <w:shd w:fill="FFFFFF" w:val="clear"/>
            <w:vAlign w:val="center"/>
          </w:tcPr>
          <w:p>
            <w:pPr>
              <w:jc w:val="center"/>
            </w:pPr>
            <w:r>
              <w:rPr>
                <w:sz w:val="22"/>
                <w:szCs w:val="22"/>
              </w:rPr>
              <w:t xml:space="preserve">Sky</w:t>
            </w:r>
          </w:p>
        </w:tc>
        <w:tc>
          <w:tcPr>
            <w:tcW w:type="dxa" w:w="1800"/>
            <w:shd w:fill="FFFFFF" w:val="clear"/>
            <w:vAlign w:val="center"/>
          </w:tcPr>
          <w:p>
            <w:pPr>
              <w:jc w:val="center"/>
            </w:pPr>
            <w:r>
              <w:rPr>
                <w:sz w:val="22"/>
                <w:szCs w:val="22"/>
              </w:rPr>
              <w:t xml:space="preserve">-2</w:t>
            </w:r>
          </w:p>
        </w:tc>
        <w:tc>
          <w:tcPr>
            <w:tcW w:type="dxa" w:w="1800"/>
            <w:shd w:fill="FFFFFF" w:val="clear"/>
            <w:vAlign w:val="center"/>
          </w:tcPr>
          <w:p>
            <w:pPr>
              <w:jc w:val="center"/>
            </w:pPr>
            <w:r>
              <w:rPr>
                <w:sz w:val="22"/>
                <w:szCs w:val="22"/>
              </w:rPr>
              <w:t xml:space="preserve">Full stake lost</w:t>
            </w:r>
          </w:p>
        </w:tc>
        <w:tc>
          <w:tcPr>
            <w:tcW w:type="dxa" w:w="1800"/>
            <w:shd w:fill="FFFFFF" w:val="clear"/>
            <w:vAlign w:val="center"/>
          </w:tcPr>
          <w:p>
            <w:pPr>
              <w:jc w:val="center"/>
            </w:pPr>
            <w:r>
              <w:rPr>
                <w:sz w:val="22"/>
                <w:szCs w:val="22"/>
              </w:rPr>
              <w:t xml:space="preserve">0</w:t>
            </w:r>
          </w:p>
        </w:tc>
      </w:tr>
      <w:tr>
        <w:tc>
          <w:tcPr>
            <w:tcW w:type="dxa" w:w="1800"/>
            <w:shd w:fill="EBF4FF" w:val="clear"/>
            <w:vAlign w:val="center"/>
          </w:tcPr>
          <w:p>
            <w:pPr>
              <w:jc w:val="center"/>
            </w:pPr>
            <w:r>
              <w:rPr>
                <w:sz w:val="22"/>
                <w:szCs w:val="22"/>
              </w:rPr>
              <w:t xml:space="preserve">Death</w:t>
            </w:r>
          </w:p>
        </w:tc>
        <w:tc>
          <w:tcPr>
            <w:tcW w:type="dxa" w:w="1800"/>
            <w:shd w:fill="EBF4FF" w:val="clear"/>
            <w:vAlign w:val="center"/>
          </w:tcPr>
          <w:p>
            <w:pPr>
              <w:jc w:val="center"/>
            </w:pPr>
            <w:r>
              <w:rPr>
                <w:sz w:val="22"/>
                <w:szCs w:val="22"/>
              </w:rPr>
              <w:t xml:space="preserve">Red</w:t>
            </w:r>
          </w:p>
        </w:tc>
        <w:tc>
          <w:tcPr>
            <w:tcW w:type="dxa" w:w="1800"/>
            <w:shd w:fill="EBF4FF" w:val="clear"/>
            <w:vAlign w:val="center"/>
          </w:tcPr>
          <w:p>
            <w:pPr>
              <w:jc w:val="center"/>
            </w:pPr>
            <w:r>
              <w:rPr>
                <w:sz w:val="22"/>
                <w:szCs w:val="22"/>
              </w:rPr>
              <w:t xml:space="preserve">Death</w:t>
            </w:r>
          </w:p>
        </w:tc>
        <w:tc>
          <w:tcPr>
            <w:tcW w:type="dxa" w:w="1800"/>
            <w:shd w:fill="EBF4FF" w:val="clear"/>
            <w:vAlign w:val="center"/>
          </w:tcPr>
          <w:p>
            <w:pPr>
              <w:jc w:val="center"/>
            </w:pPr>
            <w:r>
              <w:rPr>
                <w:sz w:val="22"/>
                <w:szCs w:val="22"/>
              </w:rPr>
              <w:t xml:space="preserve">Full stake lost</w:t>
            </w:r>
          </w:p>
        </w:tc>
        <w:tc>
          <w:tcPr>
            <w:tcW w:type="dxa" w:w="1800"/>
            <w:shd w:fill="EBF4FF" w:val="clear"/>
            <w:vAlign w:val="center"/>
          </w:tcPr>
          <w:p>
            <w:pPr>
              <w:jc w:val="center"/>
            </w:pPr>
            <w:r>
              <w:rPr>
                <w:sz w:val="22"/>
                <w:szCs w:val="22"/>
              </w:rPr>
              <w:t xml:space="preserve">0</w:t>
            </w:r>
          </w:p>
        </w:tc>
      </w:tr>
      <w:tr>
        <w:tc>
          <w:tcPr>
            <w:tcW w:type="dxa" w:w="1800"/>
            <w:shd w:fill="FFFFFF" w:val="clear"/>
            <w:vAlign w:val="center"/>
          </w:tcPr>
          <w:p>
            <w:pPr>
              <w:jc w:val="center"/>
            </w:pPr>
            <w:r>
              <w:rPr>
                <w:sz w:val="22"/>
                <w:szCs w:val="22"/>
              </w:rPr>
              <w:t xml:space="preserve">100k €</w:t>
            </w:r>
          </w:p>
        </w:tc>
        <w:tc>
          <w:tcPr>
            <w:tcW w:type="dxa" w:w="1800"/>
            <w:shd w:fill="FFFFFF" w:val="clear"/>
            <w:vAlign w:val="center"/>
          </w:tcPr>
          <w:p>
            <w:pPr>
              <w:jc w:val="center"/>
            </w:pPr>
            <w:r>
              <w:rPr>
                <w:sz w:val="22"/>
                <w:szCs w:val="22"/>
              </w:rPr>
              <w:t xml:space="preserve">Orange</w:t>
            </w:r>
          </w:p>
        </w:tc>
        <w:tc>
          <w:tcPr>
            <w:tcW w:type="dxa" w:w="1800"/>
            <w:shd w:fill="FFFFFF" w:val="clear"/>
            <w:vAlign w:val="center"/>
          </w:tcPr>
          <w:p>
            <w:pPr>
              <w:jc w:val="center"/>
            </w:pPr>
            <w:r>
              <w:rPr>
                <w:sz w:val="22"/>
                <w:szCs w:val="22"/>
              </w:rPr>
              <w:t xml:space="preserve">-3</w:t>
            </w:r>
          </w:p>
        </w:tc>
        <w:tc>
          <w:tcPr>
            <w:tcW w:type="dxa" w:w="1800"/>
            <w:shd w:fill="FFFFFF" w:val="clear"/>
            <w:vAlign w:val="center"/>
          </w:tcPr>
          <w:p>
            <w:pPr>
              <w:jc w:val="center"/>
            </w:pPr>
            <w:r>
              <w:rPr>
                <w:sz w:val="22"/>
                <w:szCs w:val="22"/>
              </w:rPr>
              <w:t xml:space="preserve">Full stake lost</w:t>
            </w:r>
          </w:p>
        </w:tc>
        <w:tc>
          <w:tcPr>
            <w:tcW w:type="dxa" w:w="1800"/>
            <w:shd w:fill="FFFFFF" w:val="clear"/>
            <w:vAlign w:val="center"/>
          </w:tcPr>
          <w:p>
            <w:pPr>
              <w:jc w:val="center"/>
            </w:pPr>
            <w:r>
              <w:rPr>
                <w:sz w:val="22"/>
                <w:szCs w:val="22"/>
              </w:rPr>
              <w:t xml:space="preserve">0</w:t>
            </w:r>
          </w:p>
        </w:tc>
      </w:tr>
      <w:tr>
        <w:tc>
          <w:tcPr>
            <w:tcW w:type="dxa" w:w="1800"/>
            <w:shd w:fill="EBF4FF" w:val="clear"/>
            <w:vAlign w:val="center"/>
          </w:tcPr>
          <w:p>
            <w:pPr>
              <w:jc w:val="center"/>
            </w:pPr>
            <w:r>
              <w:rPr>
                <w:sz w:val="22"/>
                <w:szCs w:val="22"/>
              </w:rPr>
              <w:t xml:space="preserve">50k €</w:t>
            </w:r>
          </w:p>
        </w:tc>
        <w:tc>
          <w:tcPr>
            <w:tcW w:type="dxa" w:w="1800"/>
            <w:shd w:fill="EBF4FF" w:val="clear"/>
            <w:vAlign w:val="center"/>
          </w:tcPr>
          <w:p>
            <w:pPr>
              <w:jc w:val="center"/>
            </w:pPr>
            <w:r>
              <w:rPr>
                <w:sz w:val="22"/>
                <w:szCs w:val="22"/>
              </w:rPr>
              <w:t xml:space="preserve">Blue</w:t>
            </w:r>
          </w:p>
        </w:tc>
        <w:tc>
          <w:tcPr>
            <w:tcW w:type="dxa" w:w="1800"/>
            <w:shd w:fill="EBF4FF" w:val="clear"/>
            <w:vAlign w:val="center"/>
          </w:tcPr>
          <w:p>
            <w:pPr>
              <w:jc w:val="center"/>
            </w:pPr>
            <w:r>
              <w:rPr>
                <w:sz w:val="22"/>
                <w:szCs w:val="22"/>
              </w:rPr>
              <w:t xml:space="preserve">Draw</w:t>
            </w:r>
          </w:p>
        </w:tc>
        <w:tc>
          <w:tcPr>
            <w:tcW w:type="dxa" w:w="1800"/>
            <w:shd w:fill="EBF4FF" w:val="clear"/>
            <w:vAlign w:val="center"/>
          </w:tcPr>
          <w:p>
            <w:pPr>
              <w:jc w:val="center"/>
            </w:pPr>
            <w:r>
              <w:rPr>
                <w:sz w:val="22"/>
                <w:szCs w:val="22"/>
              </w:rPr>
              <w:t xml:space="preserve">Half stake returned</w:t>
            </w:r>
          </w:p>
        </w:tc>
        <w:tc>
          <w:tcPr>
            <w:tcW w:type="dxa" w:w="1800"/>
            <w:shd w:fill="EBF4FF" w:val="clear"/>
            <w:vAlign w:val="center"/>
          </w:tcPr>
          <w:p>
            <w:pPr>
              <w:jc w:val="center"/>
            </w:pPr>
            <w:r>
              <w:rPr>
                <w:sz w:val="22"/>
                <w:szCs w:val="22"/>
              </w:rPr>
              <w:t xml:space="preserve">+50 % of stake</w:t>
            </w:r>
          </w:p>
        </w:tc>
      </w:tr>
    </w:tbl>
    <w:p>
      <w:pPr>
        <w:spacing w:after="240"/>
      </w:pPr>
    </w:p>
    <w:p>
      <w:pPr>
        <w:pStyle w:val="Heading2"/>
        <w:spacing w:after="150" w:before="300"/>
      </w:pPr>
      <w:r>
        <w:t xml:space="preserve">3.2 Win / Loss Outcomes Explained</w:t>
      </w:r>
    </w:p>
    <w:p>
      <w:pPr>
        <w:pStyle w:val="Heading3"/>
        <w:spacing w:after="100" w:before="200"/>
      </w:pPr>
      <w:r>
        <w:t xml:space="preserve">Win (result = "2" or "3")</w:t>
      </w:r>
    </w:p>
    <w:p>
      <w:pPr>
        <w:spacing w:after="160"/>
        <w:jc w:val="both"/>
      </w:pPr>
      <w:r>
        <w:rPr>
          <w:sz w:val="24"/>
          <w:szCs w:val="24"/>
        </w:rPr>
        <w:t xml:space="preserve">The contract pays the player their original stake plus a reward drawn from the protocol treasury (contractBalance). For result "2", the reward is 2 % of the staked amount; for "3" it is 3 %. The total is transferred directly to the player's wallet via token.transfer, with the balance mapping updated simultaneously to prevent double-accounting.</w:t>
      </w:r>
    </w:p>
    <w:p>
      <w:pPr>
        <w:pStyle w:val="Heading3"/>
        <w:spacing w:after="100" w:before="200"/>
      </w:pPr>
      <w:r>
        <w:t xml:space="preserve">Full Loss (result = "Death", "-2", or "-3")</w:t>
      </w:r>
    </w:p>
    <w:p>
      <w:pPr>
        <w:spacing w:after="160"/>
        <w:jc w:val="both"/>
      </w:pPr>
      <w:r>
        <w:rPr>
          <w:sz w:val="24"/>
          <w:szCs w:val="24"/>
        </w:rPr>
        <w:t xml:space="preserve">The staked amount is forfeited entirely and credited to contractBalance. No tokens are transferred to the player. From the player's perspective, the stake is simply consumed. This represents the primary source of treasury income that funds future win payouts.</w:t>
      </w:r>
    </w:p>
    <w:p>
      <w:pPr>
        <w:pStyle w:val="Heading3"/>
        <w:spacing w:after="100" w:before="200"/>
      </w:pPr>
      <w:r>
        <w:t xml:space="preserve">Draw (result = "Draw")</w:t>
      </w:r>
    </w:p>
    <w:p>
      <w:pPr>
        <w:spacing w:after="160"/>
        <w:jc w:val="both"/>
      </w:pPr>
      <w:r>
        <w:rPr>
          <w:sz w:val="24"/>
          <w:szCs w:val="24"/>
        </w:rPr>
        <w:t xml:space="preserve">A Draw is the partial-loss outcome. Exactly half the stake is returned to the player's wallet; the remaining half enters the treasury. This segment acts as a buffer between a full win and a full loss, moderating session variance.</w:t>
      </w:r>
    </w:p>
    <w:p>
      <w:pPr>
        <w:pStyle w:val="Heading3"/>
        <w:spacing w:after="100" w:before="200"/>
      </w:pPr>
      <w:r>
        <w:t xml:space="preserve">Default / Unknown</w:t>
      </w:r>
    </w:p>
    <w:p>
      <w:pPr>
        <w:spacing w:after="160"/>
        <w:jc w:val="both"/>
      </w:pPr>
      <w:r>
        <w:rPr>
          <w:sz w:val="24"/>
          <w:szCs w:val="24"/>
        </w:rPr>
        <w:t xml:space="preserve">Any result string not matching the above cases returns the full stake to the player's balance. This acts as a safety net, preventing tokens from becoming permanently trapped due to a frontend bug or unexpected input.</w:t>
      </w:r>
    </w:p>
    <w:p>
      <w:pPr>
        <w:pStyle w:val="Heading2"/>
        <w:spacing w:after="150" w:before="300"/>
      </w:pPr>
      <w:r>
        <w:t xml:space="preserve">3.3 Probability and House Edge</w:t>
      </w:r>
    </w:p>
    <w:p>
      <w:pPr>
        <w:spacing w:after="160"/>
        <w:jc w:val="both"/>
      </w:pPr>
      <w:r>
        <w:rPr>
          <w:sz w:val="24"/>
          <w:szCs w:val="24"/>
        </w:rPr>
        <w:t xml:space="preserve">With seven equal segments, each outcome has an equal 1-in-7 (≈ 14.29 %) probability. The expected return per unit staked is calculated as follows:</w:t>
      </w:r>
    </w:p>
    <w:p>
      <w:pPr>
        <w:pStyle w:val="ListParagraph"/>
        <w:numPr>
          <w:ilvl w:val="0"/>
          <w:numId w:val="1"/>
        </w:numPr>
        <w:spacing w:after="100"/>
      </w:pPr>
      <w:r>
        <w:rPr>
          <w:sz w:val="24"/>
          <w:szCs w:val="24"/>
        </w:rPr>
        <w:t xml:space="preserve">Win segments (×2, ×3): contribute positive expected value for the player.</w:t>
      </w:r>
    </w:p>
    <w:p>
      <w:pPr>
        <w:pStyle w:val="ListParagraph"/>
        <w:numPr>
          <w:ilvl w:val="0"/>
          <w:numId w:val="1"/>
        </w:numPr>
        <w:spacing w:after="100"/>
      </w:pPr>
      <w:r>
        <w:rPr>
          <w:sz w:val="24"/>
          <w:szCs w:val="24"/>
        </w:rPr>
        <w:t xml:space="preserve">Loss segments (Death, -2, -3): three out of seven; these fully benefit the treasury.</w:t>
      </w:r>
    </w:p>
    <w:p>
      <w:pPr>
        <w:pStyle w:val="ListParagraph"/>
        <w:numPr>
          <w:ilvl w:val="0"/>
          <w:numId w:val="1"/>
        </w:numPr>
        <w:spacing w:after="100"/>
      </w:pPr>
      <w:r>
        <w:rPr>
          <w:sz w:val="24"/>
          <w:szCs w:val="24"/>
        </w:rPr>
        <w:t xml:space="preserve">Draw (1/7): returns 50 cents on the dollar.</w:t>
      </w:r>
    </w:p>
    <w:p>
      <w:pPr>
        <w:pStyle w:val="ListParagraph"/>
        <w:numPr>
          <w:ilvl w:val="0"/>
          <w:numId w:val="1"/>
        </w:numPr>
        <w:spacing w:after="100"/>
      </w:pPr>
      <w:r>
        <w:rPr>
          <w:sz w:val="24"/>
          <w:szCs w:val="24"/>
        </w:rPr>
        <w:t xml:space="preserve">Default (1/7): full refund — neutral for both sides.</w:t>
      </w:r>
    </w:p>
    <w:p>
      <w:pPr>
        <w:spacing w:after="160"/>
      </w:pPr>
    </w:p>
    <w:p>
      <w:pPr>
        <w:spacing w:after="160"/>
        <w:jc w:val="both"/>
      </w:pPr>
      <w:r>
        <w:rPr>
          <w:sz w:val="24"/>
          <w:szCs w:val="24"/>
        </w:rPr>
        <w:t xml:space="preserve">This structure creates a meaningful house edge while keeping the game engaging. Exact expected-value calculations will vary with any future changes to segment probabilities or reward multipliers.</w:t>
      </w:r>
    </w:p>
    <w:p>
      <w:r>
        <w:br w:type="page"/>
      </w:r>
    </w:p>
    <w:p>
      <w:pPr>
        <w:pStyle w:val="Heading1"/>
        <w:spacing w:after="200" w:before="400"/>
      </w:pPr>
      <w:r>
        <w:t xml:space="preserve">4. Smart Contract Deep Dive</w:t>
      </w:r>
    </w:p>
    <w:p>
      <w:pPr>
        <w:pStyle w:val="Heading2"/>
        <w:spacing w:after="150" w:before="300"/>
      </w:pPr>
      <w:r>
        <w:t xml:space="preserve">4.1 State Variables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365d" w:val="clear"/>
            <w:vAlign w:val="center"/>
          </w:tcPr>
          <w:p>
            <w:pPr>
              <w:jc w:val="center"/>
            </w:pPr>
            <w:r>
              <w:rPr>
                <w:b/>
                <w:bCs/>
                <w:color w:val="FFFFFF"/>
                <w:sz w:val="22"/>
                <w:szCs w:val="22"/>
              </w:rPr>
              <w:t xml:space="preserve">Variable</w:t>
            </w:r>
          </w:p>
        </w:tc>
        <w:tc>
          <w:tcPr>
            <w:tcW w:type="dxa" w:w="3000"/>
            <w:shd w:fill="1a365d" w:val="clear"/>
            <w:vAlign w:val="center"/>
          </w:tcPr>
          <w:p>
            <w:pPr>
              <w:jc w:val="center"/>
            </w:pPr>
            <w:r>
              <w:rPr>
                <w:b/>
                <w:bCs/>
                <w:color w:val="FFFFFF"/>
                <w:sz w:val="22"/>
                <w:szCs w:val="22"/>
              </w:rPr>
              <w:t xml:space="preserve">Type</w:t>
            </w:r>
          </w:p>
        </w:tc>
        <w:tc>
          <w:tcPr>
            <w:tcW w:type="dxa" w:w="3000"/>
            <w:shd w:fill="1a365d" w:val="clear"/>
            <w:vAlign w:val="center"/>
          </w:tcPr>
          <w:p>
            <w:pPr>
              <w:jc w:val="center"/>
            </w:pPr>
            <w:r>
              <w:rPr>
                <w:b/>
                <w:bCs/>
                <w:color w:val="FFFFFF"/>
                <w:sz w:val="22"/>
                <w:szCs w:val="22"/>
              </w:rPr>
              <w:t xml:space="preserve">Purpose</w:t>
            </w:r>
          </w:p>
        </w:tc>
      </w:tr>
      <w:tr>
        <w:tc>
          <w:tcPr>
            <w:tcW w:type="dxa" w:w="3000"/>
            <w:shd w:fill="EBF4FF" w:val="clear"/>
            <w:vAlign w:val="center"/>
          </w:tcPr>
          <w:p>
            <w:pPr>
              <w:jc w:val="center"/>
            </w:pPr>
            <w:r>
              <w:rPr>
                <w:sz w:val="22"/>
                <w:szCs w:val="22"/>
              </w:rPr>
              <w:t xml:space="preserve">balances</w:t>
            </w:r>
          </w:p>
        </w:tc>
        <w:tc>
          <w:tcPr>
            <w:tcW w:type="dxa" w:w="3000"/>
            <w:shd w:fill="EBF4FF" w:val="clear"/>
            <w:vAlign w:val="center"/>
          </w:tcPr>
          <w:p>
            <w:pPr>
              <w:jc w:val="center"/>
            </w:pPr>
            <w:r>
              <w:rPr>
                <w:sz w:val="22"/>
                <w:szCs w:val="22"/>
              </w:rPr>
              <w:t xml:space="preserve">mapping(address =&gt; uint256)</w:t>
            </w:r>
          </w:p>
        </w:tc>
        <w:tc>
          <w:tcPr>
            <w:tcW w:type="dxa" w:w="3000"/>
            <w:shd w:fill="EBF4FF" w:val="clear"/>
            <w:vAlign w:val="center"/>
          </w:tcPr>
          <w:p>
            <w:pPr>
              <w:jc w:val="center"/>
            </w:pPr>
            <w:r>
              <w:rPr>
                <w:sz w:val="22"/>
                <w:szCs w:val="22"/>
              </w:rPr>
              <w:t xml:space="preserve">Per-player deposited / earned token balance</w:t>
            </w:r>
          </w:p>
        </w:tc>
      </w:tr>
      <w:tr>
        <w:tc>
          <w:tcPr>
            <w:tcW w:type="dxa" w:w="3000"/>
            <w:shd w:fill="FFFFFF" w:val="clear"/>
            <w:vAlign w:val="center"/>
          </w:tcPr>
          <w:p>
            <w:pPr>
              <w:jc w:val="center"/>
            </w:pPr>
            <w:r>
              <w:rPr>
                <w:sz w:val="22"/>
                <w:szCs w:val="22"/>
              </w:rPr>
              <w:t xml:space="preserve">contractBalance</w:t>
            </w:r>
          </w:p>
        </w:tc>
        <w:tc>
          <w:tcPr>
            <w:tcW w:type="dxa" w:w="3000"/>
            <w:shd w:fill="FFFFFF" w:val="clear"/>
            <w:vAlign w:val="center"/>
          </w:tcPr>
          <w:p>
            <w:pPr>
              <w:jc w:val="center"/>
            </w:pPr>
            <w:r>
              <w:rPr>
                <w:sz w:val="22"/>
                <w:szCs w:val="22"/>
              </w:rPr>
              <w:t xml:space="preserve">uint256</w:t>
            </w:r>
          </w:p>
        </w:tc>
        <w:tc>
          <w:tcPr>
            <w:tcW w:type="dxa" w:w="3000"/>
            <w:shd w:fill="FFFFFF" w:val="clear"/>
            <w:vAlign w:val="center"/>
          </w:tcPr>
          <w:p>
            <w:pPr>
              <w:jc w:val="center"/>
            </w:pPr>
            <w:r>
              <w:rPr>
                <w:sz w:val="22"/>
                <w:szCs w:val="22"/>
              </w:rPr>
              <w:t xml:space="preserve">Treasury pool — funds player wins; absorbs losses</w:t>
            </w:r>
          </w:p>
        </w:tc>
      </w:tr>
      <w:tr>
        <w:tc>
          <w:tcPr>
            <w:tcW w:type="dxa" w:w="3000"/>
            <w:shd w:fill="EBF4FF" w:val="clear"/>
            <w:vAlign w:val="center"/>
          </w:tcPr>
          <w:p>
            <w:pPr>
              <w:jc w:val="center"/>
            </w:pPr>
            <w:r>
              <w:rPr>
                <w:sz w:val="22"/>
                <w:szCs w:val="22"/>
              </w:rPr>
              <w:t xml:space="preserve">owner</w:t>
            </w:r>
          </w:p>
        </w:tc>
        <w:tc>
          <w:tcPr>
            <w:tcW w:type="dxa" w:w="3000"/>
            <w:shd w:fill="EBF4FF" w:val="clear"/>
            <w:vAlign w:val="center"/>
          </w:tcPr>
          <w:p>
            <w:pPr>
              <w:jc w:val="center"/>
            </w:pPr>
            <w:r>
              <w:rPr>
                <w:sz w:val="22"/>
                <w:szCs w:val="22"/>
              </w:rPr>
              <w:t xml:space="preserve">address</w:t>
            </w:r>
          </w:p>
        </w:tc>
        <w:tc>
          <w:tcPr>
            <w:tcW w:type="dxa" w:w="3000"/>
            <w:shd w:fill="EBF4FF" w:val="clear"/>
            <w:vAlign w:val="center"/>
          </w:tcPr>
          <w:p>
            <w:pPr>
              <w:jc w:val="center"/>
            </w:pPr>
            <w:r>
              <w:rPr>
                <w:sz w:val="22"/>
                <w:szCs w:val="22"/>
              </w:rPr>
              <w:t xml:space="preserve">Deployer address with administrative privileges</w:t>
            </w:r>
          </w:p>
        </w:tc>
      </w:tr>
      <w:tr>
        <w:tc>
          <w:tcPr>
            <w:tcW w:type="dxa" w:w="3000"/>
            <w:shd w:fill="FFFFFF" w:val="clear"/>
            <w:vAlign w:val="center"/>
          </w:tcPr>
          <w:p>
            <w:pPr>
              <w:jc w:val="center"/>
            </w:pPr>
            <w:r>
              <w:rPr>
                <w:sz w:val="22"/>
                <w:szCs w:val="22"/>
              </w:rPr>
              <w:t xml:space="preserve">token</w:t>
            </w:r>
          </w:p>
        </w:tc>
        <w:tc>
          <w:tcPr>
            <w:tcW w:type="dxa" w:w="3000"/>
            <w:shd w:fill="FFFFFF" w:val="clear"/>
            <w:vAlign w:val="center"/>
          </w:tcPr>
          <w:p>
            <w:pPr>
              <w:jc w:val="center"/>
            </w:pPr>
            <w:r>
              <w:rPr>
                <w:sz w:val="22"/>
                <w:szCs w:val="22"/>
              </w:rPr>
              <w:t xml:space="preserve">IERC20</w:t>
            </w:r>
          </w:p>
        </w:tc>
        <w:tc>
          <w:tcPr>
            <w:tcW w:type="dxa" w:w="3000"/>
            <w:shd w:fill="FFFFFF" w:val="clear"/>
            <w:vAlign w:val="center"/>
          </w:tcPr>
          <w:p>
            <w:pPr>
              <w:jc w:val="center"/>
            </w:pPr>
            <w:r>
              <w:rPr>
                <w:sz w:val="22"/>
                <w:szCs w:val="22"/>
              </w:rPr>
              <w:t xml:space="preserve">ERC-20 token accepted by the protocol</w:t>
            </w:r>
          </w:p>
        </w:tc>
      </w:tr>
      <w:tr>
        <w:tc>
          <w:tcPr>
            <w:tcW w:type="dxa" w:w="3000"/>
            <w:shd w:fill="EBF4FF" w:val="clear"/>
            <w:vAlign w:val="center"/>
          </w:tcPr>
          <w:p>
            <w:pPr>
              <w:jc w:val="center"/>
            </w:pPr>
            <w:r>
              <w:rPr>
                <w:sz w:val="22"/>
                <w:szCs w:val="22"/>
              </w:rPr>
              <w:t xml:space="preserve">withdrawalFeePercent</w:t>
            </w:r>
          </w:p>
        </w:tc>
        <w:tc>
          <w:tcPr>
            <w:tcW w:type="dxa" w:w="3000"/>
            <w:shd w:fill="EBF4FF" w:val="clear"/>
            <w:vAlign w:val="center"/>
          </w:tcPr>
          <w:p>
            <w:pPr>
              <w:jc w:val="center"/>
            </w:pPr>
            <w:r>
              <w:rPr>
                <w:sz w:val="22"/>
                <w:szCs w:val="22"/>
              </w:rPr>
              <w:t xml:space="preserve">uint256</w:t>
            </w:r>
          </w:p>
        </w:tc>
        <w:tc>
          <w:tcPr>
            <w:tcW w:type="dxa" w:w="3000"/>
            <w:shd w:fill="EBF4FF" w:val="clear"/>
            <w:vAlign w:val="center"/>
          </w:tcPr>
          <w:p>
            <w:pPr>
              <w:jc w:val="center"/>
            </w:pPr>
            <w:r>
              <w:rPr>
                <w:sz w:val="22"/>
                <w:szCs w:val="22"/>
              </w:rPr>
              <w:t xml:space="preserve">Fee on player withdrawals (default 2 %)</w:t>
            </w:r>
          </w:p>
        </w:tc>
      </w:tr>
    </w:tbl>
    <w:p>
      <w:pPr>
        <w:spacing w:after="240"/>
      </w:pPr>
    </w:p>
    <w:p>
      <w:pPr>
        <w:pStyle w:val="Heading2"/>
        <w:spacing w:after="150" w:before="300"/>
      </w:pPr>
      <w:r>
        <w:t xml:space="preserve">4.2 Events</w:t>
      </w:r>
    </w:p>
    <w:p>
      <w:pPr>
        <w:spacing w:after="160"/>
        <w:jc w:val="both"/>
      </w:pPr>
      <w:r>
        <w:rPr>
          <w:sz w:val="24"/>
          <w:szCs w:val="24"/>
        </w:rPr>
        <w:t xml:space="preserve">All material state changes emit an event, making on-chain activity indexable by The Graph or any standard event log:</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365d" w:val="clear"/>
            <w:vAlign w:val="center"/>
          </w:tcPr>
          <w:p>
            <w:pPr>
              <w:jc w:val="center"/>
            </w:pPr>
            <w:r>
              <w:rPr>
                <w:b/>
                <w:bCs/>
                <w:color w:val="FFFFFF"/>
                <w:sz w:val="22"/>
                <w:szCs w:val="22"/>
              </w:rPr>
              <w:t xml:space="preserve">Event</w:t>
            </w:r>
          </w:p>
        </w:tc>
        <w:tc>
          <w:tcPr>
            <w:tcW w:type="dxa" w:w="3000"/>
            <w:shd w:fill="1a365d" w:val="clear"/>
            <w:vAlign w:val="center"/>
          </w:tcPr>
          <w:p>
            <w:pPr>
              <w:jc w:val="center"/>
            </w:pPr>
            <w:r>
              <w:rPr>
                <w:b/>
                <w:bCs/>
                <w:color w:val="FFFFFF"/>
                <w:sz w:val="22"/>
                <w:szCs w:val="22"/>
              </w:rPr>
              <w:t xml:space="preserve">Parameters</w:t>
            </w:r>
          </w:p>
        </w:tc>
        <w:tc>
          <w:tcPr>
            <w:tcW w:type="dxa" w:w="3000"/>
            <w:shd w:fill="1a365d" w:val="clear"/>
            <w:vAlign w:val="center"/>
          </w:tcPr>
          <w:p>
            <w:pPr>
              <w:jc w:val="center"/>
            </w:pPr>
            <w:r>
              <w:rPr>
                <w:b/>
                <w:bCs/>
                <w:color w:val="FFFFFF"/>
                <w:sz w:val="22"/>
                <w:szCs w:val="22"/>
              </w:rPr>
              <w:t xml:space="preserve">Emitted When</w:t>
            </w:r>
          </w:p>
        </w:tc>
      </w:tr>
      <w:tr>
        <w:tc>
          <w:tcPr>
            <w:tcW w:type="dxa" w:w="3000"/>
            <w:shd w:fill="EBF4FF" w:val="clear"/>
            <w:vAlign w:val="center"/>
          </w:tcPr>
          <w:p>
            <w:pPr>
              <w:jc w:val="center"/>
            </w:pPr>
            <w:r>
              <w:rPr>
                <w:sz w:val="22"/>
                <w:szCs w:val="22"/>
              </w:rPr>
              <w:t xml:space="preserve">Funded</w:t>
            </w:r>
          </w:p>
        </w:tc>
        <w:tc>
          <w:tcPr>
            <w:tcW w:type="dxa" w:w="3000"/>
            <w:shd w:fill="EBF4FF" w:val="clear"/>
            <w:vAlign w:val="center"/>
          </w:tcPr>
          <w:p>
            <w:pPr>
              <w:jc w:val="center"/>
            </w:pPr>
            <w:r>
              <w:rPr>
                <w:sz w:val="22"/>
                <w:szCs w:val="22"/>
              </w:rPr>
              <w:t xml:space="preserve">user, amount</w:t>
            </w:r>
          </w:p>
        </w:tc>
        <w:tc>
          <w:tcPr>
            <w:tcW w:type="dxa" w:w="3000"/>
            <w:shd w:fill="EBF4FF" w:val="clear"/>
            <w:vAlign w:val="center"/>
          </w:tcPr>
          <w:p>
            <w:pPr>
              <w:jc w:val="center"/>
            </w:pPr>
            <w:r>
              <w:rPr>
                <w:sz w:val="22"/>
                <w:szCs w:val="22"/>
              </w:rPr>
              <w:t xml:space="preserve">Player calls fund()</w:t>
            </w:r>
          </w:p>
        </w:tc>
      </w:tr>
      <w:tr>
        <w:tc>
          <w:tcPr>
            <w:tcW w:type="dxa" w:w="3000"/>
            <w:shd w:fill="FFFFFF" w:val="clear"/>
            <w:vAlign w:val="center"/>
          </w:tcPr>
          <w:p>
            <w:pPr>
              <w:jc w:val="center"/>
            </w:pPr>
            <w:r>
              <w:rPr>
                <w:sz w:val="22"/>
                <w:szCs w:val="22"/>
              </w:rPr>
              <w:t xml:space="preserve">Staked</w:t>
            </w:r>
          </w:p>
        </w:tc>
        <w:tc>
          <w:tcPr>
            <w:tcW w:type="dxa" w:w="3000"/>
            <w:shd w:fill="FFFFFF" w:val="clear"/>
            <w:vAlign w:val="center"/>
          </w:tcPr>
          <w:p>
            <w:pPr>
              <w:jc w:val="center"/>
            </w:pPr>
            <w:r>
              <w:rPr>
                <w:sz w:val="22"/>
                <w:szCs w:val="22"/>
              </w:rPr>
              <w:t xml:space="preserve">user, amount</w:t>
            </w:r>
          </w:p>
        </w:tc>
        <w:tc>
          <w:tcPr>
            <w:tcW w:type="dxa" w:w="3000"/>
            <w:shd w:fill="FFFFFF" w:val="clear"/>
            <w:vAlign w:val="center"/>
          </w:tcPr>
          <w:p>
            <w:pPr>
              <w:jc w:val="center"/>
            </w:pPr>
            <w:r>
              <w:rPr>
                <w:sz w:val="22"/>
                <w:szCs w:val="22"/>
              </w:rPr>
              <w:t xml:space="preserve">Player calls stake()</w:t>
            </w:r>
          </w:p>
        </w:tc>
      </w:tr>
      <w:tr>
        <w:tc>
          <w:tcPr>
            <w:tcW w:type="dxa" w:w="3000"/>
            <w:shd w:fill="EBF4FF" w:val="clear"/>
            <w:vAlign w:val="center"/>
          </w:tcPr>
          <w:p>
            <w:pPr>
              <w:jc w:val="center"/>
            </w:pPr>
            <w:r>
              <w:rPr>
                <w:sz w:val="22"/>
                <w:szCs w:val="22"/>
              </w:rPr>
              <w:t xml:space="preserve">RewardCalculated</w:t>
            </w:r>
          </w:p>
        </w:tc>
        <w:tc>
          <w:tcPr>
            <w:tcW w:type="dxa" w:w="3000"/>
            <w:shd w:fill="EBF4FF" w:val="clear"/>
            <w:vAlign w:val="center"/>
          </w:tcPr>
          <w:p>
            <w:pPr>
              <w:jc w:val="center"/>
            </w:pPr>
            <w:r>
              <w:rPr>
                <w:sz w:val="22"/>
                <w:szCs w:val="22"/>
              </w:rPr>
              <w:t xml:space="preserve">user, reward, result</w:t>
            </w:r>
          </w:p>
        </w:tc>
        <w:tc>
          <w:tcPr>
            <w:tcW w:type="dxa" w:w="3000"/>
            <w:shd w:fill="EBF4FF" w:val="clear"/>
            <w:vAlign w:val="center"/>
          </w:tcPr>
          <w:p>
            <w:pPr>
              <w:jc w:val="center"/>
            </w:pPr>
            <w:r>
              <w:rPr>
                <w:sz w:val="22"/>
                <w:szCs w:val="22"/>
              </w:rPr>
              <w:t xml:space="preserve">Spin outcome is resolved</w:t>
            </w:r>
          </w:p>
        </w:tc>
      </w:tr>
      <w:tr>
        <w:tc>
          <w:tcPr>
            <w:tcW w:type="dxa" w:w="3000"/>
            <w:shd w:fill="FFFFFF" w:val="clear"/>
            <w:vAlign w:val="center"/>
          </w:tcPr>
          <w:p>
            <w:pPr>
              <w:jc w:val="center"/>
            </w:pPr>
            <w:r>
              <w:rPr>
                <w:sz w:val="22"/>
                <w:szCs w:val="22"/>
              </w:rPr>
              <w:t xml:space="preserve">Withdraw</w:t>
            </w:r>
          </w:p>
        </w:tc>
        <w:tc>
          <w:tcPr>
            <w:tcW w:type="dxa" w:w="3000"/>
            <w:shd w:fill="FFFFFF" w:val="clear"/>
            <w:vAlign w:val="center"/>
          </w:tcPr>
          <w:p>
            <w:pPr>
              <w:jc w:val="center"/>
            </w:pPr>
            <w:r>
              <w:rPr>
                <w:sz w:val="22"/>
                <w:szCs w:val="22"/>
              </w:rPr>
              <w:t xml:space="preserve">user, amount, fee</w:t>
            </w:r>
          </w:p>
        </w:tc>
        <w:tc>
          <w:tcPr>
            <w:tcW w:type="dxa" w:w="3000"/>
            <w:shd w:fill="FFFFFF" w:val="clear"/>
            <w:vAlign w:val="center"/>
          </w:tcPr>
          <w:p>
            <w:pPr>
              <w:jc w:val="center"/>
            </w:pPr>
            <w:r>
              <w:rPr>
                <w:sz w:val="22"/>
                <w:szCs w:val="22"/>
              </w:rPr>
              <w:t xml:space="preserve">Player withdraws</w:t>
            </w:r>
          </w:p>
        </w:tc>
      </w:tr>
      <w:tr>
        <w:tc>
          <w:tcPr>
            <w:tcW w:type="dxa" w:w="3000"/>
            <w:shd w:fill="EBF4FF" w:val="clear"/>
            <w:vAlign w:val="center"/>
          </w:tcPr>
          <w:p>
            <w:pPr>
              <w:jc w:val="center"/>
            </w:pPr>
            <w:r>
              <w:rPr>
                <w:sz w:val="22"/>
                <w:szCs w:val="22"/>
              </w:rPr>
              <w:t xml:space="preserve">ContractFunded</w:t>
            </w:r>
          </w:p>
        </w:tc>
        <w:tc>
          <w:tcPr>
            <w:tcW w:type="dxa" w:w="3000"/>
            <w:shd w:fill="EBF4FF" w:val="clear"/>
            <w:vAlign w:val="center"/>
          </w:tcPr>
          <w:p>
            <w:pPr>
              <w:jc w:val="center"/>
            </w:pPr>
            <w:r>
              <w:rPr>
                <w:sz w:val="22"/>
                <w:szCs w:val="22"/>
              </w:rPr>
              <w:t xml:space="preserve">amount</w:t>
            </w:r>
          </w:p>
        </w:tc>
        <w:tc>
          <w:tcPr>
            <w:tcW w:type="dxa" w:w="3000"/>
            <w:shd w:fill="EBF4FF" w:val="clear"/>
            <w:vAlign w:val="center"/>
          </w:tcPr>
          <w:p>
            <w:pPr>
              <w:jc w:val="center"/>
            </w:pPr>
            <w:r>
              <w:rPr>
                <w:sz w:val="22"/>
                <w:szCs w:val="22"/>
              </w:rPr>
              <w:t xml:space="preserve">Owner seeds treasury</w:t>
            </w:r>
          </w:p>
        </w:tc>
      </w:tr>
      <w:tr>
        <w:tc>
          <w:tcPr>
            <w:tcW w:type="dxa" w:w="3000"/>
            <w:shd w:fill="FFFFFF" w:val="clear"/>
            <w:vAlign w:val="center"/>
          </w:tcPr>
          <w:p>
            <w:pPr>
              <w:jc w:val="center"/>
            </w:pPr>
            <w:r>
              <w:rPr>
                <w:sz w:val="22"/>
                <w:szCs w:val="22"/>
              </w:rPr>
              <w:t xml:space="preserve">ContractWithdrawal</w:t>
            </w:r>
          </w:p>
        </w:tc>
        <w:tc>
          <w:tcPr>
            <w:tcW w:type="dxa" w:w="3000"/>
            <w:shd w:fill="FFFFFF" w:val="clear"/>
            <w:vAlign w:val="center"/>
          </w:tcPr>
          <w:p>
            <w:pPr>
              <w:jc w:val="center"/>
            </w:pPr>
            <w:r>
              <w:rPr>
                <w:sz w:val="22"/>
                <w:szCs w:val="22"/>
              </w:rPr>
              <w:t xml:space="preserve">amount</w:t>
            </w:r>
          </w:p>
        </w:tc>
        <w:tc>
          <w:tcPr>
            <w:tcW w:type="dxa" w:w="3000"/>
            <w:shd w:fill="FFFFFF" w:val="clear"/>
            <w:vAlign w:val="center"/>
          </w:tcPr>
          <w:p>
            <w:pPr>
              <w:jc w:val="center"/>
            </w:pPr>
            <w:r>
              <w:rPr>
                <w:sz w:val="22"/>
                <w:szCs w:val="22"/>
              </w:rPr>
              <w:t xml:space="preserve">Owner drains treasury</w:t>
            </w:r>
          </w:p>
        </w:tc>
      </w:tr>
    </w:tbl>
    <w:p>
      <w:pPr>
        <w:spacing w:after="240"/>
      </w:pPr>
    </w:p>
    <w:p>
      <w:pPr>
        <w:pStyle w:val="Heading2"/>
        <w:spacing w:after="150" w:before="300"/>
      </w:pPr>
      <w:r>
        <w:t xml:space="preserve">4.3 Security Considerations</w:t>
      </w:r>
    </w:p>
    <w:p>
      <w:pPr>
        <w:pStyle w:val="Heading3"/>
        <w:spacing w:after="100" w:before="200"/>
      </w:pPr>
      <w:r>
        <w:t xml:space="preserve">Access Control</w:t>
      </w:r>
    </w:p>
    <w:p>
      <w:pPr>
        <w:spacing w:after="160"/>
        <w:jc w:val="both"/>
      </w:pPr>
      <w:r>
        <w:rPr>
          <w:sz w:val="24"/>
          <w:szCs w:val="24"/>
        </w:rPr>
        <w:t xml:space="preserve">Owner-only functions are protected by the onlyOwner modifier. The owner address is set at deployment and cannot be transferred in the current implementation. A future upgrade should implement a two-step ownership transfer (e.g., OpenZeppelin Ownable2Step) to prevent accidental loss of ownership.</w:t>
      </w:r>
    </w:p>
    <w:p>
      <w:pPr>
        <w:pStyle w:val="Heading3"/>
        <w:spacing w:after="100" w:before="200"/>
      </w:pPr>
      <w:r>
        <w:t xml:space="preserve">Reentrancy</w:t>
      </w:r>
    </w:p>
    <w:p>
      <w:pPr>
        <w:spacing w:after="160"/>
        <w:jc w:val="both"/>
      </w:pPr>
      <w:r>
        <w:rPr>
          <w:sz w:val="24"/>
          <w:szCs w:val="24"/>
        </w:rPr>
        <w:t xml:space="preserve">The contract transfers tokens only after updating all internal balance mappings. This follows the checks-effects-interactions pattern, which prevents reentrancy attacks. Nevertheless, a production deployment should add an explicit ReentrancyGuard (OpenZeppelin) as defence in depth.</w:t>
      </w:r>
    </w:p>
    <w:p>
      <w:pPr>
        <w:pStyle w:val="Heading3"/>
        <w:spacing w:after="100" w:before="200"/>
      </w:pPr>
      <w:r>
        <w:t xml:space="preserve">Result String Trust Boundary</w:t>
      </w:r>
    </w:p>
    <w:p>
      <w:pPr>
        <w:spacing w:after="160"/>
        <w:jc w:val="both"/>
      </w:pPr>
      <w:r>
        <w:rPr>
          <w:sz w:val="24"/>
          <w:szCs w:val="24"/>
        </w:rPr>
        <w:t xml:space="preserve">In the current design, the result string passed to processSpinResult originates from the frontend JavaScript, not from a verifiable on-chain randomness source. This means the frontend is a trusted party: a malicious or compromised frontend could pass an arbitrary result. Mitigations for a production deployment are discussed in Section 6 (Future Work).</w:t>
      </w:r>
    </w:p>
    <w:p>
      <w:pPr>
        <w:pStyle w:val="Heading3"/>
        <w:spacing w:after="100" w:before="200"/>
      </w:pPr>
      <w:r>
        <w:t xml:space="preserve">Integer Arithmetic</w:t>
      </w:r>
    </w:p>
    <w:p>
      <w:pPr>
        <w:spacing w:after="160"/>
        <w:jc w:val="both"/>
      </w:pPr>
      <w:r>
        <w:rPr>
          <w:sz w:val="24"/>
          <w:szCs w:val="24"/>
        </w:rPr>
        <w:t xml:space="preserve">All arithmetic uses Solidity 0.8.x, which has overflow/underflow protection built in. Percentage calculations (e.g., (stakedAmount * 2) / 100) are safe for the expected range of staked values; very large stakes could theoretically overflow before division, but ERC-20 amounts with 18-decimal precision make this practically unlikely at normal game stakes.</w:t>
      </w:r>
    </w:p>
    <w:p>
      <w:pPr>
        <w:pStyle w:val="Heading3"/>
        <w:spacing w:after="100" w:before="200"/>
      </w:pPr>
      <w:r>
        <w:t xml:space="preserve">Token Compatibility</w:t>
      </w:r>
    </w:p>
    <w:p>
      <w:pPr>
        <w:spacing w:after="160"/>
        <w:jc w:val="both"/>
      </w:pPr>
      <w:r>
        <w:rPr>
          <w:sz w:val="24"/>
          <w:szCs w:val="24"/>
        </w:rPr>
        <w:t xml:space="preserve">The IERC20 interface used is a minimal custom definition rather than the OpenZeppelin reference. It assumes standard transfer and transferFrom semantics. Tokens with non-standard return values (e.g., USDT on Ethereum mainnet) may cause silent failures; the bool return is checked with require, which provides a safety net for standards-compliant tokens.</w:t>
      </w:r>
    </w:p>
    <w:p>
      <w:r>
        <w:br w:type="page"/>
      </w:r>
    </w:p>
    <w:p>
      <w:pPr>
        <w:pStyle w:val="Heading1"/>
        <w:spacing w:after="200" w:before="400"/>
      </w:pPr>
      <w:r>
        <w:t xml:space="preserve">5. Frontend Application</w:t>
      </w:r>
    </w:p>
    <w:p>
      <w:pPr>
        <w:pStyle w:val="Heading2"/>
        <w:spacing w:after="150" w:before="300"/>
      </w:pPr>
      <w:r>
        <w:t xml:space="preserve">5.1 Technology Stack</w:t>
      </w:r>
    </w:p>
    <w:p>
      <w:pPr>
        <w:pStyle w:val="ListParagraph"/>
        <w:numPr>
          <w:ilvl w:val="0"/>
          <w:numId w:val="1"/>
        </w:numPr>
        <w:spacing w:after="100"/>
      </w:pPr>
      <w:r>
        <w:rPr>
          <w:sz w:val="24"/>
          <w:szCs w:val="24"/>
        </w:rPr>
        <w:t xml:space="preserve">Rendering: Vanilla HTML5, CSS3, and JavaScript — no build step required.</w:t>
      </w:r>
    </w:p>
    <w:p>
      <w:pPr>
        <w:pStyle w:val="ListParagraph"/>
        <w:numPr>
          <w:ilvl w:val="0"/>
          <w:numId w:val="1"/>
        </w:numPr>
        <w:spacing w:after="100"/>
      </w:pPr>
      <w:r>
        <w:rPr>
          <w:sz w:val="24"/>
          <w:szCs w:val="24"/>
        </w:rPr>
        <w:t xml:space="preserve">Web3 Integration: web3.js loaded from CDN; communicates with the user's injected wallet (MetaMask or any EIP-1193 provider).</w:t>
      </w:r>
    </w:p>
    <w:p>
      <w:pPr>
        <w:pStyle w:val="ListParagraph"/>
        <w:numPr>
          <w:ilvl w:val="0"/>
          <w:numId w:val="1"/>
        </w:numPr>
        <w:spacing w:after="100"/>
      </w:pPr>
      <w:r>
        <w:rPr>
          <w:sz w:val="24"/>
          <w:szCs w:val="24"/>
        </w:rPr>
        <w:t xml:space="preserve">Wheel Animation: Pure CSS transform with a JavaScript-driven rotation calculation.</w:t>
      </w:r>
    </w:p>
    <w:p>
      <w:pPr>
        <w:pStyle w:val="Heading2"/>
        <w:spacing w:after="150" w:before="300"/>
      </w:pPr>
      <w:r>
        <w:t xml:space="preserve">5.2 Wallet Connection</w:t>
      </w:r>
    </w:p>
    <w:p>
      <w:pPr>
        <w:spacing w:after="160"/>
        <w:jc w:val="both"/>
      </w:pPr>
      <w:r>
        <w:rPr>
          <w:sz w:val="24"/>
          <w:szCs w:val="24"/>
        </w:rPr>
        <w:t xml:space="preserve">The Connect Wallet button triggers the init() function, which calls window.ethereum.request({ method: "eth_requestAccounts" }). Upon approval, the connected address is displayed and stored in currentAccount for subsequent contract calls.</w:t>
      </w:r>
    </w:p>
    <w:p>
      <w:pPr>
        <w:pStyle w:val="Heading2"/>
        <w:spacing w:after="150" w:before="300"/>
      </w:pPr>
      <w:r>
        <w:t xml:space="preserve">5.3 Wheel Spin Logic</w:t>
      </w:r>
    </w:p>
    <w:p>
      <w:pPr>
        <w:spacing w:after="160"/>
        <w:jc w:val="both"/>
      </w:pPr>
      <w:r>
        <w:rPr>
          <w:sz w:val="24"/>
          <w:szCs w:val="24"/>
        </w:rPr>
        <w:t xml:space="preserve">On each spin click, a random integer between 0 and 359 is generated client-side. The wheel is animated through five full rotations plus that random offset. After 3 seconds, the final degree is taken modulo 360 and divided by the 51.43-degree segment arc to determine the landed index. The corresponding prize label from the prizes array is displayed and, in a full integration, submitted to processSpinResult.</w:t>
      </w:r>
    </w:p>
    <w:p>
      <w:pPr>
        <w:pStyle w:val="Heading2"/>
        <w:spacing w:after="150" w:before="300"/>
      </w:pPr>
      <w:r>
        <w:t xml:space="preserve">5.4 Player Actions</w:t>
      </w:r>
    </w:p>
    <w:p>
      <w:pPr>
        <w:spacing w:after="160"/>
        <w:jc w:val="both"/>
      </w:pPr>
      <w:r>
        <w:rPr>
          <w:sz w:val="24"/>
          <w:szCs w:val="24"/>
        </w:rPr>
        <w:t xml:space="preserve">The frontend exposes distinct inputs and buttons for:</w:t>
      </w:r>
    </w:p>
    <w:p>
      <w:pPr>
        <w:pStyle w:val="ListParagraph"/>
        <w:numPr>
          <w:ilvl w:val="0"/>
          <w:numId w:val="1"/>
        </w:numPr>
        <w:spacing w:after="100"/>
      </w:pPr>
      <w:r>
        <w:rPr>
          <w:sz w:val="24"/>
          <w:szCs w:val="24"/>
        </w:rPr>
        <w:t xml:space="preserve">Funding — calls contract.methods.fund(amount).send(...)</w:t>
      </w:r>
    </w:p>
    <w:p>
      <w:pPr>
        <w:pStyle w:val="ListParagraph"/>
        <w:numPr>
          <w:ilvl w:val="0"/>
          <w:numId w:val="1"/>
        </w:numPr>
        <w:spacing w:after="100"/>
      </w:pPr>
      <w:r>
        <w:rPr>
          <w:sz w:val="24"/>
          <w:szCs w:val="24"/>
        </w:rPr>
        <w:t xml:space="preserve">Staking — calls contract.methods.stake(amount).send(...)</w:t>
      </w:r>
    </w:p>
    <w:p>
      <w:pPr>
        <w:pStyle w:val="ListParagraph"/>
        <w:numPr>
          <w:ilvl w:val="0"/>
          <w:numId w:val="1"/>
        </w:numPr>
        <w:spacing w:after="100"/>
      </w:pPr>
      <w:r>
        <w:rPr>
          <w:sz w:val="24"/>
          <w:szCs w:val="24"/>
        </w:rPr>
        <w:t xml:space="preserve">Withdrawing — calls contract.methods.withdraw(amount).send(...)</w:t>
      </w:r>
    </w:p>
    <w:p>
      <w:pPr>
        <w:spacing w:after="160"/>
      </w:pPr>
    </w:p>
    <w:p>
      <w:pPr>
        <w:spacing w:after="160"/>
        <w:jc w:val="both"/>
      </w:pPr>
      <w:r>
        <w:rPr>
          <w:sz w:val="24"/>
          <w:szCs w:val="24"/>
        </w:rPr>
        <w:t xml:space="preserve">All amounts are converted from human-readable units to wei using web3.utils.toWei before being passed to the contract.</w:t>
      </w:r>
    </w:p>
    <w:p>
      <w:pPr>
        <w:pStyle w:val="Heading2"/>
        <w:spacing w:after="150" w:before="300"/>
      </w:pPr>
      <w:r>
        <w:t xml:space="preserve">5.5 Owner Panel</w:t>
      </w:r>
    </w:p>
    <w:p>
      <w:pPr>
        <w:spacing w:after="160"/>
        <w:jc w:val="both"/>
      </w:pPr>
      <w:r>
        <w:rPr>
          <w:sz w:val="24"/>
          <w:szCs w:val="24"/>
        </w:rPr>
        <w:t xml:space="preserve">A separate section in the UI exposes owner-only functions (seed treasury, drain treasury). These calls succeed on-chain only if msg.sender matches the contract's owner address; the UI does not perform any local role check, relying on the contract's onlyOwner modifier to enforce access control.</w:t>
      </w:r>
    </w:p>
    <w:p>
      <w:r>
        <w:br w:type="page"/>
      </w:r>
    </w:p>
    <w:p>
      <w:pPr>
        <w:pStyle w:val="Heading1"/>
        <w:spacing w:after="200" w:before="400"/>
      </w:pPr>
      <w:r>
        <w:t xml:space="preserve">6. Tokenomics &amp; Economic Model</w:t>
      </w:r>
    </w:p>
    <w:p>
      <w:pPr>
        <w:pStyle w:val="Heading2"/>
        <w:spacing w:after="150" w:before="300"/>
      </w:pPr>
      <w:r>
        <w:t xml:space="preserve">6.1 Accepted Token</w:t>
      </w:r>
    </w:p>
    <w:p>
      <w:pPr>
        <w:spacing w:after="160"/>
        <w:jc w:val="both"/>
      </w:pPr>
      <w:r>
        <w:rPr>
          <w:sz w:val="24"/>
          <w:szCs w:val="24"/>
        </w:rPr>
        <w:t xml:space="preserve">Spinner accepts any ERC-20 token specified at deployment time. The chosen token acts as the unit of account for stakes, rewards, and fees. The repository includes an ERC20Mock contract for local testing, which allows the owner to mint arbitrary amounts for development purposes. In production, Spinner is expected to deploy against an established token such as cUSD (Celo Dollar) or another stable asset to reduce volatility risk for players.</w:t>
      </w:r>
    </w:p>
    <w:p>
      <w:pPr>
        <w:pStyle w:val="Heading2"/>
        <w:spacing w:after="150" w:before="300"/>
      </w:pPr>
      <w:r>
        <w:t xml:space="preserve">6.2 Fee Structure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365d" w:val="clear"/>
            <w:vAlign w:val="center"/>
          </w:tcPr>
          <w:p>
            <w:pPr>
              <w:jc w:val="center"/>
            </w:pPr>
            <w:r>
              <w:rPr>
                <w:b/>
                <w:bCs/>
                <w:color w:val="FFFFFF"/>
                <w:sz w:val="22"/>
                <w:szCs w:val="22"/>
              </w:rPr>
              <w:t xml:space="preserve">Fee</w:t>
            </w:r>
          </w:p>
        </w:tc>
        <w:tc>
          <w:tcPr>
            <w:tcW w:type="dxa" w:w="2250"/>
            <w:shd w:fill="1a365d" w:val="clear"/>
            <w:vAlign w:val="center"/>
          </w:tcPr>
          <w:p>
            <w:pPr>
              <w:jc w:val="center"/>
            </w:pPr>
            <w:r>
              <w:rPr>
                <w:b/>
                <w:bCs/>
                <w:color w:val="FFFFFF"/>
                <w:sz w:val="22"/>
                <w:szCs w:val="22"/>
              </w:rPr>
              <w:t xml:space="preserve">Rate</w:t>
            </w:r>
          </w:p>
        </w:tc>
        <w:tc>
          <w:tcPr>
            <w:tcW w:type="dxa" w:w="2250"/>
            <w:shd w:fill="1a365d" w:val="clear"/>
            <w:vAlign w:val="center"/>
          </w:tcPr>
          <w:p>
            <w:pPr>
              <w:jc w:val="center"/>
            </w:pPr>
            <w:r>
              <w:rPr>
                <w:b/>
                <w:bCs/>
                <w:color w:val="FFFFFF"/>
                <w:sz w:val="22"/>
                <w:szCs w:val="22"/>
              </w:rPr>
              <w:t xml:space="preserve">Charged To</w:t>
            </w:r>
          </w:p>
        </w:tc>
        <w:tc>
          <w:tcPr>
            <w:tcW w:type="dxa" w:w="2250"/>
            <w:shd w:fill="1a365d" w:val="clear"/>
            <w:vAlign w:val="center"/>
          </w:tcPr>
          <w:p>
            <w:pPr>
              <w:jc w:val="center"/>
            </w:pPr>
            <w:r>
              <w:rPr>
                <w:b/>
                <w:bCs/>
                <w:color w:val="FFFFFF"/>
                <w:sz w:val="22"/>
                <w:szCs w:val="22"/>
              </w:rPr>
              <w:t xml:space="preserve">Destination</w:t>
            </w:r>
          </w:p>
        </w:tc>
      </w:tr>
      <w:tr>
        <w:tc>
          <w:tcPr>
            <w:tcW w:type="dxa" w:w="2250"/>
            <w:shd w:fill="EBF4FF" w:val="clear"/>
            <w:vAlign w:val="center"/>
          </w:tcPr>
          <w:p>
            <w:pPr>
              <w:jc w:val="center"/>
            </w:pPr>
            <w:r>
              <w:rPr>
                <w:sz w:val="22"/>
                <w:szCs w:val="22"/>
              </w:rPr>
              <w:t xml:space="preserve">Withdrawal fee</w:t>
            </w:r>
          </w:p>
        </w:tc>
        <w:tc>
          <w:tcPr>
            <w:tcW w:type="dxa" w:w="2250"/>
            <w:shd w:fill="EBF4FF" w:val="clear"/>
            <w:vAlign w:val="center"/>
          </w:tcPr>
          <w:p>
            <w:pPr>
              <w:jc w:val="center"/>
            </w:pPr>
            <w:r>
              <w:rPr>
                <w:sz w:val="22"/>
                <w:szCs w:val="22"/>
              </w:rPr>
              <w:t xml:space="preserve">2 %</w:t>
            </w:r>
          </w:p>
        </w:tc>
        <w:tc>
          <w:tcPr>
            <w:tcW w:type="dxa" w:w="2250"/>
            <w:shd w:fill="EBF4FF" w:val="clear"/>
            <w:vAlign w:val="center"/>
          </w:tcPr>
          <w:p>
            <w:pPr>
              <w:jc w:val="center"/>
            </w:pPr>
            <w:r>
              <w:rPr>
                <w:sz w:val="22"/>
                <w:szCs w:val="22"/>
              </w:rPr>
              <w:t xml:space="preserve">Player</w:t>
            </w:r>
          </w:p>
        </w:tc>
        <w:tc>
          <w:tcPr>
            <w:tcW w:type="dxa" w:w="2250"/>
            <w:shd w:fill="EBF4FF" w:val="clear"/>
            <w:vAlign w:val="center"/>
          </w:tcPr>
          <w:p>
            <w:pPr>
              <w:jc w:val="center"/>
            </w:pPr>
            <w:r>
              <w:rPr>
                <w:sz w:val="22"/>
                <w:szCs w:val="22"/>
              </w:rPr>
              <w:t xml:space="preserve">contractBalance (treasury)</w:t>
            </w:r>
          </w:p>
        </w:tc>
      </w:tr>
      <w:tr>
        <w:tc>
          <w:tcPr>
            <w:tcW w:type="dxa" w:w="2250"/>
            <w:shd w:fill="FFFFFF" w:val="clear"/>
            <w:vAlign w:val="center"/>
          </w:tcPr>
          <w:p>
            <w:pPr>
              <w:jc w:val="center"/>
            </w:pPr>
            <w:r>
              <w:rPr>
                <w:sz w:val="22"/>
                <w:szCs w:val="22"/>
              </w:rPr>
              <w:t xml:space="preserve">Loss on spin</w:t>
            </w:r>
          </w:p>
        </w:tc>
        <w:tc>
          <w:tcPr>
            <w:tcW w:type="dxa" w:w="2250"/>
            <w:shd w:fill="FFFFFF" w:val="clear"/>
            <w:vAlign w:val="center"/>
          </w:tcPr>
          <w:p>
            <w:pPr>
              <w:jc w:val="center"/>
            </w:pPr>
            <w:r>
              <w:rPr>
                <w:sz w:val="22"/>
                <w:szCs w:val="22"/>
              </w:rPr>
              <w:t xml:space="preserve">100 %</w:t>
            </w:r>
          </w:p>
        </w:tc>
        <w:tc>
          <w:tcPr>
            <w:tcW w:type="dxa" w:w="2250"/>
            <w:shd w:fill="FFFFFF" w:val="clear"/>
            <w:vAlign w:val="center"/>
          </w:tcPr>
          <w:p>
            <w:pPr>
              <w:jc w:val="center"/>
            </w:pPr>
            <w:r>
              <w:rPr>
                <w:sz w:val="22"/>
                <w:szCs w:val="22"/>
              </w:rPr>
              <w:t xml:space="preserve">Player stake</w:t>
            </w:r>
          </w:p>
        </w:tc>
        <w:tc>
          <w:tcPr>
            <w:tcW w:type="dxa" w:w="2250"/>
            <w:shd w:fill="FFFFFF" w:val="clear"/>
            <w:vAlign w:val="center"/>
          </w:tcPr>
          <w:p>
            <w:pPr>
              <w:jc w:val="center"/>
            </w:pPr>
            <w:r>
              <w:rPr>
                <w:sz w:val="22"/>
                <w:szCs w:val="22"/>
              </w:rPr>
              <w:t xml:space="preserve">contractBalance (treasury)</w:t>
            </w:r>
          </w:p>
        </w:tc>
      </w:tr>
      <w:tr>
        <w:tc>
          <w:tcPr>
            <w:tcW w:type="dxa" w:w="2250"/>
            <w:shd w:fill="EBF4FF" w:val="clear"/>
            <w:vAlign w:val="center"/>
          </w:tcPr>
          <w:p>
            <w:pPr>
              <w:jc w:val="center"/>
            </w:pPr>
            <w:r>
              <w:rPr>
                <w:sz w:val="22"/>
                <w:szCs w:val="22"/>
              </w:rPr>
              <w:t xml:space="preserve">Draw deduction</w:t>
            </w:r>
          </w:p>
        </w:tc>
        <w:tc>
          <w:tcPr>
            <w:tcW w:type="dxa" w:w="2250"/>
            <w:shd w:fill="EBF4FF" w:val="clear"/>
            <w:vAlign w:val="center"/>
          </w:tcPr>
          <w:p>
            <w:pPr>
              <w:jc w:val="center"/>
            </w:pPr>
            <w:r>
              <w:rPr>
                <w:sz w:val="22"/>
                <w:szCs w:val="22"/>
              </w:rPr>
              <w:t xml:space="preserve">50 %</w:t>
            </w:r>
          </w:p>
        </w:tc>
        <w:tc>
          <w:tcPr>
            <w:tcW w:type="dxa" w:w="2250"/>
            <w:shd w:fill="EBF4FF" w:val="clear"/>
            <w:vAlign w:val="center"/>
          </w:tcPr>
          <w:p>
            <w:pPr>
              <w:jc w:val="center"/>
            </w:pPr>
            <w:r>
              <w:rPr>
                <w:sz w:val="22"/>
                <w:szCs w:val="22"/>
              </w:rPr>
              <w:t xml:space="preserve">Player stake</w:t>
            </w:r>
          </w:p>
        </w:tc>
        <w:tc>
          <w:tcPr>
            <w:tcW w:type="dxa" w:w="2250"/>
            <w:shd w:fill="EBF4FF" w:val="clear"/>
            <w:vAlign w:val="center"/>
          </w:tcPr>
          <w:p>
            <w:pPr>
              <w:jc w:val="center"/>
            </w:pPr>
            <w:r>
              <w:rPr>
                <w:sz w:val="22"/>
                <w:szCs w:val="22"/>
              </w:rPr>
              <w:t xml:space="preserve">contractBalance (treasury)</w:t>
            </w:r>
          </w:p>
        </w:tc>
      </w:tr>
      <w:tr>
        <w:tc>
          <w:tcPr>
            <w:tcW w:type="dxa" w:w="2250"/>
            <w:shd w:fill="FFFFFF" w:val="clear"/>
            <w:vAlign w:val="center"/>
          </w:tcPr>
          <w:p>
            <w:pPr>
              <w:jc w:val="center"/>
            </w:pPr>
            <w:r>
              <w:rPr>
                <w:sz w:val="22"/>
                <w:szCs w:val="22"/>
              </w:rPr>
              <w:t xml:space="preserve">Win payout</w:t>
            </w:r>
          </w:p>
        </w:tc>
        <w:tc>
          <w:tcPr>
            <w:tcW w:type="dxa" w:w="2250"/>
            <w:shd w:fill="FFFFFF" w:val="clear"/>
            <w:vAlign w:val="center"/>
          </w:tcPr>
          <w:p>
            <w:pPr>
              <w:jc w:val="center"/>
            </w:pPr>
            <w:r>
              <w:rPr>
                <w:sz w:val="22"/>
                <w:szCs w:val="22"/>
              </w:rPr>
              <w:t xml:space="preserve">2–3 %</w:t>
            </w:r>
          </w:p>
        </w:tc>
        <w:tc>
          <w:tcPr>
            <w:tcW w:type="dxa" w:w="2250"/>
            <w:shd w:fill="FFFFFF" w:val="clear"/>
            <w:vAlign w:val="center"/>
          </w:tcPr>
          <w:p>
            <w:pPr>
              <w:jc w:val="center"/>
            </w:pPr>
            <w:r>
              <w:rPr>
                <w:sz w:val="22"/>
                <w:szCs w:val="22"/>
              </w:rPr>
              <w:t xml:space="preserve">Treasury</w:t>
            </w:r>
          </w:p>
        </w:tc>
        <w:tc>
          <w:tcPr>
            <w:tcW w:type="dxa" w:w="2250"/>
            <w:shd w:fill="FFFFFF" w:val="clear"/>
            <w:vAlign w:val="center"/>
          </w:tcPr>
          <w:p>
            <w:pPr>
              <w:jc w:val="center"/>
            </w:pPr>
            <w:r>
              <w:rPr>
                <w:sz w:val="22"/>
                <w:szCs w:val="22"/>
              </w:rPr>
              <w:t xml:space="preserve">Player wallet</w:t>
            </w:r>
          </w:p>
        </w:tc>
      </w:tr>
    </w:tbl>
    <w:p>
      <w:pPr>
        <w:spacing w:after="240"/>
      </w:pPr>
    </w:p>
    <w:p>
      <w:pPr>
        <w:pStyle w:val="Heading2"/>
        <w:spacing w:after="150" w:before="300"/>
      </w:pPr>
      <w:r>
        <w:t xml:space="preserve">6.3 Treasury Management</w:t>
      </w:r>
    </w:p>
    <w:p>
      <w:pPr>
        <w:spacing w:after="160"/>
        <w:jc w:val="both"/>
      </w:pPr>
      <w:r>
        <w:rPr>
          <w:sz w:val="24"/>
          <w:szCs w:val="24"/>
        </w:rPr>
        <w:t xml:space="preserve">The contractBalance treasury is the financial backbone of the protocol. It must be adequately seeded by the owner before the game opens to players, as win payouts are drawn directly from it. If contractBalance falls to zero, win-outcome transactions will revert (negative integer underflow is prevented by Solidity 0.8.x).</w:t>
      </w:r>
    </w:p>
    <w:p>
      <w:pPr>
        <w:spacing w:after="160"/>
        <w:jc w:val="both"/>
      </w:pPr>
      <w:r>
        <w:rPr>
          <w:sz w:val="24"/>
          <w:szCs w:val="24"/>
        </w:rPr>
        <w:t xml:space="preserve">The withdrawal fee and all lost stakes flow back into the treasury, creating a self-sustaining cycle at scale. The owner can withdraw surplus treasury funds at any time via withdrawFromContract, providing a mechanism to realise protocol revenue.</w:t>
      </w:r>
    </w:p>
    <w:p>
      <w:pPr>
        <w:pStyle w:val="Heading2"/>
        <w:spacing w:after="150" w:before="300"/>
      </w:pPr>
      <w:r>
        <w:t xml:space="preserve">6.4 Withdrawal Threshold</w:t>
      </w:r>
    </w:p>
    <w:p>
      <w:pPr>
        <w:spacing w:after="160"/>
        <w:jc w:val="both"/>
      </w:pPr>
      <w:r>
        <w:rPr>
          <w:sz w:val="24"/>
          <w:szCs w:val="24"/>
        </w:rPr>
        <w:t xml:space="preserve">Players may accumulate winnings in their on-chain balance across multiple spins. While the smart contract itself does not enforce a minimum withdrawal amount beyond amount &gt; 0, the product description specifies that withdrawals should only be available once a player's balance crosses a configurable threshold. This threshold can be enforced either at the frontend level (disabling the Withdraw button below the minimum) or, for stronger guarantees, as an additional require in a future contract version.</w:t>
      </w:r>
    </w:p>
    <w:p>
      <w:r>
        <w:br w:type="page"/>
      </w:r>
    </w:p>
    <w:p>
      <w:pPr>
        <w:pStyle w:val="Heading1"/>
        <w:spacing w:after="200" w:before="400"/>
      </w:pPr>
      <w:r>
        <w:t xml:space="preserve">7. Deployment &amp; Tooling</w:t>
      </w:r>
    </w:p>
    <w:p>
      <w:pPr>
        <w:pStyle w:val="Heading2"/>
        <w:spacing w:after="150" w:before="300"/>
      </w:pPr>
      <w:r>
        <w:t xml:space="preserve">7.1 Development Stack</w:t>
      </w:r>
    </w:p>
    <w:p>
      <w:pPr>
        <w:pStyle w:val="ListParagraph"/>
        <w:numPr>
          <w:ilvl w:val="0"/>
          <w:numId w:val="1"/>
        </w:numPr>
        <w:spacing w:after="100"/>
      </w:pPr>
      <w:r>
        <w:rPr>
          <w:sz w:val="24"/>
          <w:szCs w:val="24"/>
        </w:rPr>
        <w:t xml:space="preserve">Smart Contracts: Solidity ^0.8.23, compiled and tested with Foundry (forge, cast, anvil).</w:t>
      </w:r>
    </w:p>
    <w:p>
      <w:pPr>
        <w:pStyle w:val="ListParagraph"/>
        <w:numPr>
          <w:ilvl w:val="0"/>
          <w:numId w:val="1"/>
        </w:numPr>
        <w:spacing w:after="100"/>
      </w:pPr>
      <w:r>
        <w:rPr>
          <w:sz w:val="24"/>
          <w:szCs w:val="24"/>
        </w:rPr>
        <w:t xml:space="preserve">Test Harness: forge-std library bundled as a git submodule; tests live in test/Counter.t.sol.</w:t>
      </w:r>
    </w:p>
    <w:p>
      <w:pPr>
        <w:pStyle w:val="ListParagraph"/>
        <w:numPr>
          <w:ilvl w:val="0"/>
          <w:numId w:val="1"/>
        </w:numPr>
        <w:spacing w:after="100"/>
      </w:pPr>
      <w:r>
        <w:rPr>
          <w:sz w:val="24"/>
          <w:szCs w:val="24"/>
        </w:rPr>
        <w:t xml:space="preserve">Local Node: Anvil provides a deterministic local EVM for rapid iteration.</w:t>
      </w:r>
    </w:p>
    <w:p>
      <w:pPr>
        <w:pStyle w:val="ListParagraph"/>
        <w:numPr>
          <w:ilvl w:val="0"/>
          <w:numId w:val="1"/>
        </w:numPr>
        <w:spacing w:after="100"/>
      </w:pPr>
      <w:r>
        <w:rPr>
          <w:sz w:val="24"/>
          <w:szCs w:val="24"/>
        </w:rPr>
        <w:t xml:space="preserve">Deployment Script: script/Counter.s.sol (Foundry Script); can be targeted at any EVM RPC.</w:t>
      </w:r>
    </w:p>
    <w:p>
      <w:pPr>
        <w:pStyle w:val="ListParagraph"/>
        <w:numPr>
          <w:ilvl w:val="0"/>
          <w:numId w:val="1"/>
        </w:numPr>
        <w:spacing w:after="100"/>
      </w:pPr>
      <w:r>
        <w:rPr>
          <w:sz w:val="24"/>
          <w:szCs w:val="24"/>
        </w:rPr>
        <w:t xml:space="preserve">Frontend: Static HTML — no framework, no build step; served from any static host.</w:t>
      </w:r>
    </w:p>
    <w:p>
      <w:pPr>
        <w:pStyle w:val="Heading2"/>
        <w:spacing w:after="150" w:before="300"/>
      </w:pPr>
      <w:r>
        <w:t xml:space="preserve">7.2 Deployment Steps</w:t>
      </w:r>
    </w:p>
    <w:p>
      <w:pPr>
        <w:pStyle w:val="ListParagraph"/>
        <w:numPr>
          <w:ilvl w:val="0"/>
          <w:numId w:val="1"/>
        </w:numPr>
        <w:spacing w:after="100"/>
      </w:pPr>
      <w:r>
        <w:rPr>
          <w:sz w:val="24"/>
          <w:szCs w:val="24"/>
        </w:rPr>
        <w:t xml:space="preserve">Step 1 — Configure: set RPC_URL and PRIVATE_KEY in environment or .env file.</w:t>
      </w:r>
    </w:p>
    <w:p>
      <w:pPr>
        <w:pStyle w:val="ListParagraph"/>
        <w:numPr>
          <w:ilvl w:val="0"/>
          <w:numId w:val="1"/>
        </w:numPr>
        <w:spacing w:after="100"/>
      </w:pPr>
      <w:r>
        <w:rPr>
          <w:sz w:val="24"/>
          <w:szCs w:val="24"/>
        </w:rPr>
        <w:t xml:space="preserve">Step 2 — Deploy ERC20Mock (testnets only): forge script script/Counter.s.sol --rpc-url $RPC_URL --private-key $PRIVATE_KEY --broadcast.</w:t>
      </w:r>
    </w:p>
    <w:p>
      <w:pPr>
        <w:pStyle w:val="ListParagraph"/>
        <w:numPr>
          <w:ilvl w:val="0"/>
          <w:numId w:val="1"/>
        </w:numPr>
        <w:spacing w:after="100"/>
      </w:pPr>
      <w:r>
        <w:rPr>
          <w:sz w:val="24"/>
          <w:szCs w:val="24"/>
        </w:rPr>
        <w:t xml:space="preserve">Step 3 — Deploy SpinReward: pass the token address as constructor argument.</w:t>
      </w:r>
    </w:p>
    <w:p>
      <w:pPr>
        <w:pStyle w:val="ListParagraph"/>
        <w:numPr>
          <w:ilvl w:val="0"/>
          <w:numId w:val="1"/>
        </w:numPr>
        <w:spacing w:after="100"/>
      </w:pPr>
      <w:r>
        <w:rPr>
          <w:sz w:val="24"/>
          <w:szCs w:val="24"/>
        </w:rPr>
        <w:t xml:space="preserve">Step 4 — Seed treasury: call addFundsToContract with enough tokens to cover expected player wins.</w:t>
      </w:r>
    </w:p>
    <w:p>
      <w:pPr>
        <w:pStyle w:val="ListParagraph"/>
        <w:numPr>
          <w:ilvl w:val="0"/>
          <w:numId w:val="1"/>
        </w:numPr>
        <w:spacing w:after="100"/>
      </w:pPr>
      <w:r>
        <w:rPr>
          <w:sz w:val="24"/>
          <w:szCs w:val="24"/>
        </w:rPr>
        <w:t xml:space="preserve">Step 5 — Update frontend: replace contractAddress placeholder and paste ABI into the index.html script block.</w:t>
      </w:r>
    </w:p>
    <w:p>
      <w:pPr>
        <w:pStyle w:val="ListParagraph"/>
        <w:numPr>
          <w:ilvl w:val="0"/>
          <w:numId w:val="1"/>
        </w:numPr>
        <w:spacing w:after="100"/>
      </w:pPr>
      <w:r>
        <w:rPr>
          <w:sz w:val="24"/>
          <w:szCs w:val="24"/>
        </w:rPr>
        <w:t xml:space="preserve">Step 6 — Host frontend: deploy index.html and style.css to any static hosting service (Vercel, IPFS, GitHub Pages).</w:t>
      </w:r>
    </w:p>
    <w:p>
      <w:pPr>
        <w:pStyle w:val="Heading2"/>
        <w:spacing w:after="150" w:before="300"/>
      </w:pPr>
      <w:r>
        <w:t xml:space="preserve">7.3 Supported Networks</w:t>
      </w:r>
    </w:p>
    <w:p>
      <w:pPr>
        <w:spacing w:after="160"/>
        <w:jc w:val="both"/>
      </w:pPr>
      <w:r>
        <w:rPr>
          <w:sz w:val="24"/>
          <w:szCs w:val="24"/>
        </w:rPr>
        <w:t xml:space="preserve">Because SpinReward is standard Solidity with no chain-specific opcodes, it can be deployed to any EVM-compatible network. Recommended targets given the builder's existing stack:</w:t>
      </w:r>
    </w:p>
    <w:p>
      <w:pPr>
        <w:pStyle w:val="ListParagraph"/>
        <w:numPr>
          <w:ilvl w:val="0"/>
          <w:numId w:val="1"/>
        </w:numPr>
        <w:spacing w:after="100"/>
      </w:pPr>
      <w:r>
        <w:rPr>
          <w:sz w:val="24"/>
          <w:szCs w:val="24"/>
        </w:rPr>
        <w:t xml:space="preserve">Celo Mainnet / Alfajores Testnet — aligns with the existing MiniPay/FaucetDrops ecosystem.</w:t>
      </w:r>
    </w:p>
    <w:p>
      <w:pPr>
        <w:pStyle w:val="ListParagraph"/>
        <w:numPr>
          <w:ilvl w:val="0"/>
          <w:numId w:val="1"/>
        </w:numPr>
        <w:spacing w:after="100"/>
      </w:pPr>
      <w:r>
        <w:rPr>
          <w:sz w:val="24"/>
          <w:szCs w:val="24"/>
        </w:rPr>
        <w:t xml:space="preserve">Ethereum Sepolia Testnet — broad tooling support for initial testing.</w:t>
      </w:r>
    </w:p>
    <w:p>
      <w:pPr>
        <w:pStyle w:val="ListParagraph"/>
        <w:numPr>
          <w:ilvl w:val="0"/>
          <w:numId w:val="1"/>
        </w:numPr>
        <w:spacing w:after="100"/>
      </w:pPr>
      <w:r>
        <w:rPr>
          <w:sz w:val="24"/>
          <w:szCs w:val="24"/>
        </w:rPr>
        <w:t xml:space="preserve">Any EVM chain — Polygon, BNB Chain, Base, Arbitrum, etc.</w:t>
      </w:r>
    </w:p>
    <w:p>
      <w:r>
        <w:br w:type="page"/>
      </w:r>
    </w:p>
    <w:p>
      <w:pPr>
        <w:pStyle w:val="Heading1"/>
        <w:spacing w:after="200" w:before="400"/>
      </w:pPr>
      <w:r>
        <w:t xml:space="preserve">8. Future Work &amp; Roadmap</w:t>
      </w:r>
    </w:p>
    <w:p>
      <w:pPr>
        <w:pStyle w:val="Heading2"/>
        <w:spacing w:after="150" w:before="300"/>
      </w:pPr>
      <w:r>
        <w:t xml:space="preserve">8.1 Verifiable On-Chain Randomness</w:t>
      </w:r>
    </w:p>
    <w:p>
      <w:pPr>
        <w:spacing w:after="160"/>
        <w:jc w:val="both"/>
      </w:pPr>
      <w:r>
        <w:rPr>
          <w:sz w:val="24"/>
          <w:szCs w:val="24"/>
        </w:rPr>
        <w:t xml:space="preserve">The most significant trust assumption in v1 is that the spin result is generated client-side. A production-grade implementation should replace this with a Verifiable Random Function (VRF). Chainlink VRF and Celo's native randomness beacon are both viable options that would make outcomes cryptographically provable and resistant to manipulation by either the player or the operator.</w:t>
      </w:r>
    </w:p>
    <w:p>
      <w:pPr>
        <w:pStyle w:val="Heading2"/>
        <w:spacing w:after="150" w:before="300"/>
      </w:pPr>
      <w:r>
        <w:t xml:space="preserve">8.2 Minimum Withdrawal Threshold (Contract-Level)</w:t>
      </w:r>
    </w:p>
    <w:p>
      <w:pPr>
        <w:spacing w:after="160"/>
        <w:jc w:val="both"/>
      </w:pPr>
      <w:r>
        <w:rPr>
          <w:sz w:val="24"/>
          <w:szCs w:val="24"/>
        </w:rPr>
        <w:t xml:space="preserve">Adding a minWithdrawal state variable and enforcing it in the withdraw function would guarantee the threshold is respected regardless of the frontend used. The owner should be able to update this value via a setter function.</w:t>
      </w:r>
    </w:p>
    <w:p>
      <w:pPr>
        <w:pStyle w:val="Heading2"/>
        <w:spacing w:after="150" w:before="300"/>
      </w:pPr>
      <w:r>
        <w:t xml:space="preserve">8.3 Ownership Transfer &amp; Multi-Sig</w:t>
      </w:r>
    </w:p>
    <w:p>
      <w:pPr>
        <w:spacing w:after="160"/>
        <w:jc w:val="both"/>
      </w:pPr>
      <w:r>
        <w:rPr>
          <w:sz w:val="24"/>
          <w:szCs w:val="24"/>
        </w:rPr>
        <w:t xml:space="preserve">Replacing the single-owner model with a Gnosis Safe multi-signature wallet as the owner address would significantly reduce the risk of a single private key compromise draining the treasury.</w:t>
      </w:r>
    </w:p>
    <w:p>
      <w:pPr>
        <w:pStyle w:val="Heading2"/>
        <w:spacing w:after="150" w:before="300"/>
      </w:pPr>
      <w:r>
        <w:t xml:space="preserve">8.4 Configurable Wheel Segments</w:t>
      </w:r>
    </w:p>
    <w:p>
      <w:pPr>
        <w:spacing w:after="160"/>
        <w:jc w:val="both"/>
      </w:pPr>
      <w:r>
        <w:rPr>
          <w:sz w:val="24"/>
          <w:szCs w:val="24"/>
        </w:rPr>
        <w:t xml:space="preserve">Hardcoding result strings as magic values (e.g., "Death", "2") makes future changes to the wheel layout error-prone. A mapping from a uint8 index to a Segment struct (reward multiplier, loss flag, etc.) would make the wheel fully configurable without redeployment.</w:t>
      </w:r>
    </w:p>
    <w:p>
      <w:pPr>
        <w:pStyle w:val="Heading2"/>
        <w:spacing w:after="150" w:before="300"/>
      </w:pPr>
      <w:r>
        <w:t xml:space="preserve">8.5 Referral &amp; Loyalty System</w:t>
      </w:r>
    </w:p>
    <w:p>
      <w:pPr>
        <w:spacing w:after="160"/>
        <w:jc w:val="both"/>
      </w:pPr>
      <w:r>
        <w:rPr>
          <w:sz w:val="24"/>
          <w:szCs w:val="24"/>
        </w:rPr>
        <w:t xml:space="preserve">A referral code system could be layered on top of the existing fund() function, crediting a portion of the deposit to a referring address. Loyalty tiers based on cumulative stake volume could unlock lower withdrawal fees or higher win multipliers.</w:t>
      </w:r>
    </w:p>
    <w:p>
      <w:pPr>
        <w:pStyle w:val="Heading2"/>
        <w:spacing w:after="150" w:before="300"/>
      </w:pPr>
      <w:r>
        <w:t xml:space="preserve">8.6 MiniPay Integration</w:t>
      </w:r>
    </w:p>
    <w:p>
      <w:pPr>
        <w:spacing w:after="160"/>
        <w:jc w:val="both"/>
      </w:pPr>
      <w:r>
        <w:rPr>
          <w:sz w:val="24"/>
          <w:szCs w:val="24"/>
        </w:rPr>
        <w:t xml:space="preserve">Given the builder's existing presence in the Celo/MiniPay ecosystem, a lightweight wrapper that frames the Spinner frontend inside MiniPay's in-app browser would expose the game to a large existing mobile user base with minimal additional development.</w:t>
      </w:r>
    </w:p>
    <w:p>
      <w:pPr>
        <w:pStyle w:val="Heading2"/>
        <w:spacing w:after="150" w:before="300"/>
      </w:pPr>
      <w:r>
        <w:t xml:space="preserve">8.7 Frontend Enhancements</w:t>
      </w:r>
    </w:p>
    <w:p>
      <w:pPr>
        <w:pStyle w:val="ListParagraph"/>
        <w:numPr>
          <w:ilvl w:val="0"/>
          <w:numId w:val="1"/>
        </w:numPr>
        <w:spacing w:after="100"/>
      </w:pPr>
      <w:r>
        <w:rPr>
          <w:sz w:val="24"/>
          <w:szCs w:val="24"/>
        </w:rPr>
        <w:t xml:space="preserve">Sound effects triggered on win/loss outcomes.</w:t>
      </w:r>
    </w:p>
    <w:p>
      <w:pPr>
        <w:pStyle w:val="ListParagraph"/>
        <w:numPr>
          <w:ilvl w:val="0"/>
          <w:numId w:val="1"/>
        </w:numPr>
        <w:spacing w:after="100"/>
      </w:pPr>
      <w:r>
        <w:rPr>
          <w:sz w:val="24"/>
          <w:szCs w:val="24"/>
        </w:rPr>
        <w:t xml:space="preserve">Animated token counter showing balance changes in real time.</w:t>
      </w:r>
    </w:p>
    <w:p>
      <w:pPr>
        <w:pStyle w:val="ListParagraph"/>
        <w:numPr>
          <w:ilvl w:val="0"/>
          <w:numId w:val="1"/>
        </w:numPr>
        <w:spacing w:after="100"/>
      </w:pPr>
      <w:r>
        <w:rPr>
          <w:sz w:val="24"/>
          <w:szCs w:val="24"/>
        </w:rPr>
        <w:t xml:space="preserve">Leaderboard of top winners indexed from on-chain RewardCalculated events.</w:t>
      </w:r>
    </w:p>
    <w:p>
      <w:pPr>
        <w:pStyle w:val="ListParagraph"/>
        <w:numPr>
          <w:ilvl w:val="0"/>
          <w:numId w:val="1"/>
        </w:numPr>
        <w:spacing w:after="100"/>
      </w:pPr>
      <w:r>
        <w:rPr>
          <w:sz w:val="24"/>
          <w:szCs w:val="24"/>
        </w:rPr>
        <w:t xml:space="preserve">Mobile-responsive redesign optimised for MiniPay's viewport.</w:t>
      </w:r>
    </w:p>
    <w:p>
      <w:r>
        <w:br w:type="page"/>
      </w:r>
    </w:p>
    <w:p>
      <w:pPr>
        <w:pStyle w:val="Heading1"/>
        <w:spacing w:after="200" w:before="400"/>
      </w:pPr>
      <w:r>
        <w:t xml:space="preserve">9. Risk Factors</w:t>
      </w:r>
    </w:p>
    <w:p>
      <w:pPr>
        <w:pStyle w:val="Heading2"/>
        <w:spacing w:after="150" w:before="300"/>
      </w:pPr>
      <w:r>
        <w:t xml:space="preserve">9.1 Smart Contract Risk</w:t>
      </w:r>
    </w:p>
    <w:p>
      <w:pPr>
        <w:spacing w:after="160"/>
        <w:jc w:val="both"/>
      </w:pPr>
      <w:r>
        <w:rPr>
          <w:sz w:val="24"/>
          <w:szCs w:val="24"/>
        </w:rPr>
        <w:t xml:space="preserve">Despite following established patterns, the SpinReward contract has not undergone a formal third-party security audit. Users should be aware that all software may contain bugs. The protocol is provided as-is; the team recommends a professional audit before any significant value is placed in the contract.</w:t>
      </w:r>
    </w:p>
    <w:p>
      <w:pPr>
        <w:pStyle w:val="Heading2"/>
        <w:spacing w:after="150" w:before="300"/>
      </w:pPr>
      <w:r>
        <w:t xml:space="preserve">9.2 Randomness Manipulation</w:t>
      </w:r>
    </w:p>
    <w:p>
      <w:pPr>
        <w:spacing w:after="160"/>
        <w:jc w:val="both"/>
      </w:pPr>
      <w:r>
        <w:rPr>
          <w:sz w:val="24"/>
          <w:szCs w:val="24"/>
        </w:rPr>
        <w:t xml:space="preserve">In the current v1 design, client-side randomness can be manipulated by a technically sophisticated player who intercepts and replaces the result string before it reaches the contract. This is mitigated in future versions by VRF integration.</w:t>
      </w:r>
    </w:p>
    <w:p>
      <w:pPr>
        <w:pStyle w:val="Heading2"/>
        <w:spacing w:after="150" w:before="300"/>
      </w:pPr>
      <w:r>
        <w:t xml:space="preserve">9.3 Treasury Insolvency</w:t>
      </w:r>
    </w:p>
    <w:p>
      <w:pPr>
        <w:spacing w:after="160"/>
        <w:jc w:val="both"/>
      </w:pPr>
      <w:r>
        <w:rPr>
          <w:sz w:val="24"/>
          <w:szCs w:val="24"/>
        </w:rPr>
        <w:t xml:space="preserve">If a run of consecutive wins depletes contractBalance below the amount needed to pay a pending win, the transaction will revert. Players' deposited funds are not at risk, but the game becomes temporarily unplayable. The owner must monitor and replenish the treasury.</w:t>
      </w:r>
    </w:p>
    <w:p>
      <w:pPr>
        <w:pStyle w:val="Heading2"/>
        <w:spacing w:after="150" w:before="300"/>
      </w:pPr>
      <w:r>
        <w:t xml:space="preserve">9.4 Regulatory Risk</w:t>
      </w:r>
    </w:p>
    <w:p>
      <w:pPr>
        <w:spacing w:after="160"/>
        <w:jc w:val="both"/>
      </w:pPr>
      <w:r>
        <w:rPr>
          <w:sz w:val="24"/>
          <w:szCs w:val="24"/>
        </w:rPr>
        <w:t xml:space="preserve">On-chain gaming products may be subject to gambling regulations in various jurisdictions. Players and operators are responsible for understanding and complying with applicable laws in their region.</w:t>
      </w:r>
    </w:p>
    <w:p>
      <w:pPr>
        <w:pStyle w:val="Heading2"/>
        <w:spacing w:after="150" w:before="300"/>
      </w:pPr>
      <w:r>
        <w:t xml:space="preserve">9.5 Token Volatility</w:t>
      </w:r>
    </w:p>
    <w:p>
      <w:pPr>
        <w:spacing w:after="160"/>
        <w:jc w:val="both"/>
      </w:pPr>
      <w:r>
        <w:rPr>
          <w:sz w:val="24"/>
          <w:szCs w:val="24"/>
        </w:rPr>
        <w:t xml:space="preserve">If the underlying ERC-20 token is not a stablecoin, changes in its market price affect the real-world value of player balances and treasury holdings. Using a stablecoin (e.g., cUSD) eliminates this risk.</w:t>
      </w:r>
    </w:p>
    <w:p>
      <w:r>
        <w:br w:type="page"/>
      </w:r>
    </w:p>
    <w:p>
      <w:pPr>
        <w:pStyle w:val="Heading1"/>
        <w:spacing w:after="200" w:before="400"/>
      </w:pPr>
      <w:r>
        <w:t xml:space="preserve">10. Conclusion</w:t>
      </w:r>
    </w:p>
    <w:p>
      <w:pPr>
        <w:spacing w:after="160"/>
        <w:jc w:val="both"/>
      </w:pPr>
      <w:r>
        <w:rPr>
          <w:sz w:val="24"/>
          <w:szCs w:val="24"/>
        </w:rPr>
        <w:t xml:space="preserve">Spinner demonstrates that a fully on-chain, auditable gaming experience can be built with a compact Solidity contract and a lightweight frontend. By recording every fund, stake, spin result, and withdrawal on a public ledger, Spinner removes the need to trust a centralised operator and gives players complete visibility into the rules governing their funds.</w:t>
      </w:r>
    </w:p>
    <w:p>
      <w:pPr>
        <w:spacing w:after="160"/>
        <w:jc w:val="both"/>
      </w:pPr>
      <w:r>
        <w:rPr>
          <w:sz w:val="24"/>
          <w:szCs w:val="24"/>
        </w:rPr>
        <w:t xml:space="preserve">The v1 release prioritises simplicity and clarity over feature breadth, establishing a clean foundation on which the roadmap items in Section 8 can be built. The EVM-native architecture means Spinner can be deployed to any compatible chain — with the Celo ecosystem and MiniPay wallet being the natural first targets given the team's existing expertise.</w:t>
      </w:r>
    </w:p>
    <w:p>
      <w:pPr>
        <w:spacing w:after="160"/>
        <w:jc w:val="both"/>
      </w:pPr>
      <w:r>
        <w:rPr>
          <w:sz w:val="24"/>
          <w:szCs w:val="24"/>
        </w:rPr>
        <w:t xml:space="preserve">The Spinner protocol is open for community contributions, integrations, and forks. Developers who wish to embed provably-fair spinning mechanics into their own dApps are welcome to use the SpinReward contract as a reference implementation.</w:t>
      </w:r>
    </w:p>
    <w:p>
      <w:pPr>
        <w:pBdr>
          <w:bottom w:val="single" w:color="CCCCCC" w:sz="6"/>
        </w:pBdr>
        <w:spacing w:after="200" w:before="200"/>
      </w:pPr>
    </w:p>
    <w:p>
      <w:pPr>
        <w:pStyle w:val="Heading1"/>
        <w:spacing w:after="200" w:before="400"/>
      </w:pPr>
      <w:r>
        <w:t xml:space="preserve">Appendix A — Contract Function Reference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365d" w:val="clear"/>
            <w:vAlign w:val="center"/>
          </w:tcPr>
          <w:p>
            <w:pPr>
              <w:jc w:val="center"/>
            </w:pPr>
            <w:r>
              <w:rPr>
                <w:b/>
                <w:bCs/>
                <w:color w:val="FFFFFF"/>
                <w:sz w:val="22"/>
                <w:szCs w:val="22"/>
              </w:rPr>
              <w:t xml:space="preserve">Function</w:t>
            </w:r>
          </w:p>
        </w:tc>
        <w:tc>
          <w:tcPr>
            <w:tcW w:type="dxa" w:w="2250"/>
            <w:shd w:fill="1a365d" w:val="clear"/>
            <w:vAlign w:val="center"/>
          </w:tcPr>
          <w:p>
            <w:pPr>
              <w:jc w:val="center"/>
            </w:pPr>
            <w:r>
              <w:rPr>
                <w:b/>
                <w:bCs/>
                <w:color w:val="FFFFFF"/>
                <w:sz w:val="22"/>
                <w:szCs w:val="22"/>
              </w:rPr>
              <w:t xml:space="preserve">Access</w:t>
            </w:r>
          </w:p>
        </w:tc>
        <w:tc>
          <w:tcPr>
            <w:tcW w:type="dxa" w:w="2250"/>
            <w:shd w:fill="1a365d" w:val="clear"/>
            <w:vAlign w:val="center"/>
          </w:tcPr>
          <w:p>
            <w:pPr>
              <w:jc w:val="center"/>
            </w:pPr>
            <w:r>
              <w:rPr>
                <w:b/>
                <w:bCs/>
                <w:color w:val="FFFFFF"/>
                <w:sz w:val="22"/>
                <w:szCs w:val="22"/>
              </w:rPr>
              <w:t xml:space="preserve">Gas Profile</w:t>
            </w:r>
          </w:p>
        </w:tc>
        <w:tc>
          <w:tcPr>
            <w:tcW w:type="dxa" w:w="2250"/>
            <w:shd w:fill="1a365d" w:val="clear"/>
            <w:vAlign w:val="center"/>
          </w:tcPr>
          <w:p>
            <w:pPr>
              <w:jc w:val="center"/>
            </w:pPr>
            <w:r>
              <w:rPr>
                <w:b/>
                <w:bCs/>
                <w:color w:val="FFFFFF"/>
                <w:sz w:val="22"/>
                <w:szCs w:val="22"/>
              </w:rPr>
              <w:t xml:space="preserve">Description</w:t>
            </w:r>
          </w:p>
        </w:tc>
      </w:tr>
      <w:tr>
        <w:tc>
          <w:tcPr>
            <w:tcW w:type="dxa" w:w="2250"/>
            <w:shd w:fill="EBF4FF" w:val="clear"/>
            <w:vAlign w:val="center"/>
          </w:tcPr>
          <w:p>
            <w:pPr>
              <w:jc w:val="center"/>
            </w:pPr>
            <w:r>
              <w:rPr>
                <w:sz w:val="22"/>
                <w:szCs w:val="22"/>
              </w:rPr>
              <w:t xml:space="preserve">fund(amount)</w:t>
            </w:r>
          </w:p>
        </w:tc>
        <w:tc>
          <w:tcPr>
            <w:tcW w:type="dxa" w:w="2250"/>
            <w:shd w:fill="EBF4FF" w:val="clear"/>
            <w:vAlign w:val="center"/>
          </w:tcPr>
          <w:p>
            <w:pPr>
              <w:jc w:val="center"/>
            </w:pPr>
            <w:r>
              <w:rPr>
                <w:sz w:val="22"/>
                <w:szCs w:val="22"/>
              </w:rPr>
              <w:t xml:space="preserve">Public</w:t>
            </w:r>
          </w:p>
        </w:tc>
        <w:tc>
          <w:tcPr>
            <w:tcW w:type="dxa" w:w="2250"/>
            <w:shd w:fill="EBF4FF" w:val="clear"/>
            <w:vAlign w:val="center"/>
          </w:tcPr>
          <w:p>
            <w:pPr>
              <w:jc w:val="center"/>
            </w:pPr>
            <w:r>
              <w:rPr>
                <w:sz w:val="22"/>
                <w:szCs w:val="22"/>
              </w:rPr>
              <w:t xml:space="preserve">Medium</w:t>
            </w:r>
          </w:p>
        </w:tc>
        <w:tc>
          <w:tcPr>
            <w:tcW w:type="dxa" w:w="2250"/>
            <w:shd w:fill="EBF4FF" w:val="clear"/>
            <w:vAlign w:val="center"/>
          </w:tcPr>
          <w:p>
            <w:pPr>
              <w:jc w:val="center"/>
            </w:pPr>
            <w:r>
              <w:rPr>
                <w:sz w:val="22"/>
                <w:szCs w:val="22"/>
              </w:rPr>
              <w:t xml:space="preserve">Deposit ERC-20; update balances[caller]</w:t>
            </w:r>
          </w:p>
        </w:tc>
      </w:tr>
      <w:tr>
        <w:tc>
          <w:tcPr>
            <w:tcW w:type="dxa" w:w="2250"/>
            <w:shd w:fill="FFFFFF" w:val="clear"/>
            <w:vAlign w:val="center"/>
          </w:tcPr>
          <w:p>
            <w:pPr>
              <w:jc w:val="center"/>
            </w:pPr>
            <w:r>
              <w:rPr>
                <w:sz w:val="22"/>
                <w:szCs w:val="22"/>
              </w:rPr>
              <w:t xml:space="preserve">stake(amount)</w:t>
            </w:r>
          </w:p>
        </w:tc>
        <w:tc>
          <w:tcPr>
            <w:tcW w:type="dxa" w:w="2250"/>
            <w:shd w:fill="FFFFFF" w:val="clear"/>
            <w:vAlign w:val="center"/>
          </w:tcPr>
          <w:p>
            <w:pPr>
              <w:jc w:val="center"/>
            </w:pPr>
            <w:r>
              <w:rPr>
                <w:sz w:val="22"/>
                <w:szCs w:val="22"/>
              </w:rPr>
              <w:t xml:space="preserve">Public</w:t>
            </w:r>
          </w:p>
        </w:tc>
        <w:tc>
          <w:tcPr>
            <w:tcW w:type="dxa" w:w="2250"/>
            <w:shd w:fill="FFFFFF" w:val="clear"/>
            <w:vAlign w:val="center"/>
          </w:tcPr>
          <w:p>
            <w:pPr>
              <w:jc w:val="center"/>
            </w:pPr>
            <w:r>
              <w:rPr>
                <w:sz w:val="22"/>
                <w:szCs w:val="22"/>
              </w:rPr>
              <w:t xml:space="preserve">Low</w:t>
            </w:r>
          </w:p>
        </w:tc>
        <w:tc>
          <w:tcPr>
            <w:tcW w:type="dxa" w:w="2250"/>
            <w:shd w:fill="FFFFFF" w:val="clear"/>
            <w:vAlign w:val="center"/>
          </w:tcPr>
          <w:p>
            <w:pPr>
              <w:jc w:val="center"/>
            </w:pPr>
            <w:r>
              <w:rPr>
                <w:sz w:val="22"/>
                <w:szCs w:val="22"/>
              </w:rPr>
              <w:t xml:space="preserve">Deduct from balance to set spin stake</w:t>
            </w:r>
          </w:p>
        </w:tc>
      </w:tr>
      <w:tr>
        <w:tc>
          <w:tcPr>
            <w:tcW w:type="dxa" w:w="2250"/>
            <w:shd w:fill="EBF4FF" w:val="clear"/>
            <w:vAlign w:val="center"/>
          </w:tcPr>
          <w:p>
            <w:pPr>
              <w:jc w:val="center"/>
            </w:pPr>
            <w:r>
              <w:rPr>
                <w:sz w:val="22"/>
                <w:szCs w:val="22"/>
              </w:rPr>
              <w:t xml:space="preserve">processSpinResult(amt,res)</w:t>
            </w:r>
          </w:p>
        </w:tc>
        <w:tc>
          <w:tcPr>
            <w:tcW w:type="dxa" w:w="2250"/>
            <w:shd w:fill="EBF4FF" w:val="clear"/>
            <w:vAlign w:val="center"/>
          </w:tcPr>
          <w:p>
            <w:pPr>
              <w:jc w:val="center"/>
            </w:pPr>
            <w:r>
              <w:rPr>
                <w:sz w:val="22"/>
                <w:szCs w:val="22"/>
              </w:rPr>
              <w:t xml:space="preserve">Public</w:t>
            </w:r>
          </w:p>
        </w:tc>
        <w:tc>
          <w:tcPr>
            <w:tcW w:type="dxa" w:w="2250"/>
            <w:shd w:fill="EBF4FF" w:val="clear"/>
            <w:vAlign w:val="center"/>
          </w:tcPr>
          <w:p>
            <w:pPr>
              <w:jc w:val="center"/>
            </w:pPr>
            <w:r>
              <w:rPr>
                <w:sz w:val="22"/>
                <w:szCs w:val="22"/>
              </w:rPr>
              <w:t xml:space="preserve">Medium</w:t>
            </w:r>
          </w:p>
        </w:tc>
        <w:tc>
          <w:tcPr>
            <w:tcW w:type="dxa" w:w="2250"/>
            <w:shd w:fill="EBF4FF" w:val="clear"/>
            <w:vAlign w:val="center"/>
          </w:tcPr>
          <w:p>
            <w:pPr>
              <w:jc w:val="center"/>
            </w:pPr>
            <w:r>
              <w:rPr>
                <w:sz w:val="22"/>
                <w:szCs w:val="22"/>
              </w:rPr>
              <w:t xml:space="preserve">Resolve spin; transfer tokens if win</w:t>
            </w:r>
          </w:p>
        </w:tc>
      </w:tr>
      <w:tr>
        <w:tc>
          <w:tcPr>
            <w:tcW w:type="dxa" w:w="2250"/>
            <w:shd w:fill="FFFFFF" w:val="clear"/>
            <w:vAlign w:val="center"/>
          </w:tcPr>
          <w:p>
            <w:pPr>
              <w:jc w:val="center"/>
            </w:pPr>
            <w:r>
              <w:rPr>
                <w:sz w:val="22"/>
                <w:szCs w:val="22"/>
              </w:rPr>
              <w:t xml:space="preserve">withdraw(amount)</w:t>
            </w:r>
          </w:p>
        </w:tc>
        <w:tc>
          <w:tcPr>
            <w:tcW w:type="dxa" w:w="2250"/>
            <w:shd w:fill="FFFFFF" w:val="clear"/>
            <w:vAlign w:val="center"/>
          </w:tcPr>
          <w:p>
            <w:pPr>
              <w:jc w:val="center"/>
            </w:pPr>
            <w:r>
              <w:rPr>
                <w:sz w:val="22"/>
                <w:szCs w:val="22"/>
              </w:rPr>
              <w:t xml:space="preserve">Public</w:t>
            </w:r>
          </w:p>
        </w:tc>
        <w:tc>
          <w:tcPr>
            <w:tcW w:type="dxa" w:w="2250"/>
            <w:shd w:fill="FFFFFF" w:val="clear"/>
            <w:vAlign w:val="center"/>
          </w:tcPr>
          <w:p>
            <w:pPr>
              <w:jc w:val="center"/>
            </w:pPr>
            <w:r>
              <w:rPr>
                <w:sz w:val="22"/>
                <w:szCs w:val="22"/>
              </w:rPr>
              <w:t xml:space="preserve">Medium</w:t>
            </w:r>
          </w:p>
        </w:tc>
        <w:tc>
          <w:tcPr>
            <w:tcW w:type="dxa" w:w="2250"/>
            <w:shd w:fill="FFFFFF" w:val="clear"/>
            <w:vAlign w:val="center"/>
          </w:tcPr>
          <w:p>
            <w:pPr>
              <w:jc w:val="center"/>
            </w:pPr>
            <w:r>
              <w:rPr>
                <w:sz w:val="22"/>
                <w:szCs w:val="22"/>
              </w:rPr>
              <w:t xml:space="preserve">Transfer tokens less 2% fee to caller</w:t>
            </w:r>
          </w:p>
        </w:tc>
      </w:tr>
      <w:tr>
        <w:tc>
          <w:tcPr>
            <w:tcW w:type="dxa" w:w="2250"/>
            <w:shd w:fill="EBF4FF" w:val="clear"/>
            <w:vAlign w:val="center"/>
          </w:tcPr>
          <w:p>
            <w:pPr>
              <w:jc w:val="center"/>
            </w:pPr>
            <w:r>
              <w:rPr>
                <w:sz w:val="22"/>
                <w:szCs w:val="22"/>
              </w:rPr>
              <w:t xml:space="preserve">addFundsToContract(amount)</w:t>
            </w:r>
          </w:p>
        </w:tc>
        <w:tc>
          <w:tcPr>
            <w:tcW w:type="dxa" w:w="2250"/>
            <w:shd w:fill="EBF4FF" w:val="clear"/>
            <w:vAlign w:val="center"/>
          </w:tcPr>
          <w:p>
            <w:pPr>
              <w:jc w:val="center"/>
            </w:pPr>
            <w:r>
              <w:rPr>
                <w:sz w:val="22"/>
                <w:szCs w:val="22"/>
              </w:rPr>
              <w:t xml:space="preserve">Owner only</w:t>
            </w:r>
          </w:p>
        </w:tc>
        <w:tc>
          <w:tcPr>
            <w:tcW w:type="dxa" w:w="2250"/>
            <w:shd w:fill="EBF4FF" w:val="clear"/>
            <w:vAlign w:val="center"/>
          </w:tcPr>
          <w:p>
            <w:pPr>
              <w:jc w:val="center"/>
            </w:pPr>
            <w:r>
              <w:rPr>
                <w:sz w:val="22"/>
                <w:szCs w:val="22"/>
              </w:rPr>
              <w:t xml:space="preserve">Medium</w:t>
            </w:r>
          </w:p>
        </w:tc>
        <w:tc>
          <w:tcPr>
            <w:tcW w:type="dxa" w:w="2250"/>
            <w:shd w:fill="EBF4FF" w:val="clear"/>
            <w:vAlign w:val="center"/>
          </w:tcPr>
          <w:p>
            <w:pPr>
              <w:jc w:val="center"/>
            </w:pPr>
            <w:r>
              <w:rPr>
                <w:sz w:val="22"/>
                <w:szCs w:val="22"/>
              </w:rPr>
              <w:t xml:space="preserve">Seed treasury from owner wallet</w:t>
            </w:r>
          </w:p>
        </w:tc>
      </w:tr>
      <w:tr>
        <w:tc>
          <w:tcPr>
            <w:tcW w:type="dxa" w:w="2250"/>
            <w:shd w:fill="FFFFFF" w:val="clear"/>
            <w:vAlign w:val="center"/>
          </w:tcPr>
          <w:p>
            <w:pPr>
              <w:jc w:val="center"/>
            </w:pPr>
            <w:r>
              <w:rPr>
                <w:sz w:val="22"/>
                <w:szCs w:val="22"/>
              </w:rPr>
              <w:t xml:space="preserve">withdrawFromContract(amount)</w:t>
            </w:r>
          </w:p>
        </w:tc>
        <w:tc>
          <w:tcPr>
            <w:tcW w:type="dxa" w:w="2250"/>
            <w:shd w:fill="FFFFFF" w:val="clear"/>
            <w:vAlign w:val="center"/>
          </w:tcPr>
          <w:p>
            <w:pPr>
              <w:jc w:val="center"/>
            </w:pPr>
            <w:r>
              <w:rPr>
                <w:sz w:val="22"/>
                <w:szCs w:val="22"/>
              </w:rPr>
              <w:t xml:space="preserve">Owner only</w:t>
            </w:r>
          </w:p>
        </w:tc>
        <w:tc>
          <w:tcPr>
            <w:tcW w:type="dxa" w:w="2250"/>
            <w:shd w:fill="FFFFFF" w:val="clear"/>
            <w:vAlign w:val="center"/>
          </w:tcPr>
          <w:p>
            <w:pPr>
              <w:jc w:val="center"/>
            </w:pPr>
            <w:r>
              <w:rPr>
                <w:sz w:val="22"/>
                <w:szCs w:val="22"/>
              </w:rPr>
              <w:t xml:space="preserve">Medium</w:t>
            </w:r>
          </w:p>
        </w:tc>
        <w:tc>
          <w:tcPr>
            <w:tcW w:type="dxa" w:w="2250"/>
            <w:shd w:fill="FFFFFF" w:val="clear"/>
            <w:vAlign w:val="center"/>
          </w:tcPr>
          <w:p>
            <w:pPr>
              <w:jc w:val="center"/>
            </w:pPr>
            <w:r>
              <w:rPr>
                <w:sz w:val="22"/>
                <w:szCs w:val="22"/>
              </w:rPr>
              <w:t xml:space="preserve">Drain treasury to owner wallet</w:t>
            </w:r>
          </w:p>
        </w:tc>
      </w:tr>
      <w:tr>
        <w:tc>
          <w:tcPr>
            <w:tcW w:type="dxa" w:w="2250"/>
            <w:shd w:fill="EBF4FF" w:val="clear"/>
            <w:vAlign w:val="center"/>
          </w:tcPr>
          <w:p>
            <w:pPr>
              <w:jc w:val="center"/>
            </w:pPr>
            <w:r>
              <w:rPr>
                <w:sz w:val="22"/>
                <w:szCs w:val="22"/>
              </w:rPr>
              <w:t xml:space="preserve">balances(address)</w:t>
            </w:r>
          </w:p>
        </w:tc>
        <w:tc>
          <w:tcPr>
            <w:tcW w:type="dxa" w:w="2250"/>
            <w:shd w:fill="EBF4FF" w:val="clear"/>
            <w:vAlign w:val="center"/>
          </w:tcPr>
          <w:p>
            <w:pPr>
              <w:jc w:val="center"/>
            </w:pPr>
            <w:r>
              <w:rPr>
                <w:sz w:val="22"/>
                <w:szCs w:val="22"/>
              </w:rPr>
              <w:t xml:space="preserve">Public view</w:t>
            </w:r>
          </w:p>
        </w:tc>
        <w:tc>
          <w:tcPr>
            <w:tcW w:type="dxa" w:w="2250"/>
            <w:shd w:fill="EBF4FF" w:val="clear"/>
            <w:vAlign w:val="center"/>
          </w:tcPr>
          <w:p>
            <w:pPr>
              <w:jc w:val="center"/>
            </w:pPr>
            <w:r>
              <w:rPr>
                <w:sz w:val="22"/>
                <w:szCs w:val="22"/>
              </w:rPr>
              <w:t xml:space="preserve">Minimal</w:t>
            </w:r>
          </w:p>
        </w:tc>
        <w:tc>
          <w:tcPr>
            <w:tcW w:type="dxa" w:w="2250"/>
            <w:shd w:fill="EBF4FF" w:val="clear"/>
            <w:vAlign w:val="center"/>
          </w:tcPr>
          <w:p>
            <w:pPr>
              <w:jc w:val="center"/>
            </w:pPr>
            <w:r>
              <w:rPr>
                <w:sz w:val="22"/>
                <w:szCs w:val="22"/>
              </w:rPr>
              <w:t xml:space="preserve">Read player balance</w:t>
            </w:r>
          </w:p>
        </w:tc>
      </w:tr>
      <w:tr>
        <w:tc>
          <w:tcPr>
            <w:tcW w:type="dxa" w:w="2250"/>
            <w:shd w:fill="FFFFFF" w:val="clear"/>
            <w:vAlign w:val="center"/>
          </w:tcPr>
          <w:p>
            <w:pPr>
              <w:jc w:val="center"/>
            </w:pPr>
            <w:r>
              <w:rPr>
                <w:sz w:val="22"/>
                <w:szCs w:val="22"/>
              </w:rPr>
              <w:t xml:space="preserve">contractBalance()</w:t>
            </w:r>
          </w:p>
        </w:tc>
        <w:tc>
          <w:tcPr>
            <w:tcW w:type="dxa" w:w="2250"/>
            <w:shd w:fill="FFFFFF" w:val="clear"/>
            <w:vAlign w:val="center"/>
          </w:tcPr>
          <w:p>
            <w:pPr>
              <w:jc w:val="center"/>
            </w:pPr>
            <w:r>
              <w:rPr>
                <w:sz w:val="22"/>
                <w:szCs w:val="22"/>
              </w:rPr>
              <w:t xml:space="preserve">Public view</w:t>
            </w:r>
          </w:p>
        </w:tc>
        <w:tc>
          <w:tcPr>
            <w:tcW w:type="dxa" w:w="2250"/>
            <w:shd w:fill="FFFFFF" w:val="clear"/>
            <w:vAlign w:val="center"/>
          </w:tcPr>
          <w:p>
            <w:pPr>
              <w:jc w:val="center"/>
            </w:pPr>
            <w:r>
              <w:rPr>
                <w:sz w:val="22"/>
                <w:szCs w:val="22"/>
              </w:rPr>
              <w:t xml:space="preserve">Minimal</w:t>
            </w:r>
          </w:p>
        </w:tc>
        <w:tc>
          <w:tcPr>
            <w:tcW w:type="dxa" w:w="2250"/>
            <w:shd w:fill="FFFFFF" w:val="clear"/>
            <w:vAlign w:val="center"/>
          </w:tcPr>
          <w:p>
            <w:pPr>
              <w:jc w:val="center"/>
            </w:pPr>
            <w:r>
              <w:rPr>
                <w:sz w:val="22"/>
                <w:szCs w:val="22"/>
              </w:rPr>
              <w:t xml:space="preserve">Read treasury balance</w:t>
            </w:r>
          </w:p>
        </w:tc>
      </w:tr>
    </w:tbl>
    <w:p>
      <w:pPr>
        <w:spacing w:after="400"/>
      </w:pPr>
    </w:p>
    <w:p>
      <w:pPr>
        <w:pStyle w:val="Heading1"/>
        <w:spacing w:after="200" w:before="400"/>
      </w:pPr>
      <w:r>
        <w:t xml:space="preserve">Appendix B — Event Log Reference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365d" w:val="clear"/>
            <w:vAlign w:val="center"/>
          </w:tcPr>
          <w:p>
            <w:pPr>
              <w:jc w:val="center"/>
            </w:pPr>
            <w:r>
              <w:rPr>
                <w:b/>
                <w:bCs/>
                <w:color w:val="FFFFFF"/>
                <w:sz w:val="22"/>
                <w:szCs w:val="22"/>
              </w:rPr>
              <w:t xml:space="preserve">Event</w:t>
            </w:r>
          </w:p>
        </w:tc>
        <w:tc>
          <w:tcPr>
            <w:tcW w:type="dxa" w:w="3000"/>
            <w:shd w:fill="1a365d" w:val="clear"/>
            <w:vAlign w:val="center"/>
          </w:tcPr>
          <w:p>
            <w:pPr>
              <w:jc w:val="center"/>
            </w:pPr>
            <w:r>
              <w:rPr>
                <w:b/>
                <w:bCs/>
                <w:color w:val="FFFFFF"/>
                <w:sz w:val="22"/>
                <w:szCs w:val="22"/>
              </w:rPr>
              <w:t xml:space="preserve">Key Fields</w:t>
            </w:r>
          </w:p>
        </w:tc>
        <w:tc>
          <w:tcPr>
            <w:tcW w:type="dxa" w:w="3000"/>
            <w:shd w:fill="1a365d" w:val="clear"/>
            <w:vAlign w:val="center"/>
          </w:tcPr>
          <w:p>
            <w:pPr>
              <w:jc w:val="center"/>
            </w:pPr>
            <w:r>
              <w:rPr>
                <w:b/>
                <w:bCs/>
                <w:color w:val="FFFFFF"/>
                <w:sz w:val="22"/>
                <w:szCs w:val="22"/>
              </w:rPr>
              <w:t xml:space="preserve">Use Case</w:t>
            </w:r>
          </w:p>
        </w:tc>
      </w:tr>
      <w:tr>
        <w:tc>
          <w:tcPr>
            <w:tcW w:type="dxa" w:w="3000"/>
            <w:shd w:fill="EBF4FF" w:val="clear"/>
            <w:vAlign w:val="center"/>
          </w:tcPr>
          <w:p>
            <w:pPr>
              <w:jc w:val="center"/>
            </w:pPr>
            <w:r>
              <w:rPr>
                <w:sz w:val="22"/>
                <w:szCs w:val="22"/>
              </w:rPr>
              <w:t xml:space="preserve">Funded</w:t>
            </w:r>
          </w:p>
        </w:tc>
        <w:tc>
          <w:tcPr>
            <w:tcW w:type="dxa" w:w="3000"/>
            <w:shd w:fill="EBF4FF" w:val="clear"/>
            <w:vAlign w:val="center"/>
          </w:tcPr>
          <w:p>
            <w:pPr>
              <w:jc w:val="center"/>
            </w:pPr>
            <w:r>
              <w:rPr>
                <w:sz w:val="22"/>
                <w:szCs w:val="22"/>
              </w:rPr>
              <w:t xml:space="preserve">user, amount</w:t>
            </w:r>
          </w:p>
        </w:tc>
        <w:tc>
          <w:tcPr>
            <w:tcW w:type="dxa" w:w="3000"/>
            <w:shd w:fill="EBF4FF" w:val="clear"/>
            <w:vAlign w:val="center"/>
          </w:tcPr>
          <w:p>
            <w:pPr>
              <w:jc w:val="center"/>
            </w:pPr>
            <w:r>
              <w:rPr>
                <w:sz w:val="22"/>
                <w:szCs w:val="22"/>
              </w:rPr>
              <w:t xml:space="preserve">Track deposits for analytics</w:t>
            </w:r>
          </w:p>
        </w:tc>
      </w:tr>
      <w:tr>
        <w:tc>
          <w:tcPr>
            <w:tcW w:type="dxa" w:w="3000"/>
            <w:shd w:fill="FFFFFF" w:val="clear"/>
            <w:vAlign w:val="center"/>
          </w:tcPr>
          <w:p>
            <w:pPr>
              <w:jc w:val="center"/>
            </w:pPr>
            <w:r>
              <w:rPr>
                <w:sz w:val="22"/>
                <w:szCs w:val="22"/>
              </w:rPr>
              <w:t xml:space="preserve">Staked</w:t>
            </w:r>
          </w:p>
        </w:tc>
        <w:tc>
          <w:tcPr>
            <w:tcW w:type="dxa" w:w="3000"/>
            <w:shd w:fill="FFFFFF" w:val="clear"/>
            <w:vAlign w:val="center"/>
          </w:tcPr>
          <w:p>
            <w:pPr>
              <w:jc w:val="center"/>
            </w:pPr>
            <w:r>
              <w:rPr>
                <w:sz w:val="22"/>
                <w:szCs w:val="22"/>
              </w:rPr>
              <w:t xml:space="preserve">user, amount</w:t>
            </w:r>
          </w:p>
        </w:tc>
        <w:tc>
          <w:tcPr>
            <w:tcW w:type="dxa" w:w="3000"/>
            <w:shd w:fill="FFFFFF" w:val="clear"/>
            <w:vAlign w:val="center"/>
          </w:tcPr>
          <w:p>
            <w:pPr>
              <w:jc w:val="center"/>
            </w:pPr>
            <w:r>
              <w:rPr>
                <w:sz w:val="22"/>
                <w:szCs w:val="22"/>
              </w:rPr>
              <w:t xml:space="preserve">Track spin volume</w:t>
            </w:r>
          </w:p>
        </w:tc>
      </w:tr>
      <w:tr>
        <w:tc>
          <w:tcPr>
            <w:tcW w:type="dxa" w:w="3000"/>
            <w:shd w:fill="EBF4FF" w:val="clear"/>
            <w:vAlign w:val="center"/>
          </w:tcPr>
          <w:p>
            <w:pPr>
              <w:jc w:val="center"/>
            </w:pPr>
            <w:r>
              <w:rPr>
                <w:sz w:val="22"/>
                <w:szCs w:val="22"/>
              </w:rPr>
              <w:t xml:space="preserve">RewardCalculated</w:t>
            </w:r>
          </w:p>
        </w:tc>
        <w:tc>
          <w:tcPr>
            <w:tcW w:type="dxa" w:w="3000"/>
            <w:shd w:fill="EBF4FF" w:val="clear"/>
            <w:vAlign w:val="center"/>
          </w:tcPr>
          <w:p>
            <w:pPr>
              <w:jc w:val="center"/>
            </w:pPr>
            <w:r>
              <w:rPr>
                <w:sz w:val="22"/>
                <w:szCs w:val="22"/>
              </w:rPr>
              <w:t xml:space="preserve">user, reward, result</w:t>
            </w:r>
          </w:p>
        </w:tc>
        <w:tc>
          <w:tcPr>
            <w:tcW w:type="dxa" w:w="3000"/>
            <w:shd w:fill="EBF4FF" w:val="clear"/>
            <w:vAlign w:val="center"/>
          </w:tcPr>
          <w:p>
            <w:pPr>
              <w:jc w:val="center"/>
            </w:pPr>
            <w:r>
              <w:rPr>
                <w:sz w:val="22"/>
                <w:szCs w:val="22"/>
              </w:rPr>
              <w:t xml:space="preserve">Build spin history / leaderboard</w:t>
            </w:r>
          </w:p>
        </w:tc>
      </w:tr>
      <w:tr>
        <w:tc>
          <w:tcPr>
            <w:tcW w:type="dxa" w:w="3000"/>
            <w:shd w:fill="FFFFFF" w:val="clear"/>
            <w:vAlign w:val="center"/>
          </w:tcPr>
          <w:p>
            <w:pPr>
              <w:jc w:val="center"/>
            </w:pPr>
            <w:r>
              <w:rPr>
                <w:sz w:val="22"/>
                <w:szCs w:val="22"/>
              </w:rPr>
              <w:t xml:space="preserve">Withdraw</w:t>
            </w:r>
          </w:p>
        </w:tc>
        <w:tc>
          <w:tcPr>
            <w:tcW w:type="dxa" w:w="3000"/>
            <w:shd w:fill="FFFFFF" w:val="clear"/>
            <w:vAlign w:val="center"/>
          </w:tcPr>
          <w:p>
            <w:pPr>
              <w:jc w:val="center"/>
            </w:pPr>
            <w:r>
              <w:rPr>
                <w:sz w:val="22"/>
                <w:szCs w:val="22"/>
              </w:rPr>
              <w:t xml:space="preserve">user, amount, fee</w:t>
            </w:r>
          </w:p>
        </w:tc>
        <w:tc>
          <w:tcPr>
            <w:tcW w:type="dxa" w:w="3000"/>
            <w:shd w:fill="FFFFFF" w:val="clear"/>
            <w:vAlign w:val="center"/>
          </w:tcPr>
          <w:p>
            <w:pPr>
              <w:jc w:val="center"/>
            </w:pPr>
            <w:r>
              <w:rPr>
                <w:sz w:val="22"/>
                <w:szCs w:val="22"/>
              </w:rPr>
              <w:t xml:space="preserve">Track fee revenue</w:t>
            </w:r>
          </w:p>
        </w:tc>
      </w:tr>
      <w:tr>
        <w:tc>
          <w:tcPr>
            <w:tcW w:type="dxa" w:w="3000"/>
            <w:shd w:fill="EBF4FF" w:val="clear"/>
            <w:vAlign w:val="center"/>
          </w:tcPr>
          <w:p>
            <w:pPr>
              <w:jc w:val="center"/>
            </w:pPr>
            <w:r>
              <w:rPr>
                <w:sz w:val="22"/>
                <w:szCs w:val="22"/>
              </w:rPr>
              <w:t xml:space="preserve">ContractFunded</w:t>
            </w:r>
          </w:p>
        </w:tc>
        <w:tc>
          <w:tcPr>
            <w:tcW w:type="dxa" w:w="3000"/>
            <w:shd w:fill="EBF4FF" w:val="clear"/>
            <w:vAlign w:val="center"/>
          </w:tcPr>
          <w:p>
            <w:pPr>
              <w:jc w:val="center"/>
            </w:pPr>
            <w:r>
              <w:rPr>
                <w:sz w:val="22"/>
                <w:szCs w:val="22"/>
              </w:rPr>
              <w:t xml:space="preserve">amount</w:t>
            </w:r>
          </w:p>
        </w:tc>
        <w:tc>
          <w:tcPr>
            <w:tcW w:type="dxa" w:w="3000"/>
            <w:shd w:fill="EBF4FF" w:val="clear"/>
            <w:vAlign w:val="center"/>
          </w:tcPr>
          <w:p>
            <w:pPr>
              <w:jc w:val="center"/>
            </w:pPr>
            <w:r>
              <w:rPr>
                <w:sz w:val="22"/>
                <w:szCs w:val="22"/>
              </w:rPr>
              <w:t xml:space="preserve">Monitor treasury health</w:t>
            </w:r>
          </w:p>
        </w:tc>
      </w:tr>
      <w:tr>
        <w:tc>
          <w:tcPr>
            <w:tcW w:type="dxa" w:w="3000"/>
            <w:shd w:fill="FFFFFF" w:val="clear"/>
            <w:vAlign w:val="center"/>
          </w:tcPr>
          <w:p>
            <w:pPr>
              <w:jc w:val="center"/>
            </w:pPr>
            <w:r>
              <w:rPr>
                <w:sz w:val="22"/>
                <w:szCs w:val="22"/>
              </w:rPr>
              <w:t xml:space="preserve">ContractWithdrawal</w:t>
            </w:r>
          </w:p>
        </w:tc>
        <w:tc>
          <w:tcPr>
            <w:tcW w:type="dxa" w:w="3000"/>
            <w:shd w:fill="FFFFFF" w:val="clear"/>
            <w:vAlign w:val="center"/>
          </w:tcPr>
          <w:p>
            <w:pPr>
              <w:jc w:val="center"/>
            </w:pPr>
            <w:r>
              <w:rPr>
                <w:sz w:val="22"/>
                <w:szCs w:val="22"/>
              </w:rPr>
              <w:t xml:space="preserve">amount</w:t>
            </w:r>
          </w:p>
        </w:tc>
        <w:tc>
          <w:tcPr>
            <w:tcW w:type="dxa" w:w="3000"/>
            <w:shd w:fill="FFFFFF" w:val="clear"/>
            <w:vAlign w:val="center"/>
          </w:tcPr>
          <w:p>
            <w:pPr>
              <w:jc w:val="center"/>
            </w:pPr>
            <w:r>
              <w:rPr>
                <w:sz w:val="22"/>
                <w:szCs w:val="22"/>
              </w:rPr>
              <w:t xml:space="preserve">Monitor treasury health</w:t>
            </w:r>
          </w:p>
        </w:tc>
      </w:tr>
    </w:tbl>
    <w:p>
      <w:pPr>
        <w:spacing w:after="400"/>
      </w:pPr>
    </w:p>
    <w:p>
      <w:pPr>
        <w:pStyle w:val="Heading1"/>
        <w:spacing w:after="200" w:before="400"/>
      </w:pPr>
      <w:r>
        <w:t xml:space="preserve">Appendix C — Glossary</w:t>
      </w:r>
    </w:p>
    <w:p>
      <w:pPr>
        <w:spacing w:after="120"/>
      </w:pPr>
      <w:r>
        <w:rPr>
          <w:b/>
          <w:bCs/>
          <w:sz w:val="24"/>
          <w:szCs w:val="24"/>
        </w:rPr>
        <w:t xml:space="preserve">SpinReward: </w:t>
      </w:r>
      <w:r>
        <w:rPr>
          <w:sz w:val="24"/>
          <w:szCs w:val="24"/>
        </w:rPr>
        <w:t xml:space="preserve">The core Solidity smart contract governing all fund flows in the Spinner protocol.</w:t>
      </w:r>
    </w:p>
    <w:p>
      <w:pPr>
        <w:spacing w:after="120"/>
      </w:pPr>
      <w:r>
        <w:rPr>
          <w:b/>
          <w:bCs/>
          <w:sz w:val="24"/>
          <w:szCs w:val="24"/>
        </w:rPr>
        <w:t xml:space="preserve">balances: </w:t>
      </w:r>
      <w:r>
        <w:rPr>
          <w:sz w:val="24"/>
          <w:szCs w:val="24"/>
        </w:rPr>
        <w:t xml:space="preserve">Per-player mapping storing deposited and earned token balances within the contract.</w:t>
      </w:r>
    </w:p>
    <w:p>
      <w:pPr>
        <w:spacing w:after="120"/>
      </w:pPr>
      <w:r>
        <w:rPr>
          <w:b/>
          <w:bCs/>
          <w:sz w:val="24"/>
          <w:szCs w:val="24"/>
        </w:rPr>
        <w:t xml:space="preserve">contractBalance: </w:t>
      </w:r>
      <w:r>
        <w:rPr>
          <w:sz w:val="24"/>
          <w:szCs w:val="24"/>
        </w:rPr>
        <w:t xml:space="preserve">The protocol treasury — absorbs player losses and funds player wins.</w:t>
      </w:r>
    </w:p>
    <w:p>
      <w:pPr>
        <w:spacing w:after="120"/>
      </w:pPr>
      <w:r>
        <w:rPr>
          <w:b/>
          <w:bCs/>
          <w:sz w:val="24"/>
          <w:szCs w:val="24"/>
        </w:rPr>
        <w:t xml:space="preserve">ERC-20: </w:t>
      </w:r>
      <w:r>
        <w:rPr>
          <w:sz w:val="24"/>
          <w:szCs w:val="24"/>
        </w:rPr>
        <w:t xml:space="preserve">A fungible token standard on Ethereum and EVM-compatible chains.</w:t>
      </w:r>
    </w:p>
    <w:p>
      <w:pPr>
        <w:spacing w:after="120"/>
      </w:pPr>
      <w:r>
        <w:rPr>
          <w:b/>
          <w:bCs/>
          <w:sz w:val="24"/>
          <w:szCs w:val="24"/>
        </w:rPr>
        <w:t xml:space="preserve">Foundry: </w:t>
      </w:r>
      <w:r>
        <w:rPr>
          <w:sz w:val="24"/>
          <w:szCs w:val="24"/>
        </w:rPr>
        <w:t xml:space="preserve">A Rust-based Ethereum development toolchain used to compile, test, and deploy the contract.</w:t>
      </w:r>
    </w:p>
    <w:p>
      <w:pPr>
        <w:spacing w:after="120"/>
      </w:pPr>
      <w:r>
        <w:rPr>
          <w:b/>
          <w:bCs/>
          <w:sz w:val="24"/>
          <w:szCs w:val="24"/>
        </w:rPr>
        <w:t xml:space="preserve">VRF: </w:t>
      </w:r>
      <w:r>
        <w:rPr>
          <w:sz w:val="24"/>
          <w:szCs w:val="24"/>
        </w:rPr>
        <w:t xml:space="preserve">Verifiable Random Function — a cryptographic primitive for generating provably fair randomness on-chain.</w:t>
      </w:r>
    </w:p>
    <w:p>
      <w:pPr>
        <w:spacing w:after="120"/>
      </w:pPr>
      <w:r>
        <w:rPr>
          <w:b/>
          <w:bCs/>
          <w:sz w:val="24"/>
          <w:szCs w:val="24"/>
        </w:rPr>
        <w:t xml:space="preserve">MiniPay: </w:t>
      </w:r>
      <w:r>
        <w:rPr>
          <w:sz w:val="24"/>
          <w:szCs w:val="24"/>
        </w:rPr>
        <w:t xml:space="preserve">A lightweight mobile wallet built on Celo, targeting financial inclusion in emerging markets.</w:t>
      </w:r>
    </w:p>
    <w:p>
      <w:pPr>
        <w:spacing w:after="120"/>
      </w:pPr>
      <w:r>
        <w:rPr>
          <w:b/>
          <w:bCs/>
          <w:sz w:val="24"/>
          <w:szCs w:val="24"/>
        </w:rPr>
        <w:t xml:space="preserve">House Edge: </w:t>
      </w:r>
      <w:r>
        <w:rPr>
          <w:sz w:val="24"/>
          <w:szCs w:val="24"/>
        </w:rPr>
        <w:t xml:space="preserve">The statistical advantage the protocol holds over players across a large number of spins.</w:t>
      </w:r>
    </w:p>
    <w:p>
      <w:pPr>
        <w:spacing w:after="120"/>
      </w:pPr>
      <w:r>
        <w:rPr>
          <w:b/>
          <w:bCs/>
          <w:sz w:val="24"/>
          <w:szCs w:val="24"/>
        </w:rPr>
        <w:t xml:space="preserve">Wei: </w:t>
      </w:r>
      <w:r>
        <w:rPr>
          <w:sz w:val="24"/>
          <w:szCs w:val="24"/>
        </w:rPr>
        <w:t xml:space="preserve">The smallest denomination of ERC-20 tokens when expressed with 18 decimal places (1 token = 10^18 wei).</w:t>
      </w:r>
    </w:p>
    <w:p>
      <w:pPr>
        <w:pBdr>
          <w:bottom w:val="single" w:color="CCCCCC" w:sz="6"/>
        </w:pBdr>
        <w:spacing w:after="200" w:before="200"/>
      </w:pPr>
    </w:p>
    <w:p>
      <w:pPr>
        <w:spacing w:before="200"/>
        <w:jc w:val="center"/>
      </w:pPr>
      <w:r>
        <w:rPr>
          <w:i/>
          <w:iCs/>
          <w:color w:val="888888"/>
          <w:sz w:val="20"/>
          <w:szCs w:val="20"/>
        </w:rPr>
        <w:t xml:space="preserve">© 2026 Spinner Protocol  ·  Open Source  ·  MIT Licence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Spinner — Technical Whitepaper</dc:title>
  <dc:creator>Spinner Protocol</dc:creator>
  <cp:lastModifiedBy>Un-named</cp:lastModifiedBy>
  <cp:revision>1</cp:revision>
  <dcterms:created xsi:type="dcterms:W3CDTF">2026-09-13T20:06:01.886Z</dcterms:created>
  <dcterms:modified xsi:type="dcterms:W3CDTF">2026-09-13T20:06:01.899Z</dcterms:modified>
</cp:coreProperties>
</file>

<file path=docProps/custom.xml><?xml version="1.0" encoding="utf-8"?>
<Properties xmlns="http://schemas.openxmlformats.org/officeDocument/2006/custom-properties" xmlns:vt="http://schemas.openxmlformats.org/officeDocument/2006/docPropsVTypes"/>
</file>