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Global Marketing Strategy &amp; Budget Allocation 2025</w:t>
      </w:r>
    </w:p>
    <w:p>
      <w:r>
        <w:rPr>
          <w:b/>
          <w:sz w:val="24"/>
        </w:rPr>
        <w:t>1. Strategic Growth Objectives</w:t>
      </w:r>
    </w:p>
    <w:p>
      <w:r>
        <w:t>The marketing team targets expanding inbound sales qualified leads (SQLs) by 35% in 2025.</w:t>
      </w:r>
    </w:p>
    <w:p>
      <w:r>
        <w:t>Total marketing budget is approved at $8.0 million for the calendar year.</w:t>
      </w:r>
    </w:p>
    <w:p>
      <w:r>
        <w:rPr>
          <w:b/>
          <w:sz w:val="24"/>
        </w:rPr>
        <w:t>2. Budget Allocation by Channel</w:t>
      </w:r>
    </w:p>
    <w:p>
      <w:r>
        <w:t>Digital performance advertising: $3.2 million (40% of total budget).</w:t>
      </w:r>
    </w:p>
    <w:p>
      <w:r>
        <w:t>Industry conferences and customer summits: $2.4 million (30%).</w:t>
      </w:r>
    </w:p>
    <w:p>
      <w:r>
        <w:t>Content marketing and analyst relations: $1.6 million (20%).</w:t>
      </w:r>
    </w:p>
    <w:p>
      <w:r>
        <w:t>Partner co-marketing incentives: $0.8 million (10%).</w:t>
      </w:r>
    </w:p>
  </w:body>
</w:document>
</file>