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Product Specification: Aurora AI Enterprise Edition</w:t>
      </w:r>
    </w:p>
    <w:p>
      <w:r>
        <w:rPr>
          <w:b/>
          <w:sz w:val="24"/>
        </w:rPr>
        <w:t>1. Architectural Specifications</w:t>
      </w:r>
    </w:p>
    <w:p>
      <w:r>
        <w:t>Aurora AI Enterprise Edition supports hybrid document retrieval spanning PDF, DOCX, CSV, and SQLite.</w:t>
      </w:r>
    </w:p>
    <w:p>
      <w:r>
        <w:t>Supported embedding model is text-embedding-3-small with 1536 dimensional vectors.</w:t>
      </w:r>
    </w:p>
    <w:p>
      <w:r>
        <w:rPr>
          <w:b/>
          <w:sz w:val="24"/>
        </w:rPr>
        <w:t>2. Concurrency and Throughput</w:t>
      </w:r>
    </w:p>
    <w:p>
      <w:r>
        <w:t>Target response latency is under 1,500 milliseconds for 95% of hybrid queries.</w:t>
      </w:r>
    </w:p>
    <w:p>
      <w:r>
        <w:t>System supports 50 concurrent query streams per worker node without degradation.</w:t>
      </w:r>
    </w:p>
  </w:body>
</w:document>
</file>