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Project Titan: Strategic Initiative Charter</w:t>
      </w:r>
    </w:p>
    <w:p>
      <w:r>
        <w:rPr>
          <w:b/>
          <w:sz w:val="24"/>
        </w:rPr>
        <w:t>1. Purpose and Objectives</w:t>
      </w:r>
    </w:p>
    <w:p>
      <w:r>
        <w:t>Project Titan is chartered to build the next-generation unified multimodal data platform.</w:t>
      </w:r>
    </w:p>
    <w:p>
      <w:r>
        <w:t>Total allocated capital budget is $14.5 million across an 18-month timeline.</w:t>
      </w:r>
    </w:p>
    <w:p>
      <w:r>
        <w:rPr>
          <w:b/>
          <w:sz w:val="24"/>
        </w:rPr>
        <w:t>2. Key Milestones</w:t>
      </w:r>
    </w:p>
    <w:p>
      <w:r>
        <w:t>Milestone M1 (Core Engine): Target completion Q1 2025 with $3.2 million spend.</w:t>
      </w:r>
    </w:p>
    <w:p>
      <w:r>
        <w:t>Milestone M2 (Integration Testing): Target completion Q3 2025 with $6.8 million cumulative spend.</w:t>
      </w:r>
    </w:p>
    <w:p>
      <w:r>
        <w:t>Milestone M3 (General Availability): Target rollout November 2025.</w:t>
      </w:r>
    </w:p>
  </w:body>
</w:document>
</file>