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Cloud Infrastructure Vendor SLA Agreement</w:t>
      </w:r>
    </w:p>
    <w:p>
      <w:r>
        <w:rPr>
          <w:b/>
          <w:sz w:val="24"/>
        </w:rPr>
        <w:t>1. Service Availability Commitment</w:t>
      </w:r>
    </w:p>
    <w:p>
      <w:r>
        <w:t>Vendor guarantees 99.95% monthly uptime for production database hosting services.</w:t>
      </w:r>
    </w:p>
    <w:p>
      <w:r>
        <w:t>If availability falls below 99.95% but above 99.0%, Customer receives a 10% billing credit.</w:t>
      </w:r>
    </w:p>
    <w:p>
      <w:r>
        <w:rPr>
          <w:b/>
          <w:sz w:val="24"/>
        </w:rPr>
        <w:t>2. Severity Level Response Times</w:t>
      </w:r>
    </w:p>
    <w:p>
      <w:r>
        <w:t>Severity 1 (Critical Down): Initial response within 15 minutes; 24/7 dedicated engineering support.</w:t>
      </w:r>
    </w:p>
    <w:p>
      <w:r>
        <w:t>Severity 2 (High Degradation): Initial response within 1 hour.</w:t>
      </w:r>
    </w:p>
  </w:body>
</w:document>
</file>