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Board of Directors Formal Meeting Minutes</w:t>
      </w:r>
    </w:p>
    <w:p>
      <w:r>
        <w:rPr>
          <w:b/>
          <w:sz w:val="24"/>
        </w:rPr>
        <w:t>1. Meeting Details and Quorum</w:t>
      </w:r>
    </w:p>
    <w:p>
      <w:r>
        <w:t>The regular meeting of the Board of Directors was held on October 18, 2024 with all 7 directors present.</w:t>
      </w:r>
    </w:p>
    <w:p>
      <w:r>
        <w:t>Chief Executive Officer presented the fiscal 2025 strategic plan.</w:t>
      </w:r>
    </w:p>
    <w:p>
      <w:r>
        <w:rPr>
          <w:b/>
          <w:sz w:val="24"/>
        </w:rPr>
        <w:t>2. Formal Resolutions Approved</w:t>
      </w:r>
    </w:p>
    <w:p>
      <w:r>
        <w:t>Resolution 2024-12: Unanimously approved quarterly cash dividend of $0.45 per common share.</w:t>
      </w:r>
    </w:p>
    <w:p>
      <w:r>
        <w:t>Resolution 2024-13: Approved $50 million revolving credit facility extension with J.P. Morgan.</w:t>
      </w:r>
    </w:p>
  </w:body>
</w:document>
</file>