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Invention Disclosure: Distributed Consensus Under Partial Partition</w:t>
      </w:r>
    </w:p>
    <w:p>
      <w:r>
        <w:rPr>
          <w:b/>
          <w:sz w:val="24"/>
        </w:rPr>
        <w:t>1. Technical Field of Invention</w:t>
      </w:r>
    </w:p>
    <w:p>
      <w:r>
        <w:t>This invention relates to fault-tolerant distributed computing and high-throughput consensus protocols.</w:t>
      </w:r>
    </w:p>
    <w:p>
      <w:r>
        <w:t>Inventors: Dr. Elena Rostova and Marcus Chen.</w:t>
      </w:r>
    </w:p>
    <w:p>
      <w:r>
        <w:rPr>
          <w:b/>
          <w:sz w:val="24"/>
        </w:rPr>
        <w:t>2. Detailed Description of Embodiments</w:t>
      </w:r>
    </w:p>
    <w:p>
      <w:r>
        <w:t>The protocol introduces an epoch-based quorum slicing mechanism that guarantees linearizability during asymmetric network partitions.</w:t>
      </w:r>
    </w:p>
    <w:p>
      <w:r>
        <w:t>Experimental benchmarking demonstrated a 40% reduction in consensus message overhead compared to standard Raft.</w:t>
      </w:r>
    </w:p>
  </w:body>
</w:document>
</file>