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Internal Penetration Test &amp; Security Audit Report</w:t>
      </w:r>
    </w:p>
    <w:p>
      <w:r>
        <w:rPr>
          <w:b/>
          <w:sz w:val="24"/>
        </w:rPr>
        <w:t>1. Executive Summary</w:t>
      </w:r>
    </w:p>
    <w:p>
      <w:r>
        <w:t>The annual red-team penetration test identified 0 Critical vulnerabilities, 2 Medium vulnerabilities, and 5 Low vulnerabilities.</w:t>
      </w:r>
    </w:p>
    <w:p>
      <w:r>
        <w:t>The external attack surface demonstrated robust defense against SQL injection and cross-site scripting.</w:t>
      </w:r>
    </w:p>
    <w:p>
      <w:r>
        <w:rPr>
          <w:b/>
          <w:sz w:val="24"/>
        </w:rPr>
        <w:t>2. Remediation Plan</w:t>
      </w:r>
    </w:p>
    <w:p>
      <w:r>
        <w:t>Medium Finding 1: TLS 1.1 cipher suites disabled on legacy API proxy endpoints.</w:t>
      </w:r>
    </w:p>
    <w:p>
      <w:r>
        <w:t>Medium Finding 2: Session cookie timeout shortened to 60 minutes of inactivity.</w:t>
      </w:r>
    </w:p>
  </w:body>
</w:document>
</file>