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auto"/>
      </w:pPr>
    </w:p>
    <w:p>
      <w:pPr>
        <w:spacing w:before="0" w:after="0" w:line="300" w:lineRule="auto"/>
      </w:pPr>
    </w:p>
    <w:p>
      <w:pPr>
        <w:spacing w:before="0" w:after="0" w:line="300" w:lineRule="auto"/>
      </w:pPr>
    </w:p>
    <w:p>
      <w:pPr>
        <w:spacing w:before="0" w:after="0" w:line="300" w:lineRule="auto"/>
      </w:pPr>
    </w:p>
    <w:p>
      <w:pPr>
        <w:spacing w:before="0" w:after="0" w:line="300" w:lineRule="auto"/>
      </w:pPr>
    </w:p>
    <w:p>
      <w:pPr>
        <w:pStyle w:val="CoverOrg"/>
      </w:pPr>
      <w:r>
        <w:rPr>
          <w:rFonts w:ascii="Times New Roman" w:hAnsi="Times New Roman" w:eastAsia="宋体" w:cs="Times New Roman"/>
          <w:sz w:val="24"/>
          <w:szCs w:val="24"/>
        </w:rPr>
        <w:t xml:space="preserve">华北五省大学生计算机应用大赛</w:t>
      </w:r>
    </w:p>
    <w:p>
      <w:pPr>
        <w:pStyle w:val="CoverTrack"/>
      </w:pPr>
      <w:r>
        <w:rPr>
          <w:rFonts w:ascii="Times New Roman" w:hAnsi="Times New Roman" w:eastAsia="宋体" w:cs="Times New Roman"/>
          <w:sz w:val="24"/>
          <w:szCs w:val="24"/>
        </w:rPr>
        <w:t xml:space="preserve">软件应用与开发</w:t>
      </w:r>
    </w:p>
    <w:p>
      <w:pPr>
        <w:spacing w:before="0" w:after="0" w:line="300" w:lineRule="auto"/>
      </w:pPr>
    </w:p>
    <w:p>
      <w:pPr>
        <w:pStyle w:val="CoverTitle"/>
      </w:pPr>
      <w:r>
        <w:rPr>
          <w:rFonts w:ascii="Times New Roman" w:hAnsi="Times New Roman" w:eastAsia="宋体" w:cs="Times New Roman"/>
          <w:sz w:val="24"/>
          <w:szCs w:val="24"/>
        </w:rPr>
        <w:t xml:space="preserve">作 品 概 述</w:t>
      </w:r>
    </w:p>
    <w:p>
      <w:pPr>
        <w:pStyle w:val="CoverProj"/>
      </w:pPr>
      <w:r>
        <w:rPr>
          <w:rFonts w:ascii="Times New Roman" w:hAnsi="Times New Roman" w:eastAsia="宋体" w:cs="Times New Roman"/>
          <w:sz w:val="24"/>
          <w:szCs w:val="24"/>
        </w:rPr>
        <w:t xml:space="preserve">计智引擎 LearnMate</w:t>
      </w:r>
    </w:p>
    <w:p>
      <w:pPr>
        <w:spacing w:before="0" w:after="0" w:line="300" w:lineRule="auto"/>
      </w:pPr>
    </w:p>
    <w:p>
      <w:pPr>
        <w:spacing w:before="0" w:after="0" w:line="300" w:lineRule="auto"/>
      </w:pPr>
    </w:p>
    <w:p>
      <w:pPr>
        <w:spacing w:before="0" w:after="0" w:line="300" w:lineRule="auto"/>
      </w:pPr>
    </w:p>
    <w:p>
      <w:pPr>
        <w:spacing w:before="0" w:after="0" w:line="300" w:lineRule="auto"/>
      </w:pPr>
    </w:p>
    <w:tbl>
      <w:tblPr>
        <w:tblStyle w:val="TableNormal"/>
        <w:tblW w:w="7300" w:type="dxa"/>
        <w:jc w:val="center"/>
        <w:tblLayout w:type="fixed"/>
      </w:tblPr>
      <w:tblGrid>
        <w:gridCol w:w="1700"/>
        <w:gridCol w:w="5600"/>
      </w:tblGrid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CoverLabel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参赛学校：</w:t>
            </w:r>
          </w:p>
        </w:tc>
        <w:tc>
          <w:tcPr>
            <w:tcW w:w="5600" w:type="dxa"/>
            <w:vAlign w:val="center"/>
          </w:tcPr>
          <w:p>
            <w:pPr>
              <w:pStyle w:val="CoverItem"/>
            </w:pPr>
            <w:r>
              <w:rPr>
                <w:rFonts w:ascii="Times New Roman" w:hAnsi="Times New Roman" w:eastAsia="宋体" w:cs="Times New Roman"/>
                <w:sz w:val="24"/>
                <w:szCs w:val="24"/>
                <w:u w:val="single"/>
              </w:rPr>
              <w:t xml:space="preserve">＿＿＿＿＿＿＿＿＿＿＿＿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CoverLabel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团队成员：</w:t>
            </w:r>
          </w:p>
        </w:tc>
        <w:tc>
          <w:tcPr>
            <w:tcW w:w="5600" w:type="dxa"/>
            <w:vAlign w:val="center"/>
          </w:tcPr>
          <w:p>
            <w:pPr>
              <w:pStyle w:val="CoverItem"/>
            </w:pPr>
            <w:r>
              <w:rPr>
                <w:rFonts w:ascii="Times New Roman" w:hAnsi="Times New Roman" w:eastAsia="宋体" w:cs="Times New Roman"/>
                <w:sz w:val="24"/>
                <w:szCs w:val="24"/>
                <w:u w:val="single"/>
              </w:rPr>
              <w:t xml:space="preserve">＿＿＿＿＿＿＿＿＿＿＿＿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CoverLabel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指导教师：</w:t>
            </w:r>
          </w:p>
        </w:tc>
        <w:tc>
          <w:tcPr>
            <w:tcW w:w="5600" w:type="dxa"/>
            <w:vAlign w:val="center"/>
          </w:tcPr>
          <w:p>
            <w:pPr>
              <w:pStyle w:val="CoverItem"/>
            </w:pPr>
            <w:r>
              <w:rPr>
                <w:rFonts w:ascii="Times New Roman" w:hAnsi="Times New Roman" w:eastAsia="宋体" w:cs="Times New Roman"/>
                <w:sz w:val="24"/>
                <w:szCs w:val="24"/>
                <w:u w:val="single"/>
              </w:rPr>
              <w:t xml:space="preserve">＿＿＿＿＿＿＿＿＿＿＿＿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CoverLabel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作品类别：</w:t>
            </w:r>
          </w:p>
        </w:tc>
        <w:tc>
          <w:tcPr>
            <w:tcW w:w="5600" w:type="dxa"/>
            <w:vAlign w:val="center"/>
          </w:tcPr>
          <w:p>
            <w:pPr>
              <w:pStyle w:val="CoverItem"/>
            </w:pPr>
            <w:r>
              <w:rPr>
                <w:rFonts w:ascii="Times New Roman" w:hAnsi="Times New Roman" w:eastAsia="宋体" w:cs="Times New Roman"/>
                <w:sz w:val="24"/>
                <w:szCs w:val="24"/>
                <w:u w:val="single"/>
              </w:rPr>
              <w:t xml:space="preserve">计算机应用类（软件应用与开发）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CoverLabel"/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文档版本：</w:t>
            </w:r>
          </w:p>
        </w:tc>
        <w:tc>
          <w:tcPr>
            <w:tcW w:w="5600" w:type="dxa"/>
            <w:vAlign w:val="center"/>
          </w:tcPr>
          <w:p>
            <w:pPr>
              <w:pStyle w:val="CoverItem"/>
            </w:pPr>
            <w:r>
              <w:rPr>
                <w:rFonts w:ascii="Times New Roman" w:hAnsi="Times New Roman" w:eastAsia="宋体" w:cs="Times New Roman"/>
                <w:sz w:val="24"/>
                <w:szCs w:val="24"/>
                <w:u w:val="single"/>
              </w:rPr>
              <w:t xml:space="preserve">2026-09-15</w:t>
            </w:r>
          </w:p>
        </w:tc>
      </w:tr>
    </w:tbl>
    <w:p>
      <w:pPr>
        <w:sectPr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>
      <w:pPr>
        <w:spacing w:before="0" w:after="0" w:line="240" w:lineRule="auto"/>
      </w:pPr>
      <w:r>
        <w:br w:type="page"/>
      </w:r>
    </w:p>
    <w:p>
      <w:pPr>
        <w:pStyle w:val="TocTitle"/>
      </w:pPr>
      <w:r>
        <w:rPr>
          <w:rFonts w:ascii="Times New Roman" w:hAnsi="Times New Roman" w:eastAsia="宋体" w:cs="Times New Roman"/>
          <w:sz w:val="24"/>
          <w:szCs w:val="24"/>
        </w:rPr>
        <w:t xml:space="preserve">目 录</w:t>
      </w:r>
    </w:p>
    <w:p>
      <w:pPr>
        <w:pStyle w:val="TOC1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【请在此处右键选择“更新域”生成目录】</w:t>
      </w:r>
      <w:r>
        <w:fldChar w:fldCharType="end"/>
      </w:r>
    </w:p>
    <w:p>
      <w:pPr>
        <w:sectPr>
          <w:footerReference w:type="default" r:id="rId5"/>
          <w:pgSz w:w="11906" w:h="16838"/>
          <w:pgMar w:top="1440" w:right="1797" w:bottom="1440" w:left="1797" w:header="851" w:footer="992" w:gutter="0"/>
          <w:pgNumType w:fmt="lowerRoman" w:start="1"/>
          <w:cols w:space="425"/>
          <w:docGrid w:type="lines" w:linePitch="312"/>
        </w:sectPr>
      </w:pPr>
    </w:p>
    <w:p>
      <w:pPr>
        <w:spacing w:before="0" w:after="0" w:line="240" w:lineRule="auto"/>
      </w:pPr>
      <w:r>
        <w:br w:type="page"/>
      </w:r>
    </w:p>
    <w:p>
      <w:pPr>
        <w:pStyle w:val="Heading1"/>
      </w:pPr>
      <w:r>
        <w:rPr>
          <w:rFonts w:ascii="Times New Roman" w:hAnsi="Times New Roman" w:eastAsia="宋体" w:cs="Times New Roman"/>
          <w:sz w:val="24"/>
          <w:szCs w:val="24"/>
        </w:rPr>
        <w:t xml:space="preserve">一、作品概述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1.1 基本信息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1-1　作品基本信息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471"/>
        <w:gridCol w:w="5840"/>
      </w:tblGrid>
      <w:tr>
        <w:trPr>
          <w:cantSplit/>
          <w:tblHeader/>
        </w:trPr>
        <w:tc>
          <w:tcPr>
            <w:tcW w:w="2471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项目</w:t>
            </w:r>
          </w:p>
        </w:tc>
        <w:tc>
          <w:tcPr>
            <w:tcW w:w="5840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w="247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作品名称</w:t>
            </w:r>
          </w:p>
        </w:tc>
        <w:tc>
          <w:tcPr>
            <w:tcW w:w="584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计智引擎 LearnMate</w:t>
            </w:r>
          </w:p>
        </w:tc>
      </w:tr>
      <w:tr>
        <w:trPr>
          <w:cantSplit/>
        </w:trPr>
        <w:tc>
          <w:tcPr>
            <w:tcW w:w="247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作品定位</w:t>
            </w:r>
          </w:p>
        </w:tc>
        <w:tc>
          <w:tcPr>
            <w:tcW w:w="5840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面向计算机专业课程的多智能体个性化学习资源生成平台</w:t>
            </w:r>
          </w:p>
        </w:tc>
      </w:tr>
      <w:tr>
        <w:trPr>
          <w:cantSplit/>
        </w:trPr>
        <w:tc>
          <w:tcPr>
            <w:tcW w:w="247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价值主线</w:t>
            </w:r>
          </w:p>
        </w:tc>
        <w:tc>
          <w:tcPr>
            <w:tcW w:w="584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会诊断 · 会生成 · 会进化</w:t>
            </w:r>
          </w:p>
        </w:tc>
      </w:tr>
      <w:tr>
        <w:trPr>
          <w:cantSplit/>
        </w:trPr>
        <w:tc>
          <w:tcPr>
            <w:tcW w:w="247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作品形态</w:t>
            </w:r>
          </w:p>
        </w:tc>
        <w:tc>
          <w:tcPr>
            <w:tcW w:w="5840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双端 Web 应用（学生端 + 教师端）+ 后端服务；支持本地一体化部署与容器化交付两套方案</w:t>
            </w:r>
          </w:p>
        </w:tc>
      </w:tr>
      <w:tr>
        <w:trPr>
          <w:cantSplit/>
        </w:trPr>
        <w:tc>
          <w:tcPr>
            <w:tcW w:w="247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应用领域</w:t>
            </w:r>
          </w:p>
        </w:tc>
        <w:tc>
          <w:tcPr>
            <w:tcW w:w="584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高等教育 · 计算机类专业课程教学与自主学习</w:t>
            </w:r>
          </w:p>
        </w:tc>
      </w:tr>
      <w:tr>
        <w:trPr>
          <w:cantSplit/>
        </w:trPr>
        <w:tc>
          <w:tcPr>
            <w:tcW w:w="247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核心技术</w:t>
            </w:r>
          </w:p>
        </w:tc>
        <w:tc>
          <w:tcPr>
            <w:tcW w:w="5840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React 19 + TypeScript + Vite（双端）、Node.js 24 + Express 4 + MySQL 8.4、大模型接入（国产模型）、RAG 检索增强、可解释异步生成（SSE）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1.2 一句话说明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LearnMate 把一次性的 AI 问答，变成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会诊断、会生成、会进化的持续学习闭环</w:t>
      </w:r>
      <w:r>
        <w:rPr>
          <w:rFonts w:ascii="Times New Roman" w:hAnsi="Times New Roman" w:eastAsia="宋体" w:cs="Times New Roman"/>
          <w:sz w:val="24"/>
          <w:szCs w:val="24"/>
        </w:rPr>
        <w:t xml:space="preserve">：用七维画像与真实行为证据诊断学生状态，用八类 Agent 协同生成五类可追溯的学习资源，再用测验、CodeLab 与完成证据反向更新画像与路径。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1.3 作品要解决的核心问题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计算机专业学习同时包含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概念、算法、代码与持续练习</w:t>
      </w:r>
      <w:r>
        <w:rPr>
          <w:rFonts w:ascii="Times New Roman" w:hAnsi="Times New Roman" w:eastAsia="宋体" w:cs="Times New Roman"/>
          <w:sz w:val="24"/>
          <w:szCs w:val="24"/>
        </w:rPr>
        <w:t xml:space="preserve">四类活动。当前教学工具的共同缺陷是：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只能提供内容，不能维护状态</w:t>
      </w:r>
      <w:r>
        <w:rPr>
          <w:rFonts w:ascii="Times New Roman" w:hAnsi="Times New Roman" w:eastAsia="宋体" w:cs="Times New Roman"/>
          <w:sz w:val="24"/>
          <w:szCs w:val="24"/>
        </w:rPr>
        <w:t xml:space="preserve">——统一讲义不反映学生基础与错因，通用 AI 对话停留在一次回答，学生学完没有可验证的反馈，教师看不到过程性证据。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LearnMate 的核心主张是：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把“学生状态”作为系统的一等公民</w:t>
      </w:r>
      <w:r>
        <w:rPr>
          <w:rFonts w:ascii="Times New Roman" w:hAnsi="Times New Roman" w:eastAsia="宋体" w:cs="Times New Roman"/>
          <w:sz w:val="24"/>
          <w:szCs w:val="24"/>
        </w:rPr>
        <w:t xml:space="preserve">，所有生成与决策以状态为唯一输入，所有状态更新以真实学习行为为唯一依据。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1.4 作品完成度（诚实口径）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已完成并通过验收的能力：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学生端 9 个主页面、教师端 6 大功能模块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八类多智能体协同（后端编排角色，非聊天窗口）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五类学习资源生成，含真实可编辑 PPTX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五学科 RAG 知识库与引用验证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可解释异步生成（11 个阶段 + SSE，刷新可恢复）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六维规则审核 + 可选模型审核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测验 / 错题 / CodeLab / 路径 / 评估完整闭环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交付配置：Nginx、健康检查、命名卷、内部网络、非 root 运行、CI 安全扫描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明确的未完成项（不纳入成果表述）：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任意不可信代码安全沙箱、实时监考、教师批量任务、复杂 Word/OCR 题库导入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学校生产环境部署、真实教学效果量化指标、性能与并发压测、专业渗透测试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容器化交付已完成静态设计与配置解析，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实机构建与卷重启持久化尚未验收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1.5 已具备的工程证据（基线与当次验收）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1-2　工程证据清单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891"/>
        <w:gridCol w:w="5420"/>
      </w:tblGrid>
      <w:tr>
        <w:trPr>
          <w:cantSplit/>
          <w:tblHeader/>
        </w:trPr>
        <w:tc>
          <w:tcPr>
            <w:tcW w:w="2891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项目</w:t>
            </w:r>
          </w:p>
        </w:tc>
        <w:tc>
          <w:tcPr>
            <w:tcW w:w="5420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w="289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后端自动化测试</w:t>
            </w:r>
          </w:p>
        </w:tc>
        <w:tc>
          <w:tcPr>
            <w:tcW w:w="542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138/138 通过（含数据库集成、资源进度、六维审核、PPTX/PDF、安全规则）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Release Engineering 专项</w:t>
            </w:r>
          </w:p>
        </w:tc>
        <w:tc>
          <w:tcPr>
            <w:tcW w:w="5420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15/15 通过（运行时配置、CORS、健康检查、存储、重置、防泄密、重试）</w:t>
            </w:r>
          </w:p>
        </w:tc>
      </w:tr>
      <w:tr>
        <w:trPr>
          <w:cantSplit/>
        </w:trPr>
        <w:tc>
          <w:tcPr>
            <w:tcW w:w="289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PPTX 专项验证</w:t>
            </w:r>
          </w:p>
        </w:tc>
        <w:tc>
          <w:tcPr>
            <w:tcW w:w="542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5/5 通过（ZIP/OOXML 结构、引用、三主题、拆页）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学生端 / 教师端</w:t>
            </w:r>
          </w:p>
        </w:tc>
        <w:tc>
          <w:tcPr>
            <w:tcW w:w="5420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类型检查通过；构建 2698 / 2271 modules</w:t>
            </w:r>
          </w:p>
        </w:tc>
      </w:tr>
      <w:tr>
        <w:trPr>
          <w:cantSplit/>
        </w:trPr>
        <w:tc>
          <w:tcPr>
            <w:tcW w:w="289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演示数据生命周期</w:t>
            </w:r>
          </w:p>
        </w:tc>
        <w:tc>
          <w:tcPr>
            <w:tcW w:w="542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demo:reset / seed / verify 全部通过，verify 17/17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浏览器端到端验收</w:t>
            </w:r>
          </w:p>
        </w:tc>
        <w:tc>
          <w:tcPr>
            <w:tcW w:w="5420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学生端 9 个页面、真实异步生成与 SSE、六维审核、教师工作台/班级/资源/报告均可用；三端控制台无 warning/error</w:t>
            </w:r>
          </w:p>
        </w:tc>
      </w:tr>
      <w:tr>
        <w:trPr>
          <w:cantSplit/>
        </w:trPr>
        <w:tc>
          <w:tcPr>
            <w:tcW w:w="289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知识库规模（本机实测）</w:t>
            </w:r>
          </w:p>
        </w:tc>
        <w:tc>
          <w:tcPr>
            <w:tcW w:w="542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5 学科 / 56 份讲义 / 441 个知识块 / 105 个知识点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知识图谱规模（本机实测）</w:t>
            </w:r>
          </w:p>
        </w:tc>
        <w:tc>
          <w:tcPr>
            <w:tcW w:w="5420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69 条先修关系、408 条知识点别名、1028 条知识块-知识点关联</w:t>
            </w:r>
          </w:p>
        </w:tc>
      </w:tr>
    </w:tbl>
    <w:p>
      <w:pPr>
        <w:spacing w:before="0" w:after="0" w:line="240" w:lineRule="auto"/>
      </w:pPr>
    </w:p>
    <w:p>
      <w:pPr>
        <w:pStyle w:val="NoteBox"/>
      </w:pPr>
      <w:r>
        <w:rPr>
          <w:rFonts w:ascii="Times New Roman" w:hAnsi="Times New Roman" w:eastAsia="宋体" w:cs="Times New Roman"/>
          <w:sz w:val="24"/>
          <w:szCs w:val="24"/>
        </w:rPr>
        <w:t xml:space="preserve">口径说明：本文件所有数字均标注来源——“仓库内容口径”指当前代码与数据文件按现行逻辑静态统计；“本机实测”指在具体运行环境中直接查询数据库或接口所得；“基线与当次验收”指对应提交基线上的测试输出。引用数字时应同时给出当次命令与输出，不使用推算或估计值。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sz w:val="24"/>
          <w:szCs w:val="24"/>
        </w:rPr>
        <w:t xml:space="preserve">二、当下现状造成的痛点</w:t>
      </w:r>
    </w:p>
    <w:p>
      <w:pPr>
        <w:pStyle w:val="NoteBox"/>
      </w:pPr>
      <w:r>
        <w:rPr>
          <w:rFonts w:ascii="Times New Roman" w:hAnsi="Times New Roman" w:eastAsia="宋体" w:cs="Times New Roman"/>
          <w:sz w:val="24"/>
          <w:szCs w:val="24"/>
        </w:rPr>
        <w:t xml:space="preserve">写作口径提示：本章只描述结构性、可观察的问题，不使用虚构调研比例。若团队已有真实问卷或师生访谈数据，请在此处插入原始样本量与来源，会显著提升说服力。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2.1 痛点一：学情不可见——系统不知道学生现在在哪里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2-1　学情不可见问题分析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现状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教学资源以班级为单位统一下发，系统只掌握“谁登录了、谁下载了”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后果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同一个知识点，基础不同的学生拿到完全相同的材料；教师无从判断某个学生卡在哪一步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根因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缺少结构化的学情状态：没有画像、没有掌握度、没有错因记录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现有方案为何不够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学习管理系统记录的是行为日志（点击、时长），不是认知状态（会什么、缺什么）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2.2 痛点二：资源千人一面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2-2　资源同质化问题分析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现状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讲义、课件、练习题按课程统一制作，一次生产、全届复用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后果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基础薄弱的学生看不懂，基础好的学生觉得浪费时间；错因不同却练同一套题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根因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资源生产没有个性化输入——不知道学生的画像、阶段目标、掌握度、错因和时间预算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现有方案为何不够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MOOC 与题库 App 的“推荐”基于协同过滤（别人看了什么），不是基于“你缺什么”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2.3 痛点三：生成式 AI 的“一次性回答”困局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2-3　一次性回答问题分析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现状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学生用通用 AI 助手提问，得到一段看起来不错的回答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后果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回答不进入任何系统状态——不改变学习路径、不产生练习、不更新画像、不留下证据；下次提问从零开始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根因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通用对话产品以本轮文本为中心，缺少题目、路径、完成证据与教师观察的持续状态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现有方案为何不够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即便接入了知识库，多数产品也只做到“答得更准”，没有做到“答完之后系统状态发生变化”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2.4 痛点四：AI 内容不可追溯、不可信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2-4　AI 内容可信度问题分析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现状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生成式内容缺少来源标注；模型可能编造题目、编造引用、写出不存在的练习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后果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学生无法核实；教师不敢采用；一旦用于教学，错误内容会被规模化传播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根因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缺少引用绑定、ID 白名单、结构校验与审核机制；模型输出被直接当作事实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现有方案为何不够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大多数产品仅靠 Prompt 要求“不要编造”，属于软约束，无法验证、无法审计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2.5 痛点五：学完没有闭环反馈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2-5　学习闭环缺失问题分析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现状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学生看完资料就算“学完”，系统没有任何完成标准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后果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无法区分“真的掌握了”和“点开看了一眼”；学习效果无法沉淀为下一步依据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根因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缺少完成证据资格定义——什么样的行为才算完成一个学习阶段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现有方案为何不够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进度条式设计只能表达“看到了第几页”，不能表达“是否具备继续学习的条件”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2.6 痛点六：教师只看到结果，看不到过程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2-6　教师视角问题分析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现状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教师能拿到的通常只有考试成绩与作业提交状态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后果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无法定位班级共性薄弱点，无法针对个体给出建议，无法形成可归档的教学过程记录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根因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教学过程数据散落在多个系统，缺少统一的聚合与关系隔离机制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现有方案为何不够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教务系统面向管理，学习平台面向内容，二者都不面向“教学决策”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2.7 痛点七：工程脆弱——模型不可用即全线中断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2-7　工程脆弱性问题分析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现状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大量 AI 应用把模型调用放在关键路径上，无降级方案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后果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网络抖动、配额耗尽、密钥失效都会导致功能不可用，教学场景无法接受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根因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未区分“AI 增强”与“业务必需”，缺少确定性回退路径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现有方案为何不够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多数作品在演示环境表现良好，但缺少可切换的降级设计，也无法说明失败时系统行为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2.8 痛点八：个性化与隐私、可信之间的两难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2-8　个性化与隐私两难问题分析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现状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要个性化就必须采集学情数据，但学生自述往往不准确，行为数据又涉及隐私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后果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要么画像失真导致推荐无效，要么因数据合规顾虑不敢落地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根因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缺少来源、证据、置信度三层元数据，以及明确的权限隔离与数据边界</w:t>
            </w:r>
          </w:p>
        </w:tc>
      </w:tr>
    </w:tbl>
    <w:p>
      <w:pPr>
        <w:spacing w:before="0" w:after="0" w:line="240" w:lineRule="auto"/>
      </w:pPr>
    </w:p>
    <w:p>
      <w:pPr>
        <w:pStyle w:val="Heading1"/>
        <w:pageBreakBefore/>
      </w:pPr>
      <w:r>
        <w:rPr>
          <w:rFonts w:ascii="Times New Roman" w:hAnsi="Times New Roman" w:eastAsia="宋体" w:cs="Times New Roman"/>
          <w:sz w:val="24"/>
          <w:szCs w:val="24"/>
        </w:rPr>
        <w:t xml:space="preserve">三、作品可行性分析和目标群体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3.1 技术可行性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3.1.1 技术选型成熟，无冷门依赖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双端 React 19 + TypeScript + Vite，后端 Node.js 24 + Express 4 + MySQL 8.4，均为长期维护的主流方案；AI 能力对接国产大模型（同时支持 HTTP 与 WebSocket 双通道），符合国产化与赛题背景。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3.1.2 可行性已由实测证据支撑，而非纸面设计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3-1　可行性实测证据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374"/>
        <w:gridCol w:w="5937"/>
      </w:tblGrid>
      <w:tr>
        <w:trPr>
          <w:cantSplit/>
          <w:tblHeader/>
        </w:trPr>
        <w:tc>
          <w:tcPr>
            <w:tcW w:w="237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可行性维度</w:t>
            </w:r>
          </w:p>
        </w:tc>
        <w:tc>
          <w:tcPr>
            <w:tcW w:w="5937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现成证据</w:t>
            </w:r>
          </w:p>
        </w:tc>
      </w:tr>
      <w:tr>
        <w:trPr>
          <w:cantSplit/>
        </w:trPr>
        <w:tc>
          <w:tcPr>
            <w:tcW w:w="237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功能正确性</w:t>
            </w:r>
          </w:p>
        </w:tc>
        <w:tc>
          <w:tcPr>
            <w:tcW w:w="593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后端 138/138 测试通过；Release Engineering 15/15；PPTX 5/5</w:t>
            </w:r>
          </w:p>
        </w:tc>
      </w:tr>
      <w:tr>
        <w:trPr>
          <w:cantSplit/>
        </w:trPr>
        <w:tc>
          <w:tcPr>
            <w:tcW w:w="237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前后端集成</w:t>
            </w:r>
          </w:p>
        </w:tc>
        <w:tc>
          <w:tcPr>
            <w:tcW w:w="593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两套前端类型检查与构建通过；浏览器端到端验收覆盖 9 个学生端页面与教师端核心流程</w:t>
            </w:r>
          </w:p>
        </w:tc>
      </w:tr>
      <w:tr>
        <w:trPr>
          <w:cantSplit/>
        </w:trPr>
        <w:tc>
          <w:tcPr>
            <w:tcW w:w="237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数据闭环</w:t>
            </w:r>
          </w:p>
        </w:tc>
        <w:tc>
          <w:tcPr>
            <w:tcW w:w="593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demo:verify 17/17，覆盖账号、五类资源、资源进度、可形成路径证据的 CodeLab 提交、审核报告、检索与引用</w:t>
            </w:r>
          </w:p>
        </w:tc>
      </w:tr>
      <w:tr>
        <w:trPr>
          <w:cantSplit/>
        </w:trPr>
        <w:tc>
          <w:tcPr>
            <w:tcW w:w="237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本地可运行</w:t>
            </w:r>
          </w:p>
        </w:tc>
        <w:tc>
          <w:tcPr>
            <w:tcW w:w="593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已实现一键启动脚本：MySQL(3306) → 后端(5800) → 学生端(5173) → 教师端(5174)，并带健康检查、日志落盘、依赖自检与端口冲突自愈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3.1.3 架构可扩展性已获实践验证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系统最初仅覆盖“数据结构”单一学科，现已扩展为五学科（数据结构 / 操作系统 / 计算机组成原理 / 计算机网络 / C 语言），实测导入结果：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56 份讲义、441 个知识块、105 个知识点、0 失败，且导入幂等</w:t>
      </w:r>
      <w:r>
        <w:rPr>
          <w:rFonts w:ascii="Times New Roman" w:hAnsi="Times New Roman" w:eastAsia="宋体" w:cs="Times New Roman"/>
          <w:sz w:val="24"/>
          <w:szCs w:val="24"/>
        </w:rPr>
        <w:t xml:space="preserve">。这说明“新增课程”是一条已跑通的工程路径，而非设想：</w:t>
      </w:r>
    </w:p>
    <w:p>
      <w:pPr>
        <w:pStyle w:val="TableText"/>
        <w:shd w:val="clear" w:color="auto" w:fill="F7F7F7"/>
        <w:snapToGrid w:val="0"/>
        <w:spacing w:before="2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新增课程 SOP：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① 建立合规来源目录与 catalog.json 知识点图谱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② 编写带元数据的讲义（许可 / 来源 / 版本 / 学科 / 章）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③ 在知识库引导服务中登记课程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④ 执行导入（幂等：同 sourceKey + version 未变则跳过）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⑤ 验证检索与引用（各学科抽样提问，检查引用绑定）</w:t>
      </w:r>
    </w:p>
    <w:p>
      <w:pPr>
        <w:pStyle w:val="TableText"/>
        <w:shd w:val="clear" w:color="auto" w:fill="F7F7F7"/>
        <w:snapToGrid w:val="0"/>
        <w:spacing w:before="0" w:after="2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⑥ 补充真实题库与 CodeLab 练习目录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3.1.4 不依赖模型可用性（最强的可行性论据）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系统设置四级独立开关（总开关 + 路径规划 / 多模态资源 / 模型审核），且五类资源、路径规划、错因分析、学习评估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均有确定性回退实现</w:t>
      </w:r>
      <w:r>
        <w:rPr>
          <w:rFonts w:ascii="Times New Roman" w:hAnsi="Times New Roman" w:eastAsia="宋体" w:cs="Times New Roman"/>
          <w:sz w:val="24"/>
          <w:szCs w:val="24"/>
        </w:rPr>
        <w:t xml:space="preserve">。实测在关闭全部 AI 能力的情况下，学生端主链路（登录 → 画像 → 路径 → 生成 → 测验 → CodeLab → 评估）与教师端功能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完整可运行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3.1.5 部署可行性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3-2　部署方案与状态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374"/>
        <w:gridCol w:w="5937"/>
      </w:tblGrid>
      <w:tr>
        <w:trPr>
          <w:cantSplit/>
          <w:tblHeader/>
        </w:trPr>
        <w:tc>
          <w:tcPr>
            <w:tcW w:w="237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方案</w:t>
            </w:r>
          </w:p>
        </w:tc>
        <w:tc>
          <w:tcPr>
            <w:tcW w:w="5937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w="237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本地一体化部署（无容器）</w:t>
            </w:r>
          </w:p>
        </w:tc>
        <w:tc>
          <w:tcPr>
            <w:tcW w:w="593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已实测跑通，一键脚本 + 双击启动器，含日志与故障自愈</w:t>
            </w:r>
          </w:p>
        </w:tc>
      </w:tr>
      <w:tr>
        <w:trPr>
          <w:cantSplit/>
        </w:trPr>
        <w:tc>
          <w:tcPr>
            <w:tcW w:w="237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容器化交付</w:t>
            </w:r>
          </w:p>
        </w:tc>
        <w:tc>
          <w:tcPr>
            <w:tcW w:w="593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Dockerfile / Compose / Nginx / 健康检查 / 命名卷 / 内部网络已完成静态设计与安全配置；实机构建与卷重启持久化待补充验收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3.1.6 内容合规可行性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知识源导入强制许可白名单（CC-BY-4.0 / CC0-1.0 / PUBLIC-DOMAIN / USER-AUTHORIZED），现有内容为团队自著并带完整元数据；引用保存来源快照，来源变更不可静默覆盖。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3.2 落地与经济可行性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3-3　落地与经济可行性分析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444"/>
        <w:gridCol w:w="5867"/>
      </w:tblGrid>
      <w:tr>
        <w:trPr>
          <w:cantSplit/>
          <w:tblHeader/>
        </w:trPr>
        <w:tc>
          <w:tcPr>
            <w:tcW w:w="244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5867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分析</w:t>
            </w:r>
          </w:p>
        </w:tc>
      </w:tr>
      <w:tr>
        <w:trPr>
          <w:cantSplit/>
        </w:trPr>
        <w:tc>
          <w:tcPr>
            <w:tcW w:w="244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部署成本</w:t>
            </w:r>
          </w:p>
        </w:tc>
        <w:tc>
          <w:tcPr>
            <w:tcW w:w="586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可完全自托管于校内服务器或单机，无需第三方 SaaS；MySQL 与两套前端均可容器化</w:t>
            </w:r>
          </w:p>
        </w:tc>
      </w:tr>
      <w:tr>
        <w:trPr>
          <w:cantSplit/>
        </w:trPr>
        <w:tc>
          <w:tcPr>
            <w:tcW w:w="244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运行成本</w:t>
            </w:r>
          </w:p>
        </w:tc>
        <w:tc>
          <w:tcPr>
            <w:tcW w:w="586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模型调用按量计费且可随时关闭；关闭后系统仍完整可用，边际成本趋近于零</w:t>
            </w:r>
          </w:p>
        </w:tc>
      </w:tr>
      <w:tr>
        <w:trPr>
          <w:cantSplit/>
        </w:trPr>
        <w:tc>
          <w:tcPr>
            <w:tcW w:w="244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内容成本</w:t>
            </w:r>
          </w:p>
        </w:tc>
        <w:tc>
          <w:tcPr>
            <w:tcW w:w="586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内容可增量建设，导入幂等、按 sourceKey + version 管理，团队可分学科并行产出</w:t>
            </w:r>
          </w:p>
        </w:tc>
      </w:tr>
      <w:tr>
        <w:trPr>
          <w:cantSplit/>
        </w:trPr>
        <w:tc>
          <w:tcPr>
            <w:tcW w:w="244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人力成本</w:t>
            </w:r>
          </w:p>
        </w:tc>
        <w:tc>
          <w:tcPr>
            <w:tcW w:w="586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3 人团队已完成基线；架构为 Agent 插拔式，新增能力不需重构主链路</w:t>
            </w:r>
          </w:p>
        </w:tc>
      </w:tr>
      <w:tr>
        <w:trPr>
          <w:cantSplit/>
        </w:trPr>
        <w:tc>
          <w:tcPr>
            <w:tcW w:w="244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迁移成本</w:t>
            </w:r>
          </w:p>
        </w:tc>
        <w:tc>
          <w:tcPr>
            <w:tcW w:w="586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不绑定特定模型，AI 客户端与业务解耦，可替换为其他合规大模型</w:t>
            </w:r>
          </w:p>
        </w:tc>
      </w:tr>
      <w:tr>
        <w:trPr>
          <w:cantSplit/>
        </w:trPr>
        <w:tc>
          <w:tcPr>
            <w:tcW w:w="244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推广路径</w:t>
            </w:r>
          </w:p>
        </w:tc>
        <w:tc>
          <w:tcPr>
            <w:tcW w:w="586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单课程试点 → 单个教学班 → 专业课程群 → 跨专业通识课（每一步都有对应的内容与配置清单）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3.3 目标群体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3.3.1 核心用户：计算机类专业本科生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3-4　核心用户需求矩阵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205"/>
        <w:gridCol w:w="2714"/>
        <w:gridCol w:w="3392"/>
      </w:tblGrid>
      <w:tr>
        <w:trPr>
          <w:cantSplit/>
          <w:tblHeader/>
        </w:trPr>
        <w:tc>
          <w:tcPr>
            <w:tcW w:w="2205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用户特征</w:t>
            </w:r>
          </w:p>
        </w:tc>
        <w:tc>
          <w:tcPr>
            <w:tcW w:w="271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需求</w:t>
            </w:r>
          </w:p>
        </w:tc>
        <w:tc>
          <w:tcPr>
            <w:tcW w:w="3392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对应功能</w:t>
            </w:r>
          </w:p>
        </w:tc>
      </w:tr>
      <w:tr>
        <w:trPr>
          <w:cantSplit/>
        </w:trPr>
        <w:tc>
          <w:tcPr>
            <w:tcW w:w="2205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大一/大二，正在学 C 语言、数据结构</w:t>
            </w:r>
          </w:p>
        </w:tc>
        <w:tc>
          <w:tcPr>
            <w:tcW w:w="271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基础不牢、概念抽象、需要分步讲解与即时练习</w:t>
            </w:r>
          </w:p>
        </w:tc>
        <w:tc>
          <w:tcPr>
            <w:tcW w:w="3392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七维画像、学习讲义、思维导图、测验闭环</w:t>
            </w:r>
          </w:p>
        </w:tc>
      </w:tr>
      <w:tr>
        <w:trPr>
          <w:cantSplit/>
        </w:trPr>
        <w:tc>
          <w:tcPr>
            <w:tcW w:w="220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大二/大三，正在学操作系统、计算机组成原理、计算机网络</w:t>
            </w:r>
          </w:p>
        </w:tc>
        <w:tc>
          <w:tcPr>
            <w:tcW w:w="271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知识点密集、前修依赖强、易错点集中</w:t>
            </w:r>
          </w:p>
        </w:tc>
        <w:tc>
          <w:tcPr>
            <w:tcW w:w="3392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五学科 RAG 答疑、路径阶段、错误模式、CodeLab</w:t>
            </w:r>
          </w:p>
        </w:tc>
      </w:tr>
      <w:tr>
        <w:trPr>
          <w:cantSplit/>
        </w:trPr>
        <w:tc>
          <w:tcPr>
            <w:tcW w:w="2205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备考研究生（408 方向）</w:t>
            </w:r>
          </w:p>
        </w:tc>
        <w:tc>
          <w:tcPr>
            <w:tcW w:w="271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需要系统性查漏补缺与复习调度</w:t>
            </w:r>
          </w:p>
        </w:tc>
        <w:tc>
          <w:tcPr>
            <w:tcW w:w="3392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错题与掌握度、评估报告、知识图谱薄弱点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3.3.2 次要用户：任课教师与助教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3-5　教师端需求矩阵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624"/>
        <w:gridCol w:w="5687"/>
      </w:tblGrid>
      <w:tr>
        <w:trPr>
          <w:cantSplit/>
          <w:tblHeader/>
        </w:trPr>
        <w:tc>
          <w:tcPr>
            <w:tcW w:w="262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需求</w:t>
            </w:r>
          </w:p>
        </w:tc>
        <w:tc>
          <w:tcPr>
            <w:tcW w:w="5687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对应功能</w:t>
            </w:r>
          </w:p>
        </w:tc>
      </w:tr>
      <w:tr>
        <w:trPr>
          <w:cantSplit/>
        </w:trPr>
        <w:tc>
          <w:tcPr>
            <w:tcW w:w="262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掌握班级整体学情</w:t>
            </w:r>
          </w:p>
        </w:tc>
        <w:tc>
          <w:tcPr>
            <w:tcW w:w="568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班级分析、测验分析、共性薄弱点</w:t>
            </w:r>
          </w:p>
        </w:tc>
      </w:tr>
      <w:tr>
        <w:trPr>
          <w:cantSplit/>
        </w:trPr>
        <w:tc>
          <w:tcPr>
            <w:tcW w:w="262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跟踪个别学生</w:t>
            </w:r>
          </w:p>
        </w:tc>
        <w:tc>
          <w:tcPr>
            <w:tcW w:w="568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学生详情（画像历史、掌握度、路径、资源、检索活动）</w:t>
            </w:r>
          </w:p>
        </w:tc>
      </w:tr>
      <w:tr>
        <w:trPr>
          <w:cantSplit/>
        </w:trPr>
        <w:tc>
          <w:tcPr>
            <w:tcW w:w="262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获取教学材料</w:t>
            </w:r>
          </w:p>
        </w:tc>
        <w:tc>
          <w:tcPr>
            <w:tcW w:w="568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教师端资源请求，复用同一套生成与审核体系</w:t>
            </w:r>
          </w:p>
        </w:tc>
      </w:tr>
      <w:tr>
        <w:trPr>
          <w:cantSplit/>
        </w:trPr>
        <w:tc>
          <w:tcPr>
            <w:tcW w:w="262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归档教学过程</w:t>
            </w:r>
          </w:p>
        </w:tc>
        <w:tc>
          <w:tcPr>
            <w:tcW w:w="568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版本化 PDF 学习报告（含校验与权限控制）</w:t>
            </w:r>
          </w:p>
        </w:tc>
      </w:tr>
      <w:tr>
        <w:trPr>
          <w:cantSplit/>
        </w:trPr>
        <w:tc>
          <w:tcPr>
            <w:tcW w:w="262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审核 AI 行为</w:t>
            </w:r>
          </w:p>
        </w:tc>
        <w:tc>
          <w:tcPr>
            <w:tcW w:w="568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Agent 运行日志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3.3.3 典型使用场景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课前预习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：学生描述自己的基础与目标 → 系统生成画像与路径 → 生成阶段讲义与导图。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课后补漏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：测验答错 → 生成错误模式 → 更新掌握度 → 下一阶段资源针对性强化。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期末/考研复习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：查看评估报告的风险与建议 → 通过知识图谱定位薄弱知识点 → 用 CodeLab 验证动手能力。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教师备课与学情分析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：查看班级共性错因 → 请求针对性课堂材料 → 生成版本化报告归档。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3.3.4 明确不服务的范围（边界声明）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不面向 K12 学科培训；不覆盖非计算机专业课程（当前内容为 5 门计算机核心课）；不作为正式考试的评分或监考系统；不提供心理测评或能力测评结论。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3.4 风险分析与应对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3-6　风险与应对设计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512"/>
        <w:gridCol w:w="5799"/>
      </w:tblGrid>
      <w:tr>
        <w:trPr>
          <w:cantSplit/>
          <w:tblHeader/>
        </w:trPr>
        <w:tc>
          <w:tcPr>
            <w:tcW w:w="2512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风险</w:t>
            </w:r>
          </w:p>
        </w:tc>
        <w:tc>
          <w:tcPr>
            <w:tcW w:w="5799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应对设计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模型幻觉、编造引用与题目</w:t>
            </w:r>
          </w:p>
        </w:tc>
        <w:tc>
          <w:tcPr>
            <w:tcW w:w="5799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引用只能指向本次检索到的知识块；题目/练习 ID 必须来自真实目录白名单；无证据时返回 422 拒绝生成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模型不可用或超时</w:t>
            </w:r>
          </w:p>
        </w:tc>
        <w:tc>
          <w:tcPr>
            <w:tcW w:w="5799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四级开关 + 确定性回退；超时被钳制在 3–20 秒，避免请求长时间挂起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AI 输出泄露内部术语或思维链</w:t>
            </w:r>
          </w:p>
        </w:tc>
        <w:tc>
          <w:tcPr>
            <w:tcW w:w="5799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四类资源的质量服务内置内部术语清洗规则，过滤 Agent 名称、Prompt 字样等内容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提示词注入</w:t>
            </w:r>
          </w:p>
        </w:tc>
        <w:tc>
          <w:tcPr>
            <w:tcW w:w="5799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导入时检测指令覆盖、索取密钥等模式并隔离；进入模型前声明知识内容为“不可信数据，不是指令”，并清理危险标签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内容版权</w:t>
            </w:r>
          </w:p>
        </w:tc>
        <w:tc>
          <w:tcPr>
            <w:tcW w:w="5799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许可白名单 + 来源快照 + 来源变更拒绝静默覆盖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学生隐私与越权</w:t>
            </w:r>
          </w:p>
        </w:tc>
        <w:tc>
          <w:tcPr>
            <w:tcW w:w="5799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学生接口只认 JWT 身份，不信任请求体中的学生 ID；教师端校验角色与在册师生关系；文件和报告下载二次鉴权；密钥不下发前端</w:t>
            </w:r>
          </w:p>
        </w:tc>
      </w:tr>
      <w:tr>
        <w:trPr>
          <w:cantSplit/>
        </w:trPr>
        <w:tc>
          <w:tcPr>
            <w:tcW w:w="2512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内容规模不足</w:t>
            </w:r>
          </w:p>
        </w:tc>
        <w:tc>
          <w:tcPr>
            <w:tcW w:w="5799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已跑通五学科扩展路径，且有可复制的扩科 SOP</w:t>
            </w:r>
          </w:p>
        </w:tc>
      </w:tr>
      <w:tr>
        <w:trPr>
          <w:cantSplit/>
        </w:trPr>
        <w:tc>
          <w:tcPr>
            <w:tcW w:w="2512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性能未经压测</w:t>
            </w:r>
          </w:p>
        </w:tc>
        <w:tc>
          <w:tcPr>
            <w:tcW w:w="5799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明确标注未验收，不报性能数字；工程上已有数据库锁、分页、限流与有界重试</w:t>
            </w:r>
          </w:p>
        </w:tc>
      </w:tr>
    </w:tbl>
    <w:p>
      <w:pPr>
        <w:spacing w:before="0" w:after="0" w:line="240" w:lineRule="auto"/>
      </w:pPr>
    </w:p>
    <w:p>
      <w:pPr>
        <w:pStyle w:val="Heading1"/>
        <w:pageBreakBefore/>
      </w:pPr>
      <w:r>
        <w:rPr>
          <w:rFonts w:ascii="Times New Roman" w:hAnsi="Times New Roman" w:eastAsia="宋体" w:cs="Times New Roman"/>
          <w:sz w:val="24"/>
          <w:szCs w:val="24"/>
        </w:rPr>
        <w:t xml:space="preserve">四、作品功能和原型设计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4.1 功能地图</w:t>
      </w:r>
    </w:p>
    <w:p>
      <w:pPr>
        <w:pStyle w:val="TableText"/>
        <w:shd w:val="clear" w:color="auto" w:fill="F7F7F7"/>
        <w:snapToGrid w:val="0"/>
        <w:spacing w:before="2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计智引擎 LearnMate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├── 学生端（React 19 + TS + Vite，:5173）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登录 / 注册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首页（学习概览：课程、画像、路径、资源、测验、CodeLab 聚合）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学习画像（七维字段 · 证据 · 置信度 · 版本历史 · 对话式提取）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学习路径（阶段 · 完成条件 · 版本 · 调整事件）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资源中心（五类资源 · 生成时间线 · 审核卡 · 进度与完成证据）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AI 学习助手（多会话 · 引用 · 质量 · 追问 · 画像建议 · 执行轨迹）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知识图谱（D3 图 · 本地知识库统计 · 薄弱点）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测验（组卷 · 计时 · 提示 · 交卷 · 后端判分）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错题（错因 · 建议 · 状态更新）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CodeLab（练习 · 运行 · 提交 · 解释 · 路径资格）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├── 学习评估（风险 · 建议 · 证据 · 下一步）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└── 数字讲师（独立入口 /digital-tutor.html）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└── 教师端（React 19 + TS + Vite，:5174）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├── 工作台（班级与学生概览）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├── 班级分析（测验趋势 · 共性薄弱点）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├── 学生详情（画像历史 · 掌握度 · 路径 · 资源 · 检索活动）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├── 资源请求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├── Agent 日志</w:t>
      </w:r>
    </w:p>
    <w:p>
      <w:pPr>
        <w:pStyle w:val="TableText"/>
        <w:shd w:val="clear" w:color="auto" w:fill="F7F7F7"/>
        <w:snapToGrid w:val="0"/>
        <w:spacing w:before="0" w:after="2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└── 版本化 PDF 学习报告（含校验与下载鉴权）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4.2 核心功能详述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4.2.1 七维学习画像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4-1　七维学习画像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项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入口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学生端“学习画像”页；也支持在学习助手对话中自然语言提取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七个维度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专业与年级、当前课程、已有基础、学习目标、讲解偏好、资源偏好、节奏与时间预算（分钟/周）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处理逻辑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每个字段保存来源、证据、置信度；低置信度提取不得覆盖已有高置信度值；学生主动编辑确认时置信度为 1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版本机制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画像确认或活动更新写入递增版本，保留变更原因与证据；接口最多返回最近 30 个历史版本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输出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可版本化的画像 + 用于生成的上下文摘要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AI 角色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模型负责把对话提取为结构化字段；模型不可用时退化为“仅保留明确表达”的规则提取，界面如实提示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界面证据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七维字段卡、证据文本、版本时间轴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4.2.2 动态学习路径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4-2　动态学习路径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项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入口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学生端“学习路径”页；由资源生成流程或独立接口触发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输入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当前画像、知识点掌握度、真实题库目录、真实 CodeLab 练习目录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处理逻辑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生成候选路径后通过字段白名单 + 依赖无环 + 真实 ID 校验；保存语义指纹，语义未变化不产生新版本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阶段完成条件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仅允许三种：quiz（真实测验提交）、codelab（允许形成路径证据的练习且判定成功）、resource（已打开或下载 + 进度 100% + 累计至少 30 秒）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输出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版本化路径、阶段绑定、调整事件记录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AI 角色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模型可给出路径建议或严格 JSON；不通过校验即回退为按掌握度与目录的规则规划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4.2.3 五类学习资源生成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4-3　五类学习资源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154"/>
        <w:gridCol w:w="2770"/>
        <w:gridCol w:w="1847"/>
        <w:gridCol w:w="1385"/>
        <w:gridCol w:w="1154"/>
      </w:tblGrid>
      <w:tr>
        <w:trPr>
          <w:cantSplit/>
          <w:tblHeader/>
        </w:trPr>
        <w:tc>
          <w:tcPr>
            <w:tcW w:w="115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资源</w:t>
            </w:r>
          </w:p>
        </w:tc>
        <w:tc>
          <w:tcPr>
            <w:tcW w:w="2770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内容结构</w:t>
            </w:r>
          </w:p>
        </w:tc>
        <w:tc>
          <w:tcPr>
            <w:tcW w:w="1847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个性化输入</w:t>
            </w:r>
          </w:p>
        </w:tc>
        <w:tc>
          <w:tcPr>
            <w:tcW w:w="1385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审核</w:t>
            </w:r>
          </w:p>
        </w:tc>
        <w:tc>
          <w:tcPr>
            <w:tcW w:w="115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路径证据资格</w:t>
            </w:r>
          </w:p>
        </w:tc>
      </w:tr>
      <w:tr>
        <w:trPr>
          <w:cantSplit/>
        </w:trPr>
        <w:tc>
          <w:tcPr>
            <w:tcW w:w="115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学习讲义 study_note</w:t>
            </w:r>
          </w:p>
        </w:tc>
        <w:tc>
          <w:tcPr>
            <w:tcW w:w="277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目标、基础摘要、核心概念、图示说明、方法/公式、例题、常见错误、练习任务、学习建议、引用依据</w:t>
            </w:r>
          </w:p>
        </w:tc>
        <w:tc>
          <w:tcPr>
            <w:tcW w:w="184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阶段目标、掌握度、错误模式、讲解与资源偏好</w:t>
            </w:r>
          </w:p>
        </w:tc>
        <w:tc>
          <w:tcPr>
            <w:tcW w:w="1385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Schema + 规则 + 可选模型</w:t>
            </w:r>
          </w:p>
        </w:tc>
        <w:tc>
          <w:tcPr>
            <w:tcW w:w="115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满足完成条件时可用</w:t>
            </w:r>
          </w:p>
        </w:tc>
      </w:tr>
      <w:tr>
        <w:trPr>
          <w:cantSplit/>
        </w:trPr>
        <w:tc>
          <w:tcPr>
            <w:tcW w:w="115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思维导图 mind_map</w:t>
            </w:r>
          </w:p>
        </w:tc>
        <w:tc>
          <w:tcPr>
            <w:tcW w:w="2770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树形节点（类型/重要度/描述/引用）、跨节点关系、重点与易错节点、推荐顺序；限 8–40 节点、深度 ≤ 6</w:t>
            </w:r>
          </w:p>
        </w:tc>
        <w:tc>
          <w:tcPr>
            <w:tcW w:w="184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同上</w:t>
            </w:r>
          </w:p>
        </w:tc>
        <w:tc>
          <w:tcPr>
            <w:tcW w:w="138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Schema + 引用 + 审核</w:t>
            </w:r>
          </w:p>
        </w:tc>
        <w:tc>
          <w:tcPr>
            <w:tcW w:w="115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满足完成条件时可用</w:t>
            </w:r>
          </w:p>
        </w:tc>
      </w:tr>
      <w:tr>
        <w:trPr>
          <w:cantSplit/>
        </w:trPr>
        <w:tc>
          <w:tcPr>
            <w:tcW w:w="115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演示文稿 pptx</w:t>
            </w:r>
          </w:p>
        </w:tc>
        <w:tc>
          <w:tcPr>
            <w:tcW w:w="277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真实可编辑 OOXML 文件（非截图），6–15 页，三套稳定主题，11 种语义页型，含演讲备注与参考资料页</w:t>
            </w:r>
          </w:p>
        </w:tc>
        <w:tc>
          <w:tcPr>
            <w:tcW w:w="184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同上 + 主题与页面语义</w:t>
            </w:r>
          </w:p>
        </w:tc>
        <w:tc>
          <w:tcPr>
            <w:tcW w:w="1385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Schema + 引用 + OOXML 结构测试</w:t>
            </w:r>
          </w:p>
        </w:tc>
        <w:tc>
          <w:tcPr>
            <w:tcW w:w="115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满足完成条件时可用</w:t>
            </w:r>
          </w:p>
        </w:tc>
      </w:tr>
      <w:tr>
        <w:trPr>
          <w:cantSplit/>
        </w:trPr>
        <w:tc>
          <w:tcPr>
            <w:tcW w:w="115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练习包 quiz_pack</w:t>
            </w:r>
          </w:p>
        </w:tc>
        <w:tc>
          <w:tcPr>
            <w:tcW w:w="2770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5–10 道题、难度分布、生成依据、解析与个性化提示</w:t>
            </w:r>
          </w:p>
        </w:tc>
        <w:tc>
          <w:tcPr>
            <w:tcW w:w="184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掌握度、错因、允许题目</w:t>
            </w:r>
          </w:p>
        </w:tc>
        <w:tc>
          <w:tcPr>
            <w:tcW w:w="138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真实题目 ID + 难度 + 审核</w:t>
            </w:r>
          </w:p>
        </w:tc>
        <w:tc>
          <w:tcPr>
            <w:tcW w:w="115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由真实测验证据驱动</w:t>
            </w:r>
          </w:p>
        </w:tc>
      </w:tr>
      <w:tr>
        <w:trPr>
          <w:cantSplit/>
        </w:trPr>
        <w:tc>
          <w:tcPr>
            <w:tcW w:w="115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代码案例 code_case</w:t>
            </w:r>
          </w:p>
        </w:tc>
        <w:tc>
          <w:tcPr>
            <w:tcW w:w="2770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背景、目标、语言、起始代码、任务、输入输出、测试用例、边界、解释、常见错误、进阶挑战</w:t>
            </w:r>
          </w:p>
        </w:tc>
        <w:tc>
          <w:tcPr>
            <w:tcW w:w="184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允许练习、基础、目标</w:t>
            </w:r>
          </w:p>
        </w:tc>
        <w:tc>
          <w:tcPr>
            <w:tcW w:w="1385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真实练习 ID / 生成态 + 审核</w:t>
            </w:r>
          </w:p>
        </w:tc>
        <w:tc>
          <w:tcPr>
            <w:tcW w:w="115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仅 verified 且成功提交</w:t>
            </w:r>
          </w:p>
        </w:tc>
      </w:tr>
    </w:tbl>
    <w:p>
      <w:pPr>
        <w:spacing w:before="0" w:after="0" w:line="240" w:lineRule="auto"/>
      </w:pP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并发与去重：同一阶段同类型资源使用数据库锁避免并发冲突；上下文与内容指纹相同不创建无意义版本；PPTX 限制 25 MiB，保存 SHA-256 与安全相对路径。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4.2.4 可解释异步生成（本作品的重点交互）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4-4　可解释异步生成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项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实现基础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resource_generation_jobs + resource_generation_events 持久化任务与阶段事件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阶段机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queued → profile_analysis → learning_context_analysis → knowledge_retrieval → content_generation → deterministic_review → ai_review → rendering → persistence → path_linking → completed（失败进入 failed）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事件流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SSE 事件：job / stage / review / resource / error / complete / heartbeat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四个可验证特性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① 页面刷新后从持久化快照恢复任务；② SSE 断开不取消后端任务；③ 重连不会重复生成资源；④ 进度单调递增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关键声明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进度来自真实后端工作流，不使用前端定时器伪造动画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4.2.5 AI 学习助手（答疑）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4-5　AI 学习助手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项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处理链路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规则路由识别学科与知识点 → 检索本地讲义 → 模型生成讲解 → 引用校验 + 质量检查（首次不合格自动修正一次）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四种来源模式（界面如实标注）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① 有证据 + 模型：rag_model（模型回答并用本地资料校验引用）；② 无本地证据：model_only（提示“使用模型通识知识，暂未引用本地课程资料”）；③ 模型不可用：deterministic_fallback（本地资料整理）；④ 问题不清：clarification（先反问）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回答附带信息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Markdown 正文、代码块、引用列表（含来源标题/章节/许可/版本/摘录/支持度）、追问建议、画像修改建议、执行轨迹、质量指标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会话能力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多会话创建、列表、恢复、归档；页面刷新可恢复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4.2.6 测验 · 错题 · 掌握度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组卷：题目来自真实题库，按学科/知识点/难度组织；支持自适应出题、提示、同类题。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判分：分数由后端读取真实题目重算，不信任前端。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更新：提交后更新知识点掌握度、错误模式（含出现次数、置信度、最近证据）、画像版本。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错题：展示错因、证据、建议与推荐行动。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4.2.7 CodeLab 受限练习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练习来自目录，含起始代码、样例输入输出、测试用例（本机实测 27 条测试用例）。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支持运行、提交、结果解释；verified 与 generated 严格分离。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路径资格：只有目录中允许形成路径证据且判定成功的提交才能推进阶段；AI 生成的代码案例只记为 completed_unverified。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边界声明：这是受限演示运行器，不是任意不可信代码安全沙箱，也不是实时监考。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4.2.8 知识图谱与知识库可视化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本地知识库面板按课程显示讲义数、知识块数、知识点数（本机实测：5 学科 / 56 讲义 / 441 知识块 / 105 知识点）。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D3 思维导图交互、搜索、缩放；薄弱知识点标注。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意图：把“系统掌握了多少知识”变成学生和教师都能看懂的界面事实。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4.2.9 学习评估与报告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输入：学习结果、答题记录、阶段表现。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输出：阶段总结、风险提示、下一步建议（指标来自确定性快照，不由模型编造）。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报告：教师端可生成版本化 PDF 学习报告，含校验值与下载鉴权。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4.2.10 数字讲师（独立 MVP）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独立入口 /digital-tutor.html，原创 2D 角色，浏览器语音播报，音频振幅驱动口型，支持文字降级与无障碍。</w:t>
      </w:r>
    </w:p>
    <w:p>
      <w:pPr>
        <w:pStyle w:val="NoteBox"/>
      </w:pPr>
      <w:r>
        <w:rPr>
          <w:rFonts w:ascii="Times New Roman" w:hAnsi="Times New Roman" w:eastAsia="宋体" w:cs="Times New Roman"/>
          <w:sz w:val="24"/>
          <w:szCs w:val="24"/>
        </w:rPr>
        <w:t xml:space="preserve">口径说明：这是隔离的原创 2D MVP，不是完整 Live2D 商业数字人，尚未接入正式资源中心与 PPT 微课主链路。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4.2.11 教师端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班级与学生概览、班级分析与测验分析、学生详情（画像历史/掌握度/路径/资源/检索活动）、资源请求、Agent 运行日志、版本化 PDF 报告。所有数据受角色 + 在册师生关系双重约束。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4.2.12 演示数据生命周期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demo:seed（灌入演示数据）、demo:verify（17 项校验）、demo:reset（仅在非生产环境且携带确认值时执行，且只删除演示账号及其关联数据）。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4.3 原型设计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4.3.1 设计定位与视觉规范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4-6　视觉设计规范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187"/>
        <w:gridCol w:w="6124"/>
      </w:tblGrid>
      <w:tr>
        <w:trPr>
          <w:cantSplit/>
          <w:tblHeader/>
        </w:trPr>
        <w:tc>
          <w:tcPr>
            <w:tcW w:w="2187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项</w:t>
            </w:r>
          </w:p>
        </w:tc>
        <w:tc>
          <w:tcPr>
            <w:tcW w:w="612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规范</w:t>
            </w:r>
          </w:p>
        </w:tc>
      </w:tr>
      <w:tr>
        <w:trPr>
          <w:cantSplit/>
        </w:trPr>
        <w:tc>
          <w:tcPr>
            <w:tcW w:w="218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品牌性格</w:t>
            </w:r>
          </w:p>
        </w:tc>
        <w:tc>
          <w:tcPr>
            <w:tcW w:w="612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简约、高级、沉静</w:t>
            </w:r>
          </w:p>
        </w:tc>
      </w:tr>
      <w:tr>
        <w:trPr>
          <w:cantSplit/>
        </w:trPr>
        <w:tc>
          <w:tcPr>
            <w:tcW w:w="218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主色</w:t>
            </w:r>
          </w:p>
        </w:tc>
        <w:tc>
          <w:tcPr>
            <w:tcW w:w="612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黑、白、灰（无彩色为主）</w:t>
            </w:r>
          </w:p>
        </w:tc>
      </w:tr>
      <w:tr>
        <w:trPr>
          <w:cantSplit/>
        </w:trPr>
        <w:tc>
          <w:tcPr>
            <w:tcW w:w="218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强调色</w:t>
            </w:r>
          </w:p>
        </w:tc>
        <w:tc>
          <w:tcPr>
            <w:tcW w:w="612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翡翠绿（约 #10B981），仅用于按钮、链接与关键强调</w:t>
            </w:r>
          </w:p>
        </w:tc>
      </w:tr>
      <w:tr>
        <w:trPr>
          <w:cantSplit/>
        </w:trPr>
        <w:tc>
          <w:tcPr>
            <w:tcW w:w="2187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明确避免</w:t>
            </w:r>
          </w:p>
        </w:tc>
        <w:tc>
          <w:tcPr>
            <w:tcW w:w="612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渐变背景滥用、圆角卡片堆砌、过多阴影、花哨动效、emoji 图标、紫色渐变式“AI 风”</w:t>
            </w:r>
          </w:p>
        </w:tc>
      </w:tr>
      <w:tr>
        <w:trPr>
          <w:cantSplit/>
        </w:trPr>
        <w:tc>
          <w:tcPr>
            <w:tcW w:w="2187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设计原则</w:t>
            </w:r>
          </w:p>
        </w:tc>
        <w:tc>
          <w:tcPr>
            <w:tcW w:w="612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内容为王 · 留白呼吸 · 克制用色 · 清晰层级 · 高效交互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4.3.2 交互与可访问性规范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4-7　交互与可访问性规范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规范项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要求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响应式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四个视口（390 / 768 / 1024 / 1440）下 10 个主页面无横向溢出、无文字遮挡、首要操作不出视口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字号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中文正文不低于 14px；长文 16px、行高 1.75；产品元数据不低于 12px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触控与键盘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常用交互控件不小于 44×44px；键盘 focus-visible 清晰可见；动态效果尊重“减少动态”偏好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状态完整性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每个页面必须具备真实的 loading / empty / error / disabled / retry 状态；不得用成功态 UI 代替未知状态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信息层级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结论先行，证据可折叠；长文（2500 字以上 AI 回答）排版可用</w:t>
            </w:r>
          </w:p>
        </w:tc>
      </w:tr>
    </w:tbl>
    <w:p>
      <w:pPr>
        <w:spacing w:before="0" w:after="0" w:line="240" w:lineRule="auto"/>
      </w:pP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4.3.3 关键页面原型</w:t>
      </w:r>
    </w:p>
    <w:p>
      <w:pPr>
        <w:pStyle w:val="NoteBox"/>
      </w:pPr>
      <w:r>
        <w:rPr>
          <w:rFonts w:ascii="Times New Roman" w:hAnsi="Times New Roman" w:eastAsia="宋体" w:cs="Times New Roman"/>
          <w:sz w:val="24"/>
          <w:szCs w:val="24"/>
        </w:rPr>
        <w:t xml:space="preserve">以下为文字线框示意，正式参赛文档请替换为真实产品截图——不使用生成式假界面。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原型 A　学生首页（学习概览）</w:t>
      </w:r>
    </w:p>
    <w:p>
      <w:pPr>
        <w:pStyle w:val="TableText"/>
        <w:shd w:val="clear" w:color="auto" w:fill="F7F7F7"/>
        <w:snapToGrid w:val="0"/>
        <w:spacing w:before="2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计智引擎 LearnMate            [课程选择]        学生：张三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当前课程：数据结构                 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┌─ 画像完整度 ─┐ ┌─ 当前路径阶段 ─┐ ┌─ 待复习 ────────┐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│ 7/7 · 已确认 │ │ 阶段 2 · 图论  │ │ 错题 2 · 到期 1 │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└──────────────┘ └────────────────┘ └─────────────────┘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                                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最近活动：测验提交(3 天前) · 生成讲义(1 天前) · CodeLab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                                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[继续学习路径]   [生成阶段资源]   [去答疑]                  │</w:t>
      </w:r>
    </w:p>
    <w:p>
      <w:pPr>
        <w:pStyle w:val="TableText"/>
        <w:shd w:val="clear" w:color="auto" w:fill="F7F7F7"/>
        <w:snapToGrid w:val="0"/>
        <w:spacing w:before="0" w:after="2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原型 B　学习画像页（七维字段 + 证据 + 版本）</w:t>
      </w:r>
    </w:p>
    <w:p>
      <w:pPr>
        <w:pStyle w:val="TableText"/>
        <w:shd w:val="clear" w:color="auto" w:fill="F7F7F7"/>
        <w:snapToGrid w:val="0"/>
        <w:spacing w:before="2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学习画像                              [对话式补充画像]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专业与年级  计算机科学与技术 · 大二      置信度 1.0  ▸证据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当前课程    数据结构                    置信度 1.0  ▸证据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已有基础    C 语言、离散数学            置信度 0.8  ▸证据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学习目标    掌握树与图、期末 85+        置信度 1.0  ▸证据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讲解偏好    先图示后推导                置信度 0.7  ▸证据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资源偏好    讲义 + 思维导图             置信度 0.9  ▸证据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时间预算    每周 360 分钟               置信度 1.0  ▸证据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版本历史 ▸ v3(今天) v2(3 天前) v1(首次确认)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v3 变更原因：测验暴露“红黑树旋转”薄弱，更新已有基础       │</w:t>
      </w:r>
    </w:p>
    <w:p>
      <w:pPr>
        <w:pStyle w:val="TableText"/>
        <w:shd w:val="clear" w:color="auto" w:fill="F7F7F7"/>
        <w:snapToGrid w:val="0"/>
        <w:spacing w:before="0" w:after="2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原型 C　资源生成时间线（可解释异步生成）</w:t>
      </w:r>
    </w:p>
    <w:p>
      <w:pPr>
        <w:pStyle w:val="TableText"/>
        <w:shd w:val="clear" w:color="auto" w:fill="F7F7F7"/>
        <w:snapToGrid w:val="0"/>
        <w:spacing w:before="2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正在生成：学习讲义 · 阶段 2 图论   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任务 #a41f · 可离开页面，刷新后自动恢复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✓ 画像分析            ✓ 学习上下文分析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✓ 知识检索（命中 6 个知识块）      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● 内容生成中…                      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○ 规则审核   ○ 模型审核   ○ 渲染   ○ 入库   ○ 绑定路径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审核结果（生成后显示）：           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总分 86/100   事实 26/30 · 结构 18/20 · 个性化 17/20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可读性 13/15 · 难度 8/10 · 安全 5/5     [模型审核未执行]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引用：3 条   覆盖率 87%                                     │</w:t>
      </w:r>
    </w:p>
    <w:p>
      <w:pPr>
        <w:pStyle w:val="TableText"/>
        <w:shd w:val="clear" w:color="auto" w:fill="F7F7F7"/>
        <w:snapToGrid w:val="0"/>
        <w:spacing w:before="0" w:after="2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原型 D　教师工作台（班级分析）</w:t>
      </w:r>
    </w:p>
    <w:p>
      <w:pPr>
        <w:pStyle w:val="TableText"/>
        <w:shd w:val="clear" w:color="auto" w:fill="F7F7F7"/>
        <w:snapToGrid w:val="0"/>
        <w:spacing w:before="2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教师工作台        班级：计算机 2504        [导出 PDF 报告]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班级掌握度分布 ███████░░░  平均 72%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共性薄弱知识点：红黑树旋转(58% 错) · 图的遍历(41% 错)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                                 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学生列表                                               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张三   掌握度 68%  ↓  风险：路径阶段停滞 5 天    ▸详情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李四   掌握度 81%  →  最近 3 次测验稳定          ▸详情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 王五   掌握度 55%  ↓  错因集中于“指针与内存”     ▸详情     │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│ [查看 Agent 日志]   [发起资源请求]                          │</w:t>
      </w:r>
    </w:p>
    <w:p>
      <w:pPr>
        <w:pStyle w:val="TableText"/>
        <w:shd w:val="clear" w:color="auto" w:fill="F7F7F7"/>
        <w:snapToGrid w:val="0"/>
        <w:spacing w:before="0" w:after="2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4.3.4 系统架构与关键流程</w:t>
      </w:r>
    </w:p>
    <w:p>
      <w:pPr>
        <w:pStyle w:val="TableText"/>
        <w:shd w:val="clear" w:color="auto" w:fill="F7F7F7"/>
        <w:snapToGrid w:val="0"/>
        <w:spacing w:before="2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学生端 React ─┐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          ├─ Nginx ──/api──&gt; Express (Node 24)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教师端 React ─┘                     ├─ JWT 认证 + 角色/关系校验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                                ├─ 多智能体编排器 ──&gt; 大模型（可选，四级开关）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                                ├─ 画像 / 路径 / 资源 / 审核 / RAG / 测验 / CodeLab / 评估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                                  └─ MySQL 8.4 + 文件存储（资源 / 报告）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四条核心流：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① 请求流：浏览器 → Nginx → 同源 /api → 身份与角色校验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② 数据流：画像、掌握度、错因、路径版本、题目、提交、资源版本、检索运行、引用、报告元数据</w:t>
      </w:r>
    </w:p>
    <w:p>
      <w:pPr>
        <w:pStyle w:val="TableText"/>
        <w:shd w:val="clear" w:color="auto" w:fill="F7F7F7"/>
        <w:snapToGrid w:val="0"/>
        <w:spacing w:before="0" w:after="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③ Agent 调用流：统一上下文 → 角色调用 → 记录状态/耗时/来源 → 不合格进确定性回退</w:t>
      </w:r>
    </w:p>
    <w:p>
      <w:pPr>
        <w:pStyle w:val="TableText"/>
        <w:shd w:val="clear" w:color="auto" w:fill="F7F7F7"/>
        <w:snapToGrid w:val="0"/>
        <w:spacing w:before="0" w:after="20" w:line="240" w:lineRule="auto"/>
        <w:ind w:left="120" w:leftChars="50"/>
        <w:jc w:val="left"/>
      </w:pPr>
      <w:r>
        <w:rPr>
          <w:rFonts w:ascii="Consolas" w:hAnsi="Consolas" w:eastAsia="宋体" w:cs="Consolas"/>
          <w:sz w:val="17"/>
          <w:szCs w:val="17"/>
        </w:rPr>
        <w:t xml:space="preserve">  ④ 文件流：临时文件 → 大小与文件头校验 → 原子重命名 → SHA-256 → 下载二次鉴权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4.3.5 数据模型概览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本机实测共 44 张数据表，按业务域分组如下：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4-8　数据模型分组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2078"/>
        <w:gridCol w:w="6234"/>
      </w:tblGrid>
      <w:tr>
        <w:trPr>
          <w:cantSplit/>
          <w:tblHeader/>
        </w:trPr>
        <w:tc>
          <w:tcPr>
            <w:tcW w:w="2078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域</w:t>
            </w:r>
          </w:p>
        </w:tc>
        <w:tc>
          <w:tcPr>
            <w:tcW w:w="623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代表性表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身份与班级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users、teacher_classes、teacher_class_students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画像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student_profiles、student_profile_versions、profile_dialogue_sessions / messages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路径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student_learning_paths、learning_path_versions、learning_path_adjustment_events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资源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learning_resources、learning_resource_versions、learning_resource_progress、learning_resource_files、resource_generation_jobs / events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知识库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knowledge_sources、knowledge_documents、knowledge_chunks、knowledge_points、knowledge_point_prerequisites、knowledge_point_aliases、knowledge_chunk_links、knowledge_retrieval_runs / results、generation_citations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测评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question_bank、open_question_bank、quiz_attempts、quiz_attempt_answers、wrong_questions、student_knowledge_mastery、student_error_patterns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代码练习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code_exercises、code_exercise_private、code_test_cases、code_submissions</w:t>
            </w:r>
          </w:p>
        </w:tc>
      </w:tr>
      <w:tr>
        <w:trPr>
          <w:cantSplit/>
        </w:trPr>
        <w:tc>
          <w:tcPr>
            <w:tcW w:w="2078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评估与报告</w:t>
            </w:r>
          </w:p>
        </w:tc>
        <w:tc>
          <w:tcPr>
            <w:tcW w:w="623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learning_assessment_reports</w:t>
            </w:r>
          </w:p>
        </w:tc>
      </w:tr>
      <w:tr>
        <w:trPr>
          <w:cantSplit/>
        </w:trPr>
        <w:tc>
          <w:tcPr>
            <w:tcW w:w="2078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可观测</w:t>
            </w:r>
          </w:p>
        </w:tc>
        <w:tc>
          <w:tcPr>
            <w:tcW w:w="6234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agent_run_logs、ai_request_logs、student_learning_events</w:t>
            </w:r>
          </w:p>
        </w:tc>
      </w:tr>
    </w:tbl>
    <w:p>
      <w:pPr>
        <w:spacing w:before="0" w:after="0" w:line="240" w:lineRule="auto"/>
      </w:pPr>
    </w:p>
    <w:p>
      <w:pPr>
        <w:pStyle w:val="Heading1"/>
        <w:pageBreakBefore/>
      </w:pPr>
      <w:r>
        <w:rPr>
          <w:rFonts w:ascii="Times New Roman" w:hAnsi="Times New Roman" w:eastAsia="宋体" w:cs="Times New Roman"/>
          <w:sz w:val="24"/>
          <w:szCs w:val="24"/>
        </w:rPr>
        <w:t xml:space="preserve">五、特色分析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5.1 与同类方案的差异对比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5-1　同类方案差异对比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204"/>
        <w:gridCol w:w="1445"/>
        <w:gridCol w:w="1325"/>
        <w:gridCol w:w="1325"/>
        <w:gridCol w:w="1204"/>
        <w:gridCol w:w="1806"/>
      </w:tblGrid>
      <w:tr>
        <w:trPr>
          <w:cantSplit/>
          <w:tblHeader/>
        </w:trPr>
        <w:tc>
          <w:tcPr>
            <w:tcW w:w="120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维度</w:t>
            </w:r>
          </w:p>
        </w:tc>
        <w:tc>
          <w:tcPr>
            <w:tcW w:w="1445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MOOC / 在线课程</w:t>
            </w:r>
          </w:p>
        </w:tc>
        <w:tc>
          <w:tcPr>
            <w:tcW w:w="1325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题库类 App</w:t>
            </w:r>
          </w:p>
        </w:tc>
        <w:tc>
          <w:tcPr>
            <w:tcW w:w="1325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通用 AI 助手</w:t>
            </w:r>
          </w:p>
        </w:tc>
        <w:tc>
          <w:tcPr>
            <w:tcW w:w="120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学习管理系统</w:t>
            </w:r>
          </w:p>
        </w:tc>
        <w:tc>
          <w:tcPr>
            <w:tcW w:w="1806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本作品</w:t>
            </w:r>
          </w:p>
        </w:tc>
      </w:tr>
      <w:tr>
        <w:trPr>
          <w:cantSplit/>
        </w:trPr>
        <w:tc>
          <w:tcPr>
            <w:tcW w:w="12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学情状态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行为日志</w:t>
            </w:r>
          </w:p>
        </w:tc>
        <w:tc>
          <w:tcPr>
            <w:tcW w:w="132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做题正确率</w:t>
            </w:r>
          </w:p>
        </w:tc>
        <w:tc>
          <w:tcPr>
            <w:tcW w:w="132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无</w:t>
            </w:r>
          </w:p>
        </w:tc>
        <w:tc>
          <w:tcPr>
            <w:tcW w:w="12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出勤与成绩</w:t>
            </w:r>
          </w:p>
        </w:tc>
        <w:tc>
          <w:tcPr>
            <w:tcW w:w="1806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七维画像 + 掌握度 + 错因，带证据与版本</w:t>
            </w:r>
          </w:p>
        </w:tc>
      </w:tr>
      <w:tr>
        <w:trPr>
          <w:cantSplit/>
        </w:trPr>
        <w:tc>
          <w:tcPr>
            <w:tcW w:w="12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资源生成</w:t>
            </w:r>
          </w:p>
        </w:tc>
        <w:tc>
          <w:tcPr>
            <w:tcW w:w="144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统一生产</w:t>
            </w:r>
          </w:p>
        </w:tc>
        <w:tc>
          <w:tcPr>
            <w:tcW w:w="132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固定题库</w:t>
            </w:r>
          </w:p>
        </w:tc>
        <w:tc>
          <w:tcPr>
            <w:tcW w:w="132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单轮生成</w:t>
            </w:r>
          </w:p>
        </w:tc>
        <w:tc>
          <w:tcPr>
            <w:tcW w:w="12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无</w:t>
            </w:r>
          </w:p>
        </w:tc>
        <w:tc>
          <w:tcPr>
            <w:tcW w:w="1806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五类资源，按画像/路径/掌握度生成</w:t>
            </w:r>
          </w:p>
        </w:tc>
      </w:tr>
      <w:tr>
        <w:trPr>
          <w:cantSplit/>
        </w:trPr>
        <w:tc>
          <w:tcPr>
            <w:tcW w:w="12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生成可解释性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—</w:t>
            </w:r>
          </w:p>
        </w:tc>
        <w:tc>
          <w:tcPr>
            <w:tcW w:w="132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—</w:t>
            </w:r>
          </w:p>
        </w:tc>
        <w:tc>
          <w:tcPr>
            <w:tcW w:w="132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不可追溯</w:t>
            </w:r>
          </w:p>
        </w:tc>
        <w:tc>
          <w:tcPr>
            <w:tcW w:w="12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—</w:t>
            </w:r>
          </w:p>
        </w:tc>
        <w:tc>
          <w:tcPr>
            <w:tcW w:w="1806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11 阶段持久化事件 + SSE + 刷新恢复</w:t>
            </w:r>
          </w:p>
        </w:tc>
      </w:tr>
      <w:tr>
        <w:trPr>
          <w:cantSplit/>
        </w:trPr>
        <w:tc>
          <w:tcPr>
            <w:tcW w:w="12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内容可信度</w:t>
            </w:r>
          </w:p>
        </w:tc>
        <w:tc>
          <w:tcPr>
            <w:tcW w:w="144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人工审核</w:t>
            </w:r>
          </w:p>
        </w:tc>
        <w:tc>
          <w:tcPr>
            <w:tcW w:w="132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人工审核</w:t>
            </w:r>
          </w:p>
        </w:tc>
        <w:tc>
          <w:tcPr>
            <w:tcW w:w="132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依赖 Prompt 软约束</w:t>
            </w:r>
          </w:p>
        </w:tc>
        <w:tc>
          <w:tcPr>
            <w:tcW w:w="12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人工审核</w:t>
            </w:r>
          </w:p>
        </w:tc>
        <w:tc>
          <w:tcPr>
            <w:tcW w:w="1806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引用验证 + ID 白名单 + 六维审核，无证据即拒答</w:t>
            </w:r>
          </w:p>
        </w:tc>
      </w:tr>
      <w:tr>
        <w:trPr>
          <w:cantSplit/>
        </w:trPr>
        <w:tc>
          <w:tcPr>
            <w:tcW w:w="12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完成标准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看完即完成</w:t>
            </w:r>
          </w:p>
        </w:tc>
        <w:tc>
          <w:tcPr>
            <w:tcW w:w="132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做完即完成</w:t>
            </w:r>
          </w:p>
        </w:tc>
        <w:tc>
          <w:tcPr>
            <w:tcW w:w="132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无</w:t>
            </w:r>
          </w:p>
        </w:tc>
        <w:tc>
          <w:tcPr>
            <w:tcW w:w="12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提交即完成</w:t>
            </w:r>
          </w:p>
        </w:tc>
        <w:tc>
          <w:tcPr>
            <w:tcW w:w="1806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quiz / codelab / resource 三类资格，含时长与进度门槛</w:t>
            </w:r>
          </w:p>
        </w:tc>
      </w:tr>
      <w:tr>
        <w:trPr>
          <w:cantSplit/>
        </w:trPr>
        <w:tc>
          <w:tcPr>
            <w:tcW w:w="12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教师视角</w:t>
            </w:r>
          </w:p>
        </w:tc>
        <w:tc>
          <w:tcPr>
            <w:tcW w:w="144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统计报表</w:t>
            </w:r>
          </w:p>
        </w:tc>
        <w:tc>
          <w:tcPr>
            <w:tcW w:w="132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无</w:t>
            </w:r>
          </w:p>
        </w:tc>
        <w:tc>
          <w:tcPr>
            <w:tcW w:w="1325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无</w:t>
            </w:r>
          </w:p>
        </w:tc>
        <w:tc>
          <w:tcPr>
            <w:tcW w:w="12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成绩管理</w:t>
            </w:r>
          </w:p>
        </w:tc>
        <w:tc>
          <w:tcPr>
            <w:tcW w:w="1806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关系隔离的班级分析 + 版本化 PDF 报告 + Agent 日志</w:t>
            </w:r>
          </w:p>
        </w:tc>
      </w:tr>
      <w:tr>
        <w:trPr>
          <w:cantSplit/>
        </w:trPr>
        <w:tc>
          <w:tcPr>
            <w:tcW w:w="12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模型不可用时</w:t>
            </w:r>
          </w:p>
        </w:tc>
        <w:tc>
          <w:tcPr>
            <w:tcW w:w="144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不涉及</w:t>
            </w:r>
          </w:p>
        </w:tc>
        <w:tc>
          <w:tcPr>
            <w:tcW w:w="132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不涉及</w:t>
            </w:r>
          </w:p>
        </w:tc>
        <w:tc>
          <w:tcPr>
            <w:tcW w:w="1325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功能中断</w:t>
            </w:r>
          </w:p>
        </w:tc>
        <w:tc>
          <w:tcPr>
            <w:tcW w:w="12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不涉及</w:t>
            </w:r>
          </w:p>
        </w:tc>
        <w:tc>
          <w:tcPr>
            <w:tcW w:w="1806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确定性回退，主链路完整可用</w:t>
            </w:r>
          </w:p>
        </w:tc>
      </w:tr>
    </w:tbl>
    <w:p>
      <w:pPr>
        <w:spacing w:before="0" w:after="0" w:line="240" w:lineRule="auto"/>
      </w:pP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5.2 核心特色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5.2.1 特色一：证据驱动的状态闭环——模型输出不是系统事实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这是本作品与“AI 套壳应用”的根本分界。系统明确区分两层：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模型层只负责表达，系统层负责判定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路径必须通过字段白名单、依赖无环与真实 ID 校验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资源必须通过类型 Schema、引用验证与规则审核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测验分数由后端重算，掌握度由确定性规则更新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Agent 输出不合格即进入确定性回退，不能写入路径或资源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5.2.2 特色二：可解释生成——看得见的 AI 工作过程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生成过程不是黑盒等待，而是持久化的 11 个阶段事件流；任务与事件按学生身份归属，页面刷新可恢复，SSE 断开不取消任务，重连不重复生成，进度单调递增。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学生与教师都能看到 AI 每一步做了什么、卡在哪里。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5.2.3 特色三：生成即审核，无证据即拒答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六维 100 分制规则审核：事实准确性与引用 30、结构完整性 20、个性化程度 20、可读性与呈现 15、难度匹配 10、安全与格式 5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通过门槛：总分 ≥ 75、事实准确性 ≥ 20、安全与格式 = 5、无 critical 问题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引用只能指向本次检索返回的知识块，验证器检查引用缺失、越界、支持重叠与覆盖率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证据不足时返回 422 拒绝生成，不把无依据内容保存为已批准资源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模型审核为可选叠加，只能追加问题和扣分，不能抬高确定性结果；未执行时界面如实显示“模型审核未执行”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5.2.4 特色四：完成证据资格制度——堵死“点一下就完成”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阶段完成只接受三类真实证据，且各有门槛：测验需真实提交；CodeLab 需目录内允许形成路径证据的练习判定成功；资源需打开或下载 + 进度 100% + 累计至少 30 秒。AI 生成但未验证的代码案例仅记为 completed_unverified，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不能作为路径完成证据</w:t>
      </w:r>
      <w:r>
        <w:rPr>
          <w:rFonts w:ascii="Times New Roman" w:hAnsi="Times New Roman" w:eastAsia="宋体" w:cs="Times New Roman"/>
          <w:sz w:val="24"/>
          <w:szCs w:val="24"/>
        </w:rPr>
        <w:t xml:space="preserve">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5.2.5 特色五：AI 可选、失败可降级——工程韧性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四级独立开关；关闭全部 AI 能力后，五类资源走类型专用确定性构建器、路径走目录驱动规则规划、错因与评估走规则模板，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学生端与教师端主链路完整可演示</w:t>
      </w:r>
      <w:r>
        <w:rPr>
          <w:rFonts w:ascii="Times New Roman" w:hAnsi="Times New Roman" w:eastAsia="宋体" w:cs="Times New Roman"/>
          <w:sz w:val="24"/>
          <w:szCs w:val="24"/>
        </w:rPr>
        <w:t xml:space="preserve">。超时被钳制在 3–20 秒，模型异常不会拖垮请求。</w:t>
      </w:r>
    </w:p>
    <w:p>
      <w:pPr>
        <w:pStyle w:val="Heading3"/>
      </w:pPr>
      <w:r>
        <w:rPr>
          <w:rFonts w:ascii="Times New Roman" w:hAnsi="Times New Roman" w:eastAsia="宋体" w:cs="Times New Roman"/>
          <w:sz w:val="24"/>
          <w:szCs w:val="24"/>
        </w:rPr>
        <w:t xml:space="preserve">5.2.6 特色六：可追溯的个性化——个性化是被证明的，不是被宣称的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系统不以“AI 说它个性化”为证据，而以可观察差异为证据：同一知识点在不同画像、掌握度、错误模式、阶段目标、时间预算与资源偏好下，其上下文指纹、生成依据、目标学习者摘要、难度分布与阶段绑定可以不同；每个资源版本保留内容指纹、生成来源、Prompt 版本、审核记录与引用。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5.3 技术亮点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统一大模型客户端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：同时支持 HTTP 与 WebSocket 双通道，WebSocket 采用 HMAC-SHA256 签名鉴权；超时钳制在 3–20 秒，避免请求长时间挂起。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模型输出的强约束管线</w:t>
      </w:r>
      <w:r>
        <w:rPr>
          <w:rFonts w:ascii="Times New Roman" w:hAnsi="Times New Roman" w:eastAsia="宋体" w:cs="Times New Roman"/>
          <w:sz w:val="24"/>
          <w:szCs w:val="24"/>
        </w:rPr>
        <w:t xml:space="preserve">：JSON 容错解析（代码围栏剥离、括号切片抢救）→ Schema 校验 → 专用响应校验器 → 质量指标检查 → 不合格自动修正一次。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AI 输出卫生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：四类资源的质量服务内置内部术语清洗规则，过滤 Agent 名称、Prompt 字样与思维链痕迹，防止内部实现细节泄露给学生。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提示词注入防护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：导入阶段检测指令覆盖、索取密钥等模式并隔离；进模型前声明知识内容为“不可信数据而非指令”，并清理危险标签。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凭据安全</w:t>
      </w:r>
      <w:r>
        <w:rPr>
          <w:rFonts w:ascii="Times New Roman" w:hAnsi="Times New Roman" w:eastAsia="宋体" w:cs="Times New Roman"/>
          <w:sz w:val="24"/>
          <w:szCs w:val="24"/>
        </w:rPr>
        <w:t xml:space="preserve">：日志与回答文本中对模型密钥、数据库密码、JWT 做脱敏处理；前端不持有任何密钥。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文件安全</w:t>
      </w:r>
      <w:r>
        <w:rPr>
          <w:rFonts w:ascii="Times New Roman" w:hAnsi="Times New Roman" w:eastAsia="宋体" w:cs="Times New Roman"/>
          <w:sz w:val="24"/>
          <w:szCs w:val="24"/>
        </w:rPr>
        <w:t xml:space="preserve">：PPTX/PDF 采用“临时文件 → 校验 → 原子重命名”写入，保存 SHA-256、MIME、大小与相对路径；下载时二次校验所有权与根目录限制。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可观测性</w:t>
      </w:r>
      <w:r>
        <w:rPr>
          <w:rFonts w:ascii="Times New Roman" w:hAnsi="Times New Roman" w:eastAsia="宋体" w:cs="Times New Roman"/>
          <w:sz w:val="24"/>
          <w:szCs w:val="24"/>
        </w:rPr>
        <w:t xml:space="preserve">：ai_request_logs（接口、Prompt 摘要、是否回退）、agent_run_logs、阶段事件、引用快照，构成完整的 AI 行为审计链。</w:t>
      </w:r>
    </w:p>
    <w:p>
      <w:pPr>
        <w:pStyle w:val="Heading2"/>
      </w:pPr>
      <w:r>
        <w:rPr>
          <w:rFonts w:ascii="Times New Roman" w:hAnsi="Times New Roman" w:eastAsia="宋体" w:cs="Times New Roman"/>
          <w:sz w:val="24"/>
          <w:szCs w:val="24"/>
        </w:rPr>
        <w:t xml:space="preserve">5.4 三句话总结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会诊断</w:t>
      </w:r>
      <w:r>
        <w:rPr>
          <w:rFonts w:ascii="Times New Roman" w:hAnsi="Times New Roman" w:eastAsia="宋体" w:cs="Times New Roman"/>
          <w:sz w:val="24"/>
          <w:szCs w:val="24"/>
        </w:rPr>
        <w:t xml:space="preserve">——七维画像与真实行为证据，让系统知道学生现在在哪里。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会生成</w:t>
      </w:r>
      <w:r>
        <w:rPr>
          <w:rFonts w:ascii="Times New Roman" w:hAnsi="Times New Roman" w:eastAsia="宋体" w:cs="Times New Roman"/>
          <w:sz w:val="24"/>
          <w:szCs w:val="24"/>
        </w:rPr>
        <w:t xml:space="preserve">——八类 Agent 协同产出五类可追溯资源，用引用与审核保证可信。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会进化</w:t>
      </w:r>
      <w:r>
        <w:rPr>
          <w:rFonts w:ascii="Times New Roman" w:hAnsi="Times New Roman" w:eastAsia="宋体" w:cs="Times New Roman"/>
          <w:sz w:val="24"/>
          <w:szCs w:val="24"/>
        </w:rPr>
        <w:t xml:space="preserve">——每一次测验、练习与资源完成都成为下一步的依据，路径与画像版本持续更新。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一句话定位：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LearnMate 不是“更聪明的问答机器人”，而是一套证据约束下的持续个性化学习系统。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sz w:val="24"/>
          <w:szCs w:val="24"/>
        </w:rPr>
        <w:t xml:space="preserve">附录一　作品完成度与证据清单</w:t>
      </w:r>
    </w:p>
    <w:p>
      <w:pPr>
        <w:pStyle w:val="Caption"/>
      </w:pPr>
      <w:r>
        <w:rPr>
          <w:rFonts w:ascii="Times New Roman" w:hAnsi="Times New Roman" w:eastAsia="宋体" w:cs="Times New Roman"/>
          <w:sz w:val="24"/>
          <w:szCs w:val="24"/>
        </w:rPr>
        <w:t xml:space="preserve">表 附-1　能力—证据矩阵</w:t>
      </w:r>
    </w:p>
    <w:tbl>
      <w:tblPr>
        <w:tblStyle w:val="TableGrid"/>
        <w:tblW w:w="8312" w:type="dxa"/>
        <w:jc w:val="center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1604"/>
        <w:gridCol w:w="2333"/>
        <w:gridCol w:w="2333"/>
        <w:gridCol w:w="2041"/>
      </w:tblGrid>
      <w:tr>
        <w:trPr>
          <w:cantSplit/>
          <w:tblHeader/>
        </w:trPr>
        <w:tc>
          <w:tcPr>
            <w:tcW w:w="1604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能力</w:t>
            </w:r>
          </w:p>
        </w:tc>
        <w:tc>
          <w:tcPr>
            <w:tcW w:w="2333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代码/数据证据</w:t>
            </w:r>
          </w:p>
        </w:tc>
        <w:tc>
          <w:tcPr>
            <w:tcW w:w="2333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测试/验收证据</w:t>
            </w:r>
          </w:p>
        </w:tc>
        <w:tc>
          <w:tcPr>
            <w:tcW w:w="2041" w:type="dxa"/>
            <w:shd w:val="clear" w:color="auto" w:fill="DCE6F1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3864"/>
                <w:sz w:val="21"/>
                <w:szCs w:val="21"/>
              </w:rPr>
              <w:t xml:space="preserve">演示证据</w:t>
            </w:r>
          </w:p>
        </w:tc>
      </w:tr>
      <w:tr>
        <w:trPr>
          <w:cantSplit/>
        </w:trPr>
        <w:tc>
          <w:tcPr>
            <w:tcW w:w="16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七维画像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画像 Schema、画像服务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Agent 与数据库集成测试</w:t>
            </w:r>
          </w:p>
        </w:tc>
        <w:tc>
          <w:tcPr>
            <w:tcW w:w="204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画像页、证据、版本历史</w:t>
            </w:r>
          </w:p>
        </w:tc>
      </w:tr>
      <w:tr>
        <w:trPr>
          <w:cantSplit/>
        </w:trPr>
        <w:tc>
          <w:tcPr>
            <w:tcW w:w="16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真实测验闭环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测验提交服务、题库文件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认证与测验集成测试</w:t>
            </w:r>
          </w:p>
        </w:tc>
        <w:tc>
          <w:tcPr>
            <w:tcW w:w="204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提交、错因、掌握度</w:t>
            </w:r>
          </w:p>
        </w:tc>
      </w:tr>
      <w:tr>
        <w:trPr>
          <w:cantSplit/>
        </w:trPr>
        <w:tc>
          <w:tcPr>
            <w:tcW w:w="16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动态路径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路径服务与 Schema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路径 Schema 测试</w:t>
            </w:r>
          </w:p>
        </w:tc>
        <w:tc>
          <w:tcPr>
            <w:tcW w:w="204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路径版本与完成条件</w:t>
            </w:r>
          </w:p>
        </w:tc>
      </w:tr>
      <w:tr>
        <w:trPr>
          <w:cantSplit/>
        </w:trPr>
        <w:tc>
          <w:tcPr>
            <w:tcW w:w="16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八类 Agent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Agent 注册表、编排器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Agent 与提示词测试</w:t>
            </w:r>
          </w:p>
        </w:tc>
        <w:tc>
          <w:tcPr>
            <w:tcW w:w="204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Agent 日志</w:t>
            </w:r>
          </w:p>
        </w:tc>
      </w:tr>
      <w:tr>
        <w:trPr>
          <w:cantSplit/>
        </w:trPr>
        <w:tc>
          <w:tcPr>
            <w:tcW w:w="16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五类资源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资源 Schema、生成与存储服务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资源 Schema 与集成测试</w:t>
            </w:r>
          </w:p>
        </w:tc>
        <w:tc>
          <w:tcPr>
            <w:tcW w:w="2041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五类资源与审核卡</w:t>
            </w:r>
          </w:p>
        </w:tc>
      </w:tr>
      <w:tr>
        <w:trPr>
          <w:cantSplit/>
        </w:trPr>
        <w:tc>
          <w:tcPr>
            <w:tcW w:w="16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真实 PPTX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PPTX 服务与语义渲染器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PPTX、引用、视觉引擎测试</w:t>
            </w:r>
          </w:p>
        </w:tc>
        <w:tc>
          <w:tcPr>
            <w:tcW w:w="204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预览与下载</w:t>
            </w:r>
          </w:p>
        </w:tc>
      </w:tr>
      <w:tr>
        <w:trPr>
          <w:cantSplit/>
        </w:trPr>
        <w:tc>
          <w:tcPr>
            <w:tcW w:w="16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RAG 引用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知识库、接地、引用服务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知识库与引用测试</w:t>
            </w:r>
          </w:p>
        </w:tc>
        <w:tc>
          <w:tcPr>
            <w:tcW w:w="204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来源、引用、检索记录</w:t>
            </w:r>
          </w:p>
        </w:tc>
      </w:tr>
      <w:tr>
        <w:trPr>
          <w:cantSplit/>
        </w:trPr>
        <w:tc>
          <w:tcPr>
            <w:tcW w:w="16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异步生成与审核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任务/事件表、SSE、审核规则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资源进度与六维审核测试</w:t>
            </w:r>
          </w:p>
        </w:tc>
        <w:tc>
          <w:tcPr>
            <w:tcW w:w="204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真实阶段、刷新恢复、审核卡</w:t>
            </w:r>
          </w:p>
        </w:tc>
      </w:tr>
      <w:tr>
        <w:trPr>
          <w:cantSplit/>
        </w:trPr>
        <w:tc>
          <w:tcPr>
            <w:tcW w:w="16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CodeLab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练习/运行器/提交服务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规则与资源集成测试</w:t>
            </w:r>
          </w:p>
        </w:tc>
        <w:tc>
          <w:tcPr>
            <w:tcW w:w="204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练习 ID、运行、成功提交</w:t>
            </w:r>
          </w:p>
        </w:tc>
      </w:tr>
      <w:tr>
        <w:trPr>
          <w:cantSplit/>
        </w:trPr>
        <w:tc>
          <w:tcPr>
            <w:tcW w:w="1604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教师分析/报告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分析、报告、访问控制服务</w:t>
            </w:r>
          </w:p>
        </w:tc>
        <w:tc>
          <w:tcPr>
            <w:tcW w:w="2333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教师系列测试</w:t>
            </w:r>
          </w:p>
        </w:tc>
        <w:tc>
          <w:tcPr>
            <w:tcW w:w="2041" w:type="dxa"/>
            <w:shd w:val="clear" w:color="auto" w:fill="F5F8FC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工作台、学生详情、PDF</w:t>
            </w:r>
          </w:p>
        </w:tc>
      </w:tr>
      <w:tr>
        <w:trPr>
          <w:cantSplit/>
        </w:trPr>
        <w:tc>
          <w:tcPr>
            <w:tcW w:w="1604" w:type="dxa"/>
            <w:vAlign w:val="center"/>
          </w:tcPr>
          <w:p>
            <w:pPr>
              <w:pStyle w:val="TableText"/>
              <w:spacing w:before="40" w:after="40" w:line="28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安全交付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JWT/CORS/存储/运行时/CI</w:t>
            </w:r>
          </w:p>
        </w:tc>
        <w:tc>
          <w:tcPr>
            <w:tcW w:w="2333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Release Engineering 与安全测试</w:t>
            </w:r>
          </w:p>
        </w:tc>
        <w:tc>
          <w:tcPr>
            <w:tcW w:w="2041" w:type="dxa"/>
            <w:vAlign w:val="center"/>
          </w:tcPr>
          <w:p>
            <w:pPr>
              <w:pStyle w:val="TableText"/>
              <w:spacing w:before="40" w:after="40" w:line="280" w:lineRule="auto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健康检查与权限拒绝</w:t>
            </w:r>
          </w:p>
        </w:tc>
      </w:tr>
    </w:tbl>
    <w:p>
      <w:pPr>
        <w:spacing w:before="0" w:after="0" w:line="240" w:lineRule="auto"/>
      </w:pPr>
    </w:p>
    <w:p>
      <w:pPr>
        <w:pStyle w:val="Heading1"/>
        <w:pageBreakBefore/>
      </w:pPr>
      <w:r>
        <w:rPr>
          <w:rFonts w:ascii="Times New Roman" w:hAnsi="Times New Roman" w:eastAsia="宋体" w:cs="Times New Roman"/>
          <w:sz w:val="24"/>
          <w:szCs w:val="24"/>
        </w:rPr>
        <w:t xml:space="preserve">附录二　文档口径与不宣称事项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本作品不宣称以下内容：学校生产环境部署、真实用户数量、模型准确率或学习效果提升比例、性能与并发指标、专业渗透测试结论、完整 Live2D 商业数字人、数字讲师已接入正式课程主页面、任意代码安全沙箱、实时监考能力、全学科覆盖、无当次记录的容器实机验收通过。</w:t>
      </w:r>
    </w:p>
    <w:p>
      <w:pPr>
        <w:pStyle w:val="BodyText"/>
      </w:pPr>
      <w:r>
        <w:rPr>
          <w:rFonts w:ascii="Times New Roman" w:hAnsi="Times New Roman" w:eastAsia="宋体" w:cs="Times New Roman"/>
          <w:sz w:val="24"/>
          <w:szCs w:val="24"/>
        </w:rPr>
        <w:t xml:space="preserve">口径说明：文中所有数字均标注来源——“仓库内容口径”指当前代码与数据文件按现行逻辑静态统计；“本机实测”指在具体运行环境中直接查询数据库或接口所得；“基线与当次验收”指对应提交基线上的测试输出。引用数字时应同时给出当次命令与输出，不使用推算或估计值。</w:t>
      </w:r>
    </w:p>
    <w:p>
      <w:pPr>
        <w:pStyle w:val="Heading1"/>
        <w:pageBreakBefore/>
      </w:pPr>
      <w:r>
        <w:rPr>
          <w:rFonts w:ascii="Times New Roman" w:hAnsi="Times New Roman" w:eastAsia="宋体" w:cs="Times New Roman"/>
          <w:sz w:val="24"/>
          <w:szCs w:val="24"/>
        </w:rPr>
        <w:t xml:space="preserve">附录三　建议补充的材料（评审加分项）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真实产品截图：四个关键页面（首页、画像、生成时间线、教师工作台），不使用生成式假界面。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2 分钟演示视频或 7 分钟现场演示脚本（含强制切换时间点与失败备用方案）。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当次 demo:verify 输出截图，作为数据闭环的现场证据。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真实问卷或师生访谈原始数据：补入第二章“痛点”，标注样本量与时间。</w:t>
      </w:r>
    </w:p>
    <w:p>
      <w:pPr>
        <w:pStyle w:val="BodyBullet"/>
      </w:pPr>
      <w:r>
        <w:rPr>
          <w:rFonts w:ascii="Times New Roman" w:hAnsi="Times New Roman" w:eastAsia="宋体" w:cs="Times New Roman"/>
          <w:sz w:val="24"/>
          <w:szCs w:val="24"/>
        </w:rPr>
        <w:t xml:space="preserve">● 团队分工与开发过程记录：含 AI 辅助编码的披露说明。</w:t>
      </w:r>
    </w:p>
    <w:sectPr>
      <w:headerReference w:type="default" r:id="rId3"/>
      <w:footerReference w:type="default" r:id="rId4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rFonts w:ascii="Times New Roman" w:hAnsi="Times New Roman" w:eastAsia="宋体" w:cs="Times New Roman"/>
        <w:color w:val="595959"/>
        <w:sz w:val="18"/>
        <w:szCs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>
        <w:rFonts w:ascii="Times New Roman" w:hAnsi="Times New Roman" w:eastAsia="宋体" w:cs="Times New Roman"/>
        <w:color w:val="595959"/>
        <w:sz w:val="18"/>
        <w:szCs w:val="18"/>
      </w:rPr>
      <w:t xml:space="preserve"> 页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rFonts w:ascii="Times New Roman" w:hAnsi="Times New Roman" w:eastAsia="宋体" w:cs="Times New Roman"/>
        <w:color w:val="595959"/>
        <w:sz w:val="18"/>
        <w:szCs w:val="18"/>
      </w:rPr>
      <w:t xml:space="preserve"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>
        <w:rFonts w:ascii="Times New Roman" w:hAnsi="Times New Roman" w:eastAsia="宋体" w:cs="Times New Roman"/>
        <w:color w:val="595959"/>
        <w:sz w:val="18"/>
        <w:szCs w:val="18"/>
      </w:rP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rPr>
        <w:rFonts w:ascii="Times New Roman" w:hAnsi="Times New Roman" w:eastAsia="宋体" w:cs="Times New Roman"/>
        <w:sz w:val="24"/>
        <w:szCs w:val="24"/>
      </w:rPr>
      <w:t xml:space="preserve">华北五省大学生计算机应用大赛 · 计智引擎 LearnMate 作品概述</w:t>
    </w:r>
  </w:p>
</w:hdr>
</file>

<file path=word/settings.xml><?xml version="1.0" encoding="utf-8"?>
<w:settings xmlns:w="http://schemas.openxmlformats.org/wordprocessingml/2006/main">
  <w:zoom w:percent="100"/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napToGrid w:val="0"/>
        <w:spacing w:before="0" w:after="0" w:line="360" w:lineRule="auto"/>
        <w:jc w:val="both"/>
      </w:pPr>
    </w:pPrDefault>
  </w:docDefaults>
  <w:style w:type="paragraph" w:styleId="Normal">
    <w:name w:val="Normal"/>
    <w:next w:val="BodyText"/>
    <w:qFormat/>
    <w:pPr>
      <w:snapToGrid w:val="0"/>
      <w:spacing w:before="0" w:after="0" w:line="360" w:lineRule="auto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 w:firstLineChars="200"/>
    </w:pPr>
  </w:style>
  <w:style w:type="paragraph" w:styleId="Heading1">
    <w:name w:val="heading 1"/>
    <w:basedOn w:val="Normal"/>
    <w:next w:val="BodyText"/>
    <w:qFormat/>
    <w:pPr>
      <w:keepNext/>
      <w:snapToGrid w:val="0"/>
      <w:spacing w:before="360" w:after="280" w:line="360" w:lineRule="auto"/>
      <w:jc w:val="center"/>
      <w:outlineLvl w:val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snapToGrid w:val="0"/>
      <w:spacing w:before="280" w:after="160" w:line="360" w:lineRule="auto"/>
      <w:jc w:val="left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snapToGrid w:val="0"/>
      <w:spacing w:before="200" w:after="120" w:line="360" w:lineRule="auto"/>
      <w:jc w:val="left"/>
      <w:outlineLvl w:val="2"/>
    </w:pPr>
    <w:rPr>
      <w:rFonts w:ascii="Times New Roman" w:hAnsi="Times New Roman" w:eastAsia="黑体" w:cs="Times New Roman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snapToGrid w:val="0"/>
      <w:spacing w:before="160" w:after="100" w:line="360" w:lineRule="auto"/>
      <w:jc w:val="left"/>
      <w:outlineLvl w:val="3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BodyBullet">
    <w:name w:val="Body Bullet"/>
    <w:basedOn w:val="Normal"/>
    <w:qFormat/>
    <w:pPr>
      <w:snapToGrid w:val="0"/>
      <w:spacing w:before="40" w:after="40" w:line="340" w:lineRule="auto"/>
      <w:ind w:left="480" w:leftChars="200" w:hanging="240" w:hangingChars="100"/>
      <w:jc w:val="both"/>
    </w:pPr>
  </w:style>
  <w:style w:type="paragraph" w:styleId="BodyBullet2">
    <w:name w:val="Body Bullet 2"/>
    <w:basedOn w:val="Normal"/>
    <w:qFormat/>
    <w:pPr>
      <w:snapToGrid w:val="0"/>
      <w:spacing w:before="40" w:after="40" w:line="340" w:lineRule="auto"/>
      <w:ind w:left="960" w:leftChars="400" w:hanging="240" w:hangingChars="100"/>
      <w:jc w:val="both"/>
    </w:pPr>
  </w:style>
  <w:style w:type="paragraph" w:styleId="NoteBox">
    <w:name w:val="Note Box"/>
    <w:basedOn w:val="Normal"/>
    <w:qFormat/>
    <w:pPr>
      <w:shd w:val="clear" w:color="auto" w:fill="F2F7FF"/>
      <w:snapToGrid w:val="0"/>
      <w:spacing w:before="120" w:after="120" w:line="320" w:lineRule="auto"/>
      <w:ind w:left="240" w:leftChars="100" w:right="240"/>
      <w:jc w:val="both"/>
    </w:pPr>
    <w:rPr>
      <w:rFonts w:ascii="Times New Roman" w:hAnsi="Times New Roman" w:eastAsia="宋体" w:cs="Times New Roman"/>
      <w:color w:val="1F3864"/>
      <w:sz w:val="21"/>
      <w:szCs w:val="21"/>
    </w:rPr>
  </w:style>
  <w:style w:type="paragraph" w:styleId="TableText">
    <w:name w:val="Table Text"/>
    <w:basedOn w:val="Normal"/>
    <w:qFormat/>
    <w:pPr>
      <w:snapToGrid w:val="0"/>
      <w:spacing w:before="20" w:after="20" w:line="280" w:lineRule="auto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Caption">
    <w:name w:val="caption"/>
    <w:basedOn w:val="Normal"/>
    <w:qFormat/>
    <w:pPr>
      <w:keepNext/>
      <w:snapToGrid w:val="0"/>
      <w:spacing w:before="160" w:after="60" w:line="280" w:lineRule="auto"/>
      <w:jc w:val="center"/>
    </w:pPr>
    <w:rPr>
      <w:rFonts w:ascii="Times New Roman" w:hAnsi="Times New Roman" w:eastAsia="宋体" w:cs="Times New Roman"/>
      <w:b/>
      <w:bCs/>
      <w:sz w:val="21"/>
      <w:szCs w:val="21"/>
    </w:rPr>
  </w:style>
  <w:style w:type="paragraph" w:styleId="Header">
    <w:name w:val="header"/>
    <w:basedOn w:val="Normal"/>
    <w:qFormat/>
    <w:pPr>
      <w:snapToGrid w:val="0"/>
      <w:spacing w:before="0" w:after="0" w:line="240" w:lineRule="auto"/>
      <w:jc w:val="center"/>
    </w:pPr>
    <w:rPr>
      <w:rFonts w:ascii="Times New Roman" w:hAnsi="Times New Roman" w:eastAsia="宋体" w:cs="Times New Roman"/>
      <w:color w:val="595959"/>
      <w:sz w:val="18"/>
      <w:szCs w:val="18"/>
    </w:rPr>
  </w:style>
  <w:style w:type="paragraph" w:styleId="Footer">
    <w:name w:val="footer"/>
    <w:basedOn w:val="Normal"/>
    <w:qFormat/>
    <w:pPr>
      <w:snapToGrid w:val="0"/>
      <w:spacing w:before="0" w:after="0" w:line="240" w:lineRule="auto"/>
      <w:jc w:val="center"/>
    </w:pPr>
    <w:rPr>
      <w:rFonts w:ascii="Times New Roman" w:hAnsi="Times New Roman" w:eastAsia="宋体" w:cs="Times New Roman"/>
      <w:color w:val="595959"/>
      <w:sz w:val="18"/>
      <w:szCs w:val="18"/>
    </w:rPr>
  </w:style>
  <w:style w:type="paragraph" w:styleId="CoverOrg">
    <w:name w:val="Cover Org"/>
    <w:basedOn w:val="Normal"/>
    <w:qFormat/>
    <w:pPr>
      <w:snapToGrid w:val="0"/>
      <w:spacing w:before="0" w:after="120" w:line="300" w:lineRule="auto"/>
      <w:jc w:val="center"/>
    </w:pPr>
    <w:rPr>
      <w:rFonts w:ascii="Times New Roman" w:hAnsi="Times New Roman" w:eastAsia="黑体" w:cs="Times New Roman"/>
      <w:b/>
      <w:bCs/>
      <w:spacing w:val="60"/>
      <w:sz w:val="32"/>
      <w:szCs w:val="32"/>
    </w:rPr>
  </w:style>
  <w:style w:type="paragraph" w:styleId="CoverTrack">
    <w:name w:val="Cover Track"/>
    <w:basedOn w:val="Normal"/>
    <w:qFormat/>
    <w:pPr>
      <w:snapToGrid w:val="0"/>
      <w:spacing w:before="0" w:after="0" w:line="300" w:lineRule="auto"/>
      <w:jc w:val="center"/>
    </w:pPr>
    <w:rPr>
      <w:rFonts w:ascii="Times New Roman" w:hAnsi="Times New Roman" w:eastAsia="宋体" w:cs="Times New Roman"/>
      <w:color w:val="595959"/>
      <w:sz w:val="24"/>
      <w:szCs w:val="24"/>
    </w:rPr>
  </w:style>
  <w:style w:type="paragraph" w:styleId="CoverTitle">
    <w:name w:val="Cover Title"/>
    <w:basedOn w:val="Normal"/>
    <w:qFormat/>
    <w:pPr>
      <w:snapToGrid w:val="0"/>
      <w:spacing w:before="360" w:after="360" w:line="400" w:lineRule="auto"/>
      <w:jc w:val="center"/>
    </w:pPr>
    <w:rPr>
      <w:rFonts w:ascii="Times New Roman" w:hAnsi="Times New Roman" w:eastAsia="黑体" w:cs="Times New Roman"/>
      <w:b/>
      <w:bCs/>
      <w:spacing w:val="200"/>
      <w:sz w:val="72"/>
      <w:szCs w:val="72"/>
    </w:rPr>
  </w:style>
  <w:style w:type="paragraph" w:styleId="CoverProj">
    <w:name w:val="Cover Project"/>
    <w:basedOn w:val="Normal"/>
    <w:qFormat/>
    <w:pPr>
      <w:snapToGrid w:val="0"/>
      <w:spacing w:before="0" w:after="0" w:line="400" w:lineRule="auto"/>
      <w:jc w:val="center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CoverItem">
    <w:name w:val="Cover Item"/>
    <w:basedOn w:val="Normal"/>
    <w:qFormat/>
    <w:pPr>
      <w:snapToGrid w:val="0"/>
      <w:spacing w:before="60" w:after="60" w:line="320" w:lineRule="auto"/>
      <w:jc w:val="left"/>
    </w:pPr>
    <w:rPr>
      <w:rFonts w:ascii="Times New Roman" w:hAnsi="Times New Roman" w:eastAsia="宋体" w:cs="Times New Roman"/>
      <w:sz w:val="26"/>
      <w:szCs w:val="26"/>
    </w:rPr>
  </w:style>
  <w:style w:type="paragraph" w:styleId="CoverLabel">
    <w:name w:val="Cover Label"/>
    <w:basedOn w:val="Normal"/>
    <w:qFormat/>
    <w:pPr>
      <w:snapToGrid w:val="0"/>
      <w:spacing w:before="60" w:after="60" w:line="320" w:lineRule="auto"/>
      <w:jc w:val="right"/>
    </w:pPr>
    <w:rPr>
      <w:rFonts w:ascii="Times New Roman" w:hAnsi="Times New Roman" w:eastAsia="宋体" w:cs="Times New Roman"/>
      <w:sz w:val="26"/>
      <w:szCs w:val="26"/>
    </w:rPr>
  </w:style>
  <w:style w:type="paragraph" w:styleId="TocTitle">
    <w:name w:val="TOC Title"/>
    <w:basedOn w:val="Normal"/>
    <w:qFormat/>
    <w:pPr>
      <w:snapToGrid w:val="0"/>
      <w:spacing w:before="0" w:after="320" w:line="360" w:lineRule="auto"/>
      <w:jc w:val="center"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basedOn w:val="Normal"/>
    <w:qFormat/>
    <w:pPr>
      <w:tabs>
        <w:tab w:val="right" w:leader="dot" w:pos="8312"/>
      </w:tabs>
      <w:snapToGrid w:val="0"/>
      <w:spacing w:before="60" w:after="60" w:line="320" w:lineRule="auto"/>
      <w:jc w:val="left"/>
    </w:pPr>
    <w:rPr>
      <w:rFonts w:ascii="Times New Roman" w:hAnsi="Times New Roman" w:eastAsia="黑体" w:cs="Times New Roman"/>
      <w:b/>
      <w:bCs/>
      <w:sz w:val="24"/>
      <w:szCs w:val="24"/>
    </w:rPr>
  </w:style>
  <w:style w:type="paragraph" w:styleId="TOC2">
    <w:name w:val="toc 2"/>
    <w:basedOn w:val="Normal"/>
    <w:qFormat/>
    <w:pPr>
      <w:tabs>
        <w:tab w:val="right" w:leader="dot" w:pos="8312"/>
      </w:tabs>
      <w:snapToGrid w:val="0"/>
      <w:spacing w:before="20" w:after="20" w:line="300" w:lineRule="auto"/>
      <w:ind w:left="240" w:leftChars="100"/>
      <w:jc w:val="left"/>
    </w:pPr>
    <w:rPr>
      <w:rFonts w:ascii="Times New Roman" w:hAnsi="Times New Roman" w:eastAsia="宋体" w:cs="Times New Roman"/>
      <w:sz w:val="22"/>
      <w:szCs w:val="22"/>
    </w:rPr>
  </w:style>
  <w:style w:type="paragraph" w:styleId="TOC3">
    <w:name w:val="toc 3"/>
    <w:basedOn w:val="Normal"/>
    <w:qFormat/>
    <w:pPr>
      <w:tabs>
        <w:tab w:val="right" w:leader="dot" w:pos="8312"/>
      </w:tabs>
      <w:snapToGrid w:val="0"/>
      <w:spacing w:before="20" w:after="20" w:line="300" w:lineRule="auto"/>
      <w:ind w:left="480" w:leftChars="200"/>
      <w:jc w:val="left"/>
    </w:pPr>
    <w:rPr>
      <w:rFonts w:ascii="Times New Roman" w:hAnsi="Times New Roman" w:eastAsia="宋体" w:cs="Times New Roman"/>
      <w:color w:val="404040"/>
      <w:sz w:val="21"/>
      <w:szCs w:val="21"/>
    </w:rPr>
  </w:style>
  <w:style w:type="table" w:default="1" w:styleId="TableNormal">
    <w:name w:val="Normal Table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</w:style>
  <w:style w:type="table" w:styleId="TableGrid">
    <w:name w:val="Table Grid"/>
    <w:basedOn w:val="TableNormal"/>
    <w:qFormat/>
    <w:tblPr>
      <w:tblBorders>
        <w:top w:val="single" w:sz="6" w:space="0" w:color="8EAADB"/>
        <w:left w:val="single" w:sz="6" w:space="0" w:color="8EAADB"/>
        <w:bottom w:val="single" w:sz="6" w:space="0" w:color="8EAADB"/>
        <w:right w:val="single" w:sz="6" w:space="0" w:color="8EAADB"/>
        <w:insideH w:val="single" w:sz="4" w:space="0" w:color="B4C6E7"/>
        <w:insideV w:val="single" w:sz="4" w:space="0" w:color="B4C6E7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header" Target="header1.xml"/>
<Relationship Id="rId4" Type="http://schemas.openxmlformats.org/officeDocument/2006/relationships/footer" Target="footer1.xml"/>
<Relationship Id="rId5" Type="http://schemas.openxmlformats.org/officeDocument/2006/relationships/footer" Target="footer2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计智引擎 LearnMate 项目团队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计智引擎 LearnMate 作品概述</dc:title>
  <dc:subject>华北五省大学生计算机应用大赛 · 软件应用与开发</dc:subject>
  <dc:creator>计智引擎 LearnMate 项目团队</dc:creator>
  <cp:lastModifiedBy>计智引擎 LearnMate 项目团队</cp:lastModifiedBy>
  <cp:revision>1</cp:revision>
  <dcterms:created xsi:type="dcterms:W3CDTF">2026-09-15T00:00:00Z</dcterms:created>
  <dcterms:modified xsi:type="dcterms:W3CDTF">2026-09-15T00:00:00Z</dcterms:modified>
</cp:coreProperties>
</file>