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xml:space="preserve">].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641E5C" w:rsidRPr="002E26B3" w:rsidRDefault="00641E5C" w:rsidP="00BA5C92">
      <w:pPr>
        <w:spacing w:before="120" w:after="0" w:line="240" w:lineRule="auto"/>
        <w:ind w:firstLine="720"/>
        <w:jc w:val="both"/>
        <w:rPr>
          <w:rFonts w:ascii="Times New Roman" w:hAnsi="Times New Roman" w:cs="Times New Roman"/>
          <w:sz w:val="20"/>
          <w:szCs w:val="20"/>
        </w:rPr>
      </w:pP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 xml:space="preserve">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w:t>
      </w:r>
      <w:proofErr w:type="spellStart"/>
      <w:r w:rsidRPr="00ED47E5">
        <w:rPr>
          <w:rFonts w:ascii="Times New Roman" w:hAnsi="Times New Roman" w:cs="Times New Roman"/>
          <w:sz w:val="20"/>
          <w:szCs w:val="20"/>
        </w:rPr>
        <w:t>LogitBoost</w:t>
      </w:r>
      <w:proofErr w:type="spellEnd"/>
      <w:r w:rsidRPr="00ED47E5">
        <w:rPr>
          <w:rFonts w:ascii="Times New Roman" w:hAnsi="Times New Roman" w:cs="Times New Roman"/>
          <w:sz w:val="20"/>
          <w:szCs w:val="20"/>
        </w:rPr>
        <w:t xml:space="preserve">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Pr>
          <w:rFonts w:ascii="Times New Roman" w:hAnsi="Times New Roman" w:cs="Times New Roman"/>
          <w:sz w:val="20"/>
          <w:szCs w:val="20"/>
        </w:rPr>
        <w:t xml:space="preserve"> [11]</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E66CBF" w:rsidRPr="009734EF">
        <w:rPr>
          <w:rFonts w:ascii="Times New Roman" w:hAnsi="Times New Roman" w:cs="Times New Roman"/>
          <w:sz w:val="20"/>
          <w:szCs w:val="20"/>
        </w:rPr>
        <w:t>[12]</w:t>
      </w:r>
      <w:r w:rsidRPr="009734EF">
        <w:rPr>
          <w:rFonts w:ascii="Times New Roman" w:hAnsi="Times New Roman" w:cs="Times New Roman"/>
          <w:sz w:val="20"/>
          <w:szCs w:val="20"/>
        </w:rPr>
        <w:t>.</w:t>
      </w:r>
    </w:p>
    <w:p w:rsidR="00BB5B14" w:rsidRDefault="00BB5B14"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EA3CA8" w:rsidRPr="00EA3CA8" w:rsidRDefault="00EA3CA8" w:rsidP="00EA3CA8">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sidR="00FC4561">
        <w:rPr>
          <w:rFonts w:ascii="Times New Roman" w:hAnsi="Times New Roman" w:cs="Times New Roman"/>
          <w:b/>
          <w:sz w:val="20"/>
          <w:szCs w:val="20"/>
        </w:rPr>
        <w:t>1</w:t>
      </w:r>
      <w:r w:rsidRPr="00EA3CA8">
        <w:rPr>
          <w:rFonts w:ascii="Times New Roman" w:hAnsi="Times New Roman" w:cs="Times New Roman"/>
          <w:b/>
          <w:sz w:val="20"/>
          <w:szCs w:val="20"/>
        </w:rPr>
        <w:t xml:space="preserve">. </w:t>
      </w:r>
      <w:r w:rsidR="00FC4561">
        <w:rPr>
          <w:rFonts w:ascii="Times New Roman" w:hAnsi="Times New Roman" w:cs="Times New Roman"/>
          <w:b/>
          <w:sz w:val="20"/>
          <w:szCs w:val="20"/>
        </w:rPr>
        <w:t>Dataset</w:t>
      </w:r>
    </w:p>
    <w:p w:rsidR="00EA3CA8" w:rsidRPr="00F35ED5" w:rsidRDefault="00EA3CA8" w:rsidP="00F35ED5">
      <w:pPr>
        <w:spacing w:before="120" w:after="0" w:line="240" w:lineRule="auto"/>
        <w:ind w:firstLine="720"/>
        <w:jc w:val="both"/>
        <w:rPr>
          <w:rFonts w:ascii="Times New Roman" w:hAnsi="Times New Roman" w:cs="Times New Roman"/>
          <w:sz w:val="20"/>
          <w:szCs w:val="20"/>
        </w:rPr>
      </w:pPr>
      <w:r w:rsidRPr="00EA3CA8">
        <w:rPr>
          <w:rFonts w:ascii="Times New Roman" w:hAnsi="Times New Roman" w:cs="Times New Roman"/>
          <w:sz w:val="20"/>
          <w:szCs w:val="20"/>
        </w:rPr>
        <w:t xml:space="preserve">This study utilizes the Emotional Monitoring Dataset from </w:t>
      </w:r>
      <w:proofErr w:type="spellStart"/>
      <w:r w:rsidRPr="00EA3CA8">
        <w:rPr>
          <w:rFonts w:ascii="Times New Roman" w:hAnsi="Times New Roman" w:cs="Times New Roman"/>
          <w:sz w:val="20"/>
          <w:szCs w:val="20"/>
        </w:rPr>
        <w:t>Kaggle</w:t>
      </w:r>
      <w:proofErr w:type="spellEnd"/>
      <w:r w:rsidRPr="00EA3CA8">
        <w:rPr>
          <w:rFonts w:ascii="Times New Roman" w:hAnsi="Times New Roman" w:cs="Times New Roman"/>
          <w:sz w:val="20"/>
          <w:szCs w:val="20"/>
        </w:rPr>
        <w:t>, a data with 1,000 instances designed for analyzing student engagement using biosensor technology.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developing predictive models [14].</w:t>
      </w:r>
    </w:p>
    <w:p w:rsidR="00B736D7" w:rsidRDefault="00FC45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w:t>
      </w:r>
      <w:r w:rsidR="00B736D7" w:rsidRPr="00B736D7">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rsidR="00FC4561" w:rsidRDefault="00FC4561" w:rsidP="00FC4561">
      <w:pPr>
        <w:spacing w:before="120" w:after="0" w:line="240" w:lineRule="auto"/>
        <w:ind w:firstLine="720"/>
        <w:jc w:val="both"/>
        <w:rPr>
          <w:rFonts w:ascii="Times New Roman" w:hAnsi="Times New Roman" w:cs="Times New Roman"/>
          <w:b/>
          <w:sz w:val="20"/>
          <w:szCs w:val="20"/>
        </w:rPr>
      </w:pPr>
      <w:r w:rsidRPr="00FC45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FC4561" w:rsidRDefault="00FC4561" w:rsidP="00FC45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rsidR="00FC4561" w:rsidRPr="00FC4561" w:rsidRDefault="00FC4561" w:rsidP="00FC4561">
      <w:pPr>
        <w:rPr>
          <w:rFonts w:ascii="Times New Roman" w:hAnsi="Times New Roman" w:cs="Times New Roman"/>
          <w:sz w:val="20"/>
          <w:szCs w:val="20"/>
        </w:rPr>
      </w:pPr>
      <w:r>
        <w:rPr>
          <w:rFonts w:ascii="Times New Roman" w:hAnsi="Times New Roman" w:cs="Times New Roman"/>
          <w:b/>
          <w:sz w:val="20"/>
          <w:szCs w:val="20"/>
        </w:rPr>
        <w:tab/>
      </w:r>
      <w:r w:rsidRPr="00FC4561">
        <w:rPr>
          <w:rFonts w:ascii="Times New Roman" w:hAnsi="Times New Roman" w:cs="Times New Roman"/>
          <w:sz w:val="20"/>
          <w:szCs w:val="20"/>
        </w:rPr>
        <w:t xml:space="preserve">The researchers utilized </w:t>
      </w:r>
      <w:proofErr w:type="spellStart"/>
      <w:r w:rsidRPr="00FC4561">
        <w:rPr>
          <w:rFonts w:ascii="Times New Roman" w:hAnsi="Times New Roman" w:cs="Times New Roman"/>
          <w:sz w:val="20"/>
          <w:szCs w:val="20"/>
        </w:rPr>
        <w:t>Jupyter</w:t>
      </w:r>
      <w:proofErr w:type="spellEnd"/>
      <w:r w:rsidRPr="00FC4561">
        <w:rPr>
          <w:rFonts w:ascii="Times New Roman" w:hAnsi="Times New Roman" w:cs="Times New Roman"/>
          <w:sz w:val="20"/>
          <w:szCs w:val="20"/>
        </w:rPr>
        <w:t xml:space="preserve"> and Python version 3.12.8 as the primary programming language for data analysis and model implementation with the following libraries: Pandas, </w:t>
      </w:r>
      <w:proofErr w:type="spellStart"/>
      <w:r w:rsidRPr="00FC4561">
        <w:rPr>
          <w:rFonts w:ascii="Times New Roman" w:hAnsi="Times New Roman" w:cs="Times New Roman"/>
          <w:sz w:val="20"/>
          <w:szCs w:val="20"/>
        </w:rPr>
        <w:t>Numpy</w:t>
      </w:r>
      <w:proofErr w:type="spellEnd"/>
      <w:r w:rsidRPr="00FC4561">
        <w:rPr>
          <w:rFonts w:ascii="Times New Roman" w:hAnsi="Times New Roman" w:cs="Times New Roman"/>
          <w:sz w:val="20"/>
          <w:szCs w:val="20"/>
        </w:rPr>
        <w:t xml:space="preserve">, </w:t>
      </w:r>
      <w:proofErr w:type="spellStart"/>
      <w:r w:rsidRPr="00FC4561">
        <w:rPr>
          <w:rFonts w:ascii="Times New Roman" w:hAnsi="Times New Roman" w:cs="Times New Roman"/>
          <w:sz w:val="20"/>
          <w:szCs w:val="20"/>
        </w:rPr>
        <w:t>Scikit</w:t>
      </w:r>
      <w:proofErr w:type="spellEnd"/>
      <w:r w:rsidRPr="00FC4561">
        <w:rPr>
          <w:rFonts w:ascii="Times New Roman" w:hAnsi="Times New Roman" w:cs="Times New Roman"/>
          <w:sz w:val="20"/>
          <w:szCs w:val="20"/>
        </w:rPr>
        <w:t>-</w:t>
      </w:r>
      <w:r>
        <w:rPr>
          <w:rFonts w:ascii="Times New Roman" w:hAnsi="Times New Roman" w:cs="Times New Roman"/>
          <w:sz w:val="20"/>
          <w:szCs w:val="20"/>
        </w:rPr>
        <w:t xml:space="preserve">Learn, </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FC4561">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lastRenderedPageBreak/>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4E4CA8">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4E4CA8">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Pr="00C4740E">
        <w:rPr>
          <w:rFonts w:ascii="Times New Roman" w:hAnsi="Times New Roman" w:cs="Times New Roman"/>
          <w:sz w:val="20"/>
          <w:szCs w:val="20"/>
        </w:rPr>
        <w:t>23</w:t>
      </w:r>
      <w:proofErr w:type="gramEnd"/>
      <w:r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 xml:space="preserve">During the tree-building process, the </w:t>
      </w:r>
      <w:proofErr w:type="spellStart"/>
      <w:r w:rsidR="00E728E9" w:rsidRPr="00E728E9">
        <w:rPr>
          <w:rFonts w:ascii="Times New Roman" w:hAnsi="Times New Roman" w:cs="Times New Roman"/>
          <w:sz w:val="20"/>
          <w:szCs w:val="20"/>
        </w:rPr>
        <w:t>Gini</w:t>
      </w:r>
      <w:proofErr w:type="spellEnd"/>
      <w:r w:rsidR="00E728E9" w:rsidRPr="00E728E9">
        <w:rPr>
          <w:rFonts w:ascii="Times New Roman" w:hAnsi="Times New Roman" w:cs="Times New Roman"/>
          <w:sz w:val="20"/>
          <w:szCs w:val="20"/>
        </w:rPr>
        <w:t xml:space="preserve"> Index is often used as a splitting criterion to measure impurity at each node. This ensures that the splits are optimized to create subsets that are as homogeneous as possible, improving classification accuracy and overall model reliability</w:t>
      </w:r>
      <w:r w:rsidR="00E728E9">
        <w:rPr>
          <w:rFonts w:ascii="Times New Roman" w:hAnsi="Times New Roman" w:cs="Times New Roman"/>
          <w:sz w:val="20"/>
          <w:szCs w:val="20"/>
        </w:rPr>
        <w:t xml:space="preserve"> [24]</w:t>
      </w:r>
      <w:r w:rsidR="00E728E9" w:rsidRPr="00E728E9">
        <w:rPr>
          <w:rFonts w:ascii="Times New Roman" w:hAnsi="Times New Roman" w:cs="Times New Roman"/>
          <w:sz w:val="20"/>
          <w:szCs w:val="20"/>
        </w:rPr>
        <w:t>.</w:t>
      </w:r>
    </w:p>
    <w:p w:rsidR="00F07E3C" w:rsidRDefault="00E728E9" w:rsidP="00CD234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18E91B05" wp14:editId="41BE4F8E">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proofErr w:type="spellStart"/>
      <w:r w:rsidR="00E40D29" w:rsidRPr="00E40D29">
        <w:rPr>
          <w:rFonts w:ascii="Times New Roman" w:hAnsi="Times New Roman" w:cs="Times New Roman"/>
          <w:sz w:val="20"/>
          <w:szCs w:val="20"/>
        </w:rPr>
        <w:t>Gini</w:t>
      </w:r>
      <w:proofErr w:type="spellEnd"/>
      <w:r w:rsidR="00E40D29" w:rsidRPr="00E40D29">
        <w:rPr>
          <w:rFonts w:ascii="Times New Roman" w:hAnsi="Times New Roman" w:cs="Times New Roman"/>
          <w:sz w:val="20"/>
          <w:szCs w:val="20"/>
        </w:rPr>
        <w:t xml:space="preserve"> Index Criterion for Decision Trees</w:t>
      </w:r>
      <w:r w:rsidR="00E3325F">
        <w:rPr>
          <w:rFonts w:ascii="Times New Roman" w:hAnsi="Times New Roman" w:cs="Times New Roman"/>
          <w:sz w:val="20"/>
          <w:szCs w:val="20"/>
        </w:rPr>
        <w:t>:</w:t>
      </w:r>
    </w:p>
    <w:p w:rsidR="00F07E3C" w:rsidRPr="00CD234D" w:rsidRDefault="008D36AA" w:rsidP="00CD234D">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F07E3C" w:rsidP="0072291D">
      <w:pPr>
        <w:spacing w:before="120" w:after="0" w:line="240" w:lineRule="auto"/>
        <w:ind w:firstLine="720"/>
        <w:jc w:val="both"/>
        <w:rPr>
          <w:rFonts w:ascii="Times New Roman" w:eastAsiaTheme="minorEastAsia"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CFED207" wp14:editId="16CC2F69">
                <wp:simplePos x="0" y="0"/>
                <wp:positionH relativeFrom="column">
                  <wp:posOffset>5031740</wp:posOffset>
                </wp:positionH>
                <wp:positionV relativeFrom="paragraph">
                  <wp:posOffset>472176</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7.2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 xml:space="preserve">is the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for dataset D. It measures the impurity or disorder of the dataset, where a lower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w:t>
      </w:r>
      <w:proofErr w:type="gramStart"/>
      <w:r w:rsidR="00B348F7" w:rsidRPr="00B348F7">
        <w:rPr>
          <w:rFonts w:ascii="Times New Roman" w:hAnsi="Times New Roman" w:cs="Times New Roman"/>
          <w:sz w:val="20"/>
          <w:szCs w:val="20"/>
        </w:rPr>
        <w:t>denotes</w:t>
      </w:r>
      <w:proofErr w:type="gramEnd"/>
      <w:r w:rsidR="00B348F7" w:rsidRPr="00B348F7">
        <w:rPr>
          <w:rFonts w:ascii="Times New Roman" w:hAnsi="Times New Roman" w:cs="Times New Roman"/>
          <w:sz w:val="20"/>
          <w:szCs w:val="20"/>
        </w:rPr>
        <w:t xml:space="preserve">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00C4740E"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B24E1A" w:rsidP="0072291D">
      <w:pPr>
        <w:spacing w:before="120" w:after="0" w:line="240" w:lineRule="auto"/>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proofErr w:type="gramStart"/>
      <w:r w:rsidR="00531822">
        <w:rPr>
          <w:rFonts w:ascii="Times New Roman" w:hAnsi="Times New Roman" w:cs="Times New Roman"/>
          <w:sz w:val="20"/>
          <w:szCs w:val="20"/>
        </w:rPr>
        <w:t>is</w:t>
      </w:r>
      <w:proofErr w:type="gramEnd"/>
      <w:r w:rsidR="00531822">
        <w:rPr>
          <w:rFonts w:ascii="Times New Roman" w:hAnsi="Times New Roman" w:cs="Times New Roman"/>
          <w:sz w:val="20"/>
          <w:szCs w:val="20"/>
        </w:rPr>
        <w:t xml:space="preserve"> calculated as:</w:t>
      </w:r>
    </w:p>
    <w:p w:rsidR="00E40D29" w:rsidRPr="00C4740E" w:rsidRDefault="00B24E1A"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4E4CA8">
        <w:rPr>
          <w:rFonts w:ascii="Times New Roman" w:hAnsi="Times New Roman" w:cs="Times New Roman"/>
          <w:b/>
          <w:sz w:val="20"/>
          <w:szCs w:val="20"/>
        </w:rPr>
        <w:t>6</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9E61C2" w:rsidRDefault="00C4740E" w:rsidP="009E61C2">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9E61C2" w:rsidRDefault="00DF57FE" w:rsidP="009E61C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160" behindDoc="0" locked="0" layoutInCell="1" allowOverlap="1" wp14:anchorId="324392F5" wp14:editId="6569833D">
                <wp:simplePos x="0" y="0"/>
                <wp:positionH relativeFrom="column">
                  <wp:posOffset>5029835</wp:posOffset>
                </wp:positionH>
                <wp:positionV relativeFrom="paragraph">
                  <wp:posOffset>73289</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96.05pt;margin-top:5.75pt;width:28.45pt;height:4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" filled="f" stroked="f" strokeweight=".5pt">
                <v:textbo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w:r w:rsidR="009E61C2" w:rsidRPr="009E61C2">
        <w:rPr>
          <w:rFonts w:ascii="Times New Roman" w:hAnsi="Times New Roman" w:cs="Times New Roman"/>
          <w:sz w:val="20"/>
          <w:szCs w:val="20"/>
        </w:rPr>
        <w:t>The formula for the Support Vector Machine (SVM) decision boundary can be expressed as:</w:t>
      </w:r>
    </w:p>
    <w:p w:rsidR="00CD234D" w:rsidRDefault="00CD234D" w:rsidP="00CD234D">
      <w:pPr>
        <w:spacing w:after="0" w:line="240" w:lineRule="auto"/>
        <w:ind w:firstLine="720"/>
        <w:jc w:val="both"/>
        <w:rPr>
          <w:rFonts w:ascii="Times New Roman" w:hAnsi="Times New Roman" w:cs="Times New Roman"/>
          <w:sz w:val="20"/>
          <w:szCs w:val="20"/>
        </w:rPr>
      </w:pPr>
    </w:p>
    <w:p w:rsidR="009E61C2" w:rsidRPr="00CD234D" w:rsidRDefault="00161289" w:rsidP="009E61C2">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CD234D" w:rsidRDefault="00CD234D" w:rsidP="00CD234D">
      <w:pPr>
        <w:spacing w:after="0" w:line="240" w:lineRule="auto"/>
        <w:jc w:val="center"/>
        <w:rPr>
          <w:rFonts w:ascii="Times New Roman" w:hAnsi="Times New Roman" w:cs="Times New Roman"/>
          <w:sz w:val="20"/>
          <w:szCs w:val="20"/>
        </w:rPr>
      </w:pPr>
    </w:p>
    <w:p w:rsidR="009E61C2" w:rsidRPr="0072291D" w:rsidRDefault="00161289" w:rsidP="00B87BA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4E4CA8">
        <w:rPr>
          <w:rFonts w:ascii="Times New Roman" w:hAnsi="Times New Roman" w:cs="Times New Roman"/>
          <w:b/>
          <w:sz w:val="20"/>
          <w:szCs w:val="20"/>
        </w:rPr>
        <w:t>7</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w:t>
      </w:r>
      <w:r w:rsidRPr="00C4740E">
        <w:rPr>
          <w:rFonts w:ascii="Times New Roman" w:hAnsi="Times New Roman" w:cs="Times New Roman"/>
          <w:sz w:val="20"/>
          <w:szCs w:val="20"/>
        </w:rPr>
        <w:lastRenderedPageBreak/>
        <w:t>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C4740E" w:rsidRPr="00C4740E">
        <w:rPr>
          <w:rFonts w:ascii="Times New Roman" w:hAnsi="Times New Roman" w:cs="Times New Roman"/>
          <w:sz w:val="20"/>
          <w:szCs w:val="20"/>
        </w:rPr>
        <w:t>the model's performance [21].</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1BDCAAE1" wp14:editId="7B944CE8">
                <wp:simplePos x="0" y="0"/>
                <wp:positionH relativeFrom="column">
                  <wp:posOffset>5026837</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95.8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" filled="f" stroked="f" strokeweight=".5pt">
                <v:textbo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B52824">
        <w:rPr>
          <w:rFonts w:ascii="Times New Roman" w:hAnsi="Times New Roman" w:cs="Times New Roman"/>
          <w:sz w:val="20"/>
          <w:szCs w:val="20"/>
        </w:rPr>
        <w:t xml:space="preserve"> [5]</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35751F4" wp14:editId="47EF9FE2">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(4</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LwIAAFk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C+yV/KLwIAAFkEAAAOAAAAAAAAAAAAAAAAAC4C&#10;AABkcnMvZTJvRG9jLnhtbFBLAQItABQABgAIAAAAIQATcbDF4AAAAAkBAAAPAAAAAAAAAAAAAAAA&#10;AIkEAABkcnMvZG93bnJldi54bWxQSwUGAAAAAAQABADzAAAAlgUAAAAA&#10;" filled="f" stroked="f" strokeweight=".5pt">
                <v:textbo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(4</w:t>
                      </w:r>
                      <w:r w:rsidR="00861E79" w:rsidRPr="004F0A69">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E2E93">
        <w:rPr>
          <w:rFonts w:ascii="Times New Roman" w:hAnsi="Times New Roman" w:cs="Times New Roman"/>
          <w:sz w:val="20"/>
          <w:szCs w:val="20"/>
        </w:rPr>
        <w:t xml:space="preserve"> </w:t>
      </w:r>
      <w:r w:rsidR="005C11EF">
        <w:rPr>
          <w:rFonts w:ascii="Times New Roman" w:hAnsi="Times New Roman" w:cs="Times New Roman"/>
          <w:sz w:val="20"/>
          <w:szCs w:val="20"/>
        </w:rPr>
        <w:t>[5]</w:t>
      </w:r>
      <w:r w:rsidR="00C43BCB" w:rsidRPr="00C43BCB">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4ED57B51" wp14:editId="6EE8A093">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(5</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L+LQIAAFk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" filled="f" stroked="f" strokeweight=".5pt">
                <v:textbo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(5</w:t>
                      </w:r>
                      <w:r w:rsidR="00861E79" w:rsidRPr="004F0A69">
                        <w:rPr>
                          <w:rFonts w:ascii="Times New Roman" w:hAnsi="Times New Roman" w:cs="Times New Roman"/>
                          <w:sz w:val="20"/>
                          <w:szCs w:val="20"/>
                        </w:rPr>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6D65128C" wp14:editId="59857B78">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bookmarkStart w:id="0" w:name="_GoBack"/>
                            <w:r w:rsidRPr="004F0A69">
                              <w:rPr>
                                <w:rFonts w:ascii="Times New Roman" w:hAnsi="Times New Roman" w:cs="Times New Roman"/>
                                <w:sz w:val="20"/>
                                <w:szCs w:val="20"/>
                              </w:rPr>
                              <w:t>(6</w:t>
                            </w:r>
                            <w:r w:rsidR="00861E79" w:rsidRPr="004F0A69">
                              <w:rPr>
                                <w:rFonts w:ascii="Times New Roman" w:hAnsi="Times New Roman" w:cs="Times New Roman"/>
                                <w:sz w:val="20"/>
                                <w:szCs w:val="20"/>
                              </w:rPr>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Wj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z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qvHloy8CAABZBAAADgAAAAAAAAAAAAAAAAAu&#10;AgAAZHJzL2Uyb0RvYy54bWxQSwECLQAUAAYACAAAACEAF9g6l+EAAAAJAQAADwAAAAAAAAAAAAAA&#10;AACJBAAAZHJzL2Rvd25yZXYueG1sUEsFBgAAAAAEAAQA8wAAAJcFAAAAAA==&#10;" filled="f" stroked="f" strokeweight=".5pt">
                <v:textbox>
                  <w:txbxContent>
                    <w:p w:rsidR="00861E79" w:rsidRPr="004F0A69" w:rsidRDefault="00CC029C" w:rsidP="00861E79">
                      <w:pPr>
                        <w:rPr>
                          <w:rFonts w:ascii="Times New Roman" w:hAnsi="Times New Roman" w:cs="Times New Roman"/>
                          <w:sz w:val="20"/>
                          <w:szCs w:val="20"/>
                        </w:rPr>
                      </w:pPr>
                      <w:bookmarkStart w:id="1" w:name="_GoBack"/>
                      <w:r w:rsidRPr="004F0A69">
                        <w:rPr>
                          <w:rFonts w:ascii="Times New Roman" w:hAnsi="Times New Roman" w:cs="Times New Roman"/>
                          <w:sz w:val="20"/>
                          <w:szCs w:val="20"/>
                        </w:rPr>
                        <w:t>(6</w:t>
                      </w:r>
                      <w:r w:rsidR="00861E79" w:rsidRPr="004F0A69">
                        <w:rPr>
                          <w:rFonts w:ascii="Times New Roman" w:hAnsi="Times New Roman" w:cs="Times New Roman"/>
                          <w:sz w:val="20"/>
                          <w:szCs w:val="20"/>
                        </w:rPr>
                        <w:t>)</w:t>
                      </w:r>
                      <w:bookmarkEnd w:id="1"/>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15015" w:rsidRDefault="00615015" w:rsidP="00971F9F">
      <w:pPr>
        <w:spacing w:before="120" w:after="0" w:line="240" w:lineRule="auto"/>
        <w:jc w:val="both"/>
        <w:rPr>
          <w:rFonts w:ascii="Times New Roman" w:hAnsi="Times New Roman" w:cs="Times New Roman"/>
          <w:sz w:val="20"/>
          <w:szCs w:val="20"/>
        </w:rPr>
      </w:pPr>
    </w:p>
    <w:p w:rsidR="006F4E52" w:rsidRDefault="006F4E52" w:rsidP="00971F9F">
      <w:pPr>
        <w:spacing w:before="120" w:after="0" w:line="240" w:lineRule="auto"/>
        <w:jc w:val="both"/>
        <w:rPr>
          <w:rFonts w:ascii="Times New Roman" w:hAnsi="Times New Roman" w:cs="Times New Roman"/>
          <w:sz w:val="20"/>
          <w:szCs w:val="20"/>
        </w:rPr>
      </w:pPr>
    </w:p>
    <w:p w:rsidR="006F4E52" w:rsidRDefault="006F4E52" w:rsidP="00971F9F">
      <w:pPr>
        <w:spacing w:before="120" w:after="0" w:line="240" w:lineRule="auto"/>
        <w:jc w:val="both"/>
        <w:rPr>
          <w:rFonts w:ascii="Times New Roman" w:hAnsi="Times New Roman" w:cs="Times New Roman"/>
          <w:sz w:val="20"/>
          <w:szCs w:val="20"/>
        </w:rPr>
      </w:pPr>
    </w:p>
    <w:p w:rsidR="006F4E52" w:rsidRDefault="006F4E52" w:rsidP="00971F9F">
      <w:pPr>
        <w:spacing w:before="120" w:after="0" w:line="240" w:lineRule="auto"/>
        <w:jc w:val="both"/>
        <w:rPr>
          <w:rFonts w:ascii="Times New Roman" w:hAnsi="Times New Roman" w:cs="Times New Roman"/>
          <w:sz w:val="20"/>
          <w:szCs w:val="20"/>
        </w:rPr>
      </w:pPr>
    </w:p>
    <w:p w:rsidR="006F4E52" w:rsidRDefault="006F4E52" w:rsidP="00971F9F">
      <w:pPr>
        <w:spacing w:before="120" w:after="0" w:line="240" w:lineRule="auto"/>
        <w:jc w:val="both"/>
        <w:rPr>
          <w:rFonts w:ascii="Times New Roman" w:hAnsi="Times New Roman" w:cs="Times New Roman"/>
          <w:sz w:val="20"/>
          <w:szCs w:val="20"/>
        </w:rPr>
      </w:pPr>
    </w:p>
    <w:p w:rsidR="006F4E52" w:rsidRPr="00A0095F" w:rsidRDefault="006F4E52" w:rsidP="00971F9F">
      <w:pPr>
        <w:spacing w:before="120" w:after="0" w:line="240" w:lineRule="auto"/>
        <w:jc w:val="both"/>
        <w:rPr>
          <w:rFonts w:ascii="Times New Roman" w:hAnsi="Times New Roman" w:cs="Times New Roman"/>
          <w:sz w:val="20"/>
          <w:szCs w:val="20"/>
        </w:rPr>
      </w:pPr>
    </w:p>
    <w:p w:rsidR="006D4192" w:rsidRPr="006F4E52" w:rsidRDefault="00ED686E" w:rsidP="006F4E5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6D4192" w:rsidRDefault="006D4192"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42D3F0A5" wp14:editId="57C3B95D">
            <wp:simplePos x="0" y="0"/>
            <wp:positionH relativeFrom="column">
              <wp:posOffset>1472565</wp:posOffset>
            </wp:positionH>
            <wp:positionV relativeFrom="paragraph">
              <wp:posOffset>-5080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5C5C18" w:rsidP="005C5C18">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1280" behindDoc="0" locked="0" layoutInCell="1" allowOverlap="1" wp14:anchorId="4C50427A" wp14:editId="3E132287">
                <wp:simplePos x="0" y="0"/>
                <wp:positionH relativeFrom="margin">
                  <wp:align>center</wp:align>
                </wp:positionH>
                <wp:positionV relativeFrom="paragraph">
                  <wp:posOffset>55407</wp:posOffset>
                </wp:positionV>
                <wp:extent cx="1991360" cy="3168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RF Confusion Matrix</w:t>
                            </w:r>
                          </w:p>
                          <w:p w:rsidR="006D4192" w:rsidRDefault="006D4192" w:rsidP="006D4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0;margin-top:4.35pt;width:156.8pt;height:24.9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" filled="f" stroked="f" strokeweight=".5pt">
                <v:textbo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RF </w:t>
                      </w:r>
                      <w:r>
                        <w:rPr>
                          <w:rFonts w:ascii="Times New Roman" w:hAnsi="Times New Roman" w:cs="Times New Roman"/>
                          <w:bCs/>
                          <w:sz w:val="20"/>
                          <w:szCs w:val="20"/>
                        </w:rPr>
                        <w:t>Confusion Matrix</w:t>
                      </w:r>
                    </w:p>
                    <w:p w:rsidR="006D4192" w:rsidRDefault="006D4192" w:rsidP="006D4192"/>
                  </w:txbxContent>
                </v:textbox>
                <w10:wrap anchorx="margin"/>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724F4" w:rsidRDefault="004724F4"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83328" behindDoc="0" locked="0" layoutInCell="1" allowOverlap="1" wp14:anchorId="7E301F26" wp14:editId="1727EE31">
            <wp:simplePos x="0" y="0"/>
            <wp:positionH relativeFrom="margin">
              <wp:align>center</wp:align>
            </wp:positionH>
            <wp:positionV relativeFrom="paragraph">
              <wp:posOffset>107315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9E0DC1">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4352" behindDoc="0" locked="0" layoutInCell="1" allowOverlap="1" wp14:anchorId="2D50E150" wp14:editId="12E07988">
                <wp:simplePos x="0" y="0"/>
                <wp:positionH relativeFrom="margin">
                  <wp:align>center</wp:align>
                </wp:positionH>
                <wp:positionV relativeFrom="paragraph">
                  <wp:posOffset>193040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15.2pt;width:156.8pt;height:24.9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" filled="f" stroked="f" strokeweight=".5pt">
                <v:textbo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v:textbox>
                <w10:wrap anchorx="margin"/>
              </v:shape>
            </w:pict>
          </mc:Fallback>
        </mc:AlternateContent>
      </w:r>
    </w:p>
    <w:p w:rsidR="009E0DC1" w:rsidRDefault="009E0DC1" w:rsidP="009E0DC1">
      <w:pPr>
        <w:spacing w:before="200" w:after="0" w:line="240" w:lineRule="auto"/>
        <w:ind w:firstLine="720"/>
        <w:jc w:val="both"/>
        <w:rPr>
          <w:rFonts w:ascii="Times New Roman" w:hAnsi="Times New Roman" w:cs="Times New Roman"/>
          <w:sz w:val="20"/>
          <w:szCs w:val="20"/>
        </w:rPr>
      </w:pPr>
    </w:p>
    <w:p w:rsidR="004B5CCF" w:rsidRDefault="004B5CCF" w:rsidP="009E0DC1">
      <w:pPr>
        <w:spacing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w:t>
      </w:r>
      <w:r w:rsidRPr="00E649A5">
        <w:rPr>
          <w:rFonts w:ascii="Times New Roman" w:hAnsi="Times New Roman" w:cs="Times New Roman"/>
          <w:sz w:val="20"/>
          <w:szCs w:val="20"/>
        </w:rPr>
        <w:lastRenderedPageBreak/>
        <w:t>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w:t>
      </w:r>
      <w:proofErr w:type="spellStart"/>
      <w:r w:rsidRPr="00911F72">
        <w:rPr>
          <w:rFonts w:eastAsiaTheme="minorHAnsi"/>
          <w:sz w:val="20"/>
          <w:szCs w:val="20"/>
        </w:rPr>
        <w:t>hyperparameter</w:t>
      </w:r>
      <w:proofErr w:type="spellEnd"/>
      <w:r w:rsidRPr="00911F72">
        <w:rPr>
          <w:rFonts w:eastAsiaTheme="minorHAnsi"/>
          <w:sz w:val="20"/>
          <w:szCs w:val="20"/>
        </w:rPr>
        <w:t xml:space="preserve"> tuning. Overall, the RF model’s balanced precision, recall, and F1-scores make it the more effective classifier, while the SVM model remains a viable alternative with room for further improvement. Both models underscore the 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18"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19"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0"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1"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3"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4"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p w:rsidR="006D4192" w:rsidRDefault="006D4192" w:rsidP="004055DF">
      <w:pPr>
        <w:spacing w:after="0" w:line="240" w:lineRule="auto"/>
        <w:ind w:left="720" w:hanging="720"/>
        <w:jc w:val="both"/>
        <w:rPr>
          <w:rFonts w:ascii="Times New Roman" w:hAnsi="Times New Roman" w:cs="Times New Roman"/>
          <w:sz w:val="18"/>
          <w:szCs w:val="18"/>
        </w:rPr>
      </w:pPr>
    </w:p>
    <w:p w:rsidR="006D4192" w:rsidRPr="00CC4488" w:rsidRDefault="006D4192" w:rsidP="004055DF">
      <w:pPr>
        <w:spacing w:after="0" w:line="240" w:lineRule="auto"/>
        <w:ind w:left="720" w:hanging="720"/>
        <w:jc w:val="both"/>
        <w:rPr>
          <w:rFonts w:ascii="Times New Roman" w:hAnsi="Times New Roman" w:cs="Times New Roman"/>
          <w:sz w:val="18"/>
          <w:szCs w:val="18"/>
        </w:rPr>
      </w:pPr>
    </w:p>
    <w:sectPr w:rsidR="006D4192" w:rsidRPr="00CC4488" w:rsidSect="00F91BD6">
      <w:headerReference w:type="even" r:id="rId26"/>
      <w:headerReference w:type="default" r:id="rId27"/>
      <w:headerReference w:type="first" r:id="rId28"/>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E1A" w:rsidRDefault="00B24E1A" w:rsidP="00F91BD6">
      <w:pPr>
        <w:spacing w:after="0" w:line="240" w:lineRule="auto"/>
      </w:pPr>
      <w:r>
        <w:separator/>
      </w:r>
    </w:p>
  </w:endnote>
  <w:endnote w:type="continuationSeparator" w:id="0">
    <w:p w:rsidR="00B24E1A" w:rsidRDefault="00B24E1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E1A" w:rsidRDefault="00B24E1A" w:rsidP="00F91BD6">
      <w:pPr>
        <w:spacing w:after="0" w:line="240" w:lineRule="auto"/>
      </w:pPr>
      <w:r>
        <w:separator/>
      </w:r>
    </w:p>
  </w:footnote>
  <w:footnote w:type="continuationSeparator" w:id="0">
    <w:p w:rsidR="00B24E1A" w:rsidRDefault="00B24E1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F0A69">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F0A69">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F0A69">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247A4"/>
    <w:rsid w:val="00036B39"/>
    <w:rsid w:val="00053CBA"/>
    <w:rsid w:val="00070412"/>
    <w:rsid w:val="00097CE9"/>
    <w:rsid w:val="000A0097"/>
    <w:rsid w:val="000A53F9"/>
    <w:rsid w:val="000B58AE"/>
    <w:rsid w:val="000C2C64"/>
    <w:rsid w:val="000D02C0"/>
    <w:rsid w:val="000D08ED"/>
    <w:rsid w:val="000D4354"/>
    <w:rsid w:val="000E77B6"/>
    <w:rsid w:val="000F34CF"/>
    <w:rsid w:val="000F3C8C"/>
    <w:rsid w:val="000F790D"/>
    <w:rsid w:val="001132D5"/>
    <w:rsid w:val="00113410"/>
    <w:rsid w:val="001334AB"/>
    <w:rsid w:val="00151596"/>
    <w:rsid w:val="001522AD"/>
    <w:rsid w:val="0016112D"/>
    <w:rsid w:val="00161289"/>
    <w:rsid w:val="00162694"/>
    <w:rsid w:val="00182B23"/>
    <w:rsid w:val="001A3A50"/>
    <w:rsid w:val="001C142B"/>
    <w:rsid w:val="001D49FE"/>
    <w:rsid w:val="001E38E7"/>
    <w:rsid w:val="001E7745"/>
    <w:rsid w:val="001F0AA8"/>
    <w:rsid w:val="001F428A"/>
    <w:rsid w:val="001F7462"/>
    <w:rsid w:val="001F7CE7"/>
    <w:rsid w:val="0020217F"/>
    <w:rsid w:val="002203BA"/>
    <w:rsid w:val="00245A6D"/>
    <w:rsid w:val="00271018"/>
    <w:rsid w:val="002809E8"/>
    <w:rsid w:val="002879F9"/>
    <w:rsid w:val="00294711"/>
    <w:rsid w:val="002968B3"/>
    <w:rsid w:val="002A0921"/>
    <w:rsid w:val="002D02FF"/>
    <w:rsid w:val="002D3177"/>
    <w:rsid w:val="002D7094"/>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465AA"/>
    <w:rsid w:val="00451E2A"/>
    <w:rsid w:val="00452C91"/>
    <w:rsid w:val="004606B4"/>
    <w:rsid w:val="004615A4"/>
    <w:rsid w:val="004724F4"/>
    <w:rsid w:val="004732C0"/>
    <w:rsid w:val="004900D4"/>
    <w:rsid w:val="00492B6D"/>
    <w:rsid w:val="00494000"/>
    <w:rsid w:val="00496A6D"/>
    <w:rsid w:val="004A38FD"/>
    <w:rsid w:val="004A40A8"/>
    <w:rsid w:val="004B0CA4"/>
    <w:rsid w:val="004B2818"/>
    <w:rsid w:val="004B4A17"/>
    <w:rsid w:val="004B5CCF"/>
    <w:rsid w:val="004B665F"/>
    <w:rsid w:val="004B7D25"/>
    <w:rsid w:val="004C40BE"/>
    <w:rsid w:val="004C5210"/>
    <w:rsid w:val="004D515D"/>
    <w:rsid w:val="004D529E"/>
    <w:rsid w:val="004E4CA8"/>
    <w:rsid w:val="004F0A69"/>
    <w:rsid w:val="004F47FC"/>
    <w:rsid w:val="004F5BD5"/>
    <w:rsid w:val="0051361B"/>
    <w:rsid w:val="005155B0"/>
    <w:rsid w:val="005205CA"/>
    <w:rsid w:val="0052400A"/>
    <w:rsid w:val="00531822"/>
    <w:rsid w:val="005374C5"/>
    <w:rsid w:val="005548A9"/>
    <w:rsid w:val="0055686A"/>
    <w:rsid w:val="00567947"/>
    <w:rsid w:val="00580181"/>
    <w:rsid w:val="0058140A"/>
    <w:rsid w:val="005920E3"/>
    <w:rsid w:val="005A48D6"/>
    <w:rsid w:val="005A7DFA"/>
    <w:rsid w:val="005B50EB"/>
    <w:rsid w:val="005B6A56"/>
    <w:rsid w:val="005C11EF"/>
    <w:rsid w:val="005C546F"/>
    <w:rsid w:val="005C5C18"/>
    <w:rsid w:val="005E7B7F"/>
    <w:rsid w:val="005F249D"/>
    <w:rsid w:val="005F792F"/>
    <w:rsid w:val="00600C25"/>
    <w:rsid w:val="0060646C"/>
    <w:rsid w:val="00615015"/>
    <w:rsid w:val="0062445A"/>
    <w:rsid w:val="00627E82"/>
    <w:rsid w:val="00633207"/>
    <w:rsid w:val="00634F7A"/>
    <w:rsid w:val="00636159"/>
    <w:rsid w:val="00641E5C"/>
    <w:rsid w:val="00644DEA"/>
    <w:rsid w:val="00646786"/>
    <w:rsid w:val="00650026"/>
    <w:rsid w:val="00652940"/>
    <w:rsid w:val="006665C0"/>
    <w:rsid w:val="00676D04"/>
    <w:rsid w:val="00684847"/>
    <w:rsid w:val="006854EC"/>
    <w:rsid w:val="00687366"/>
    <w:rsid w:val="006B206A"/>
    <w:rsid w:val="006B3A5C"/>
    <w:rsid w:val="006C57A7"/>
    <w:rsid w:val="006D4192"/>
    <w:rsid w:val="006D6520"/>
    <w:rsid w:val="006D6CDB"/>
    <w:rsid w:val="006E627C"/>
    <w:rsid w:val="006E64CF"/>
    <w:rsid w:val="006F4E52"/>
    <w:rsid w:val="00700568"/>
    <w:rsid w:val="007008EE"/>
    <w:rsid w:val="00704645"/>
    <w:rsid w:val="0071661D"/>
    <w:rsid w:val="007178A2"/>
    <w:rsid w:val="00717D26"/>
    <w:rsid w:val="0072291D"/>
    <w:rsid w:val="00725944"/>
    <w:rsid w:val="00733028"/>
    <w:rsid w:val="00745575"/>
    <w:rsid w:val="00745D1C"/>
    <w:rsid w:val="007531A9"/>
    <w:rsid w:val="007570B5"/>
    <w:rsid w:val="00786E0B"/>
    <w:rsid w:val="007A3965"/>
    <w:rsid w:val="007B3356"/>
    <w:rsid w:val="007C4DAD"/>
    <w:rsid w:val="00803873"/>
    <w:rsid w:val="00825B38"/>
    <w:rsid w:val="00825CDC"/>
    <w:rsid w:val="00832AA7"/>
    <w:rsid w:val="00834FE0"/>
    <w:rsid w:val="00835523"/>
    <w:rsid w:val="00844171"/>
    <w:rsid w:val="00847A60"/>
    <w:rsid w:val="00851A3F"/>
    <w:rsid w:val="00856ECD"/>
    <w:rsid w:val="00861E79"/>
    <w:rsid w:val="008744D2"/>
    <w:rsid w:val="008816C2"/>
    <w:rsid w:val="008A587B"/>
    <w:rsid w:val="008B2213"/>
    <w:rsid w:val="008C43A5"/>
    <w:rsid w:val="008C7064"/>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C7E52"/>
    <w:rsid w:val="009D42E2"/>
    <w:rsid w:val="009E0DC1"/>
    <w:rsid w:val="009E19DA"/>
    <w:rsid w:val="009E4384"/>
    <w:rsid w:val="009E61C2"/>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39C1"/>
    <w:rsid w:val="00AF4B78"/>
    <w:rsid w:val="00B0293A"/>
    <w:rsid w:val="00B03455"/>
    <w:rsid w:val="00B06554"/>
    <w:rsid w:val="00B10CFB"/>
    <w:rsid w:val="00B1576A"/>
    <w:rsid w:val="00B17922"/>
    <w:rsid w:val="00B24E1A"/>
    <w:rsid w:val="00B31060"/>
    <w:rsid w:val="00B348F7"/>
    <w:rsid w:val="00B52824"/>
    <w:rsid w:val="00B70684"/>
    <w:rsid w:val="00B736D7"/>
    <w:rsid w:val="00B87BA5"/>
    <w:rsid w:val="00BA1443"/>
    <w:rsid w:val="00BA5C92"/>
    <w:rsid w:val="00BB5B14"/>
    <w:rsid w:val="00BC1B77"/>
    <w:rsid w:val="00BE28EE"/>
    <w:rsid w:val="00BF2943"/>
    <w:rsid w:val="00BF4567"/>
    <w:rsid w:val="00BF7928"/>
    <w:rsid w:val="00C03049"/>
    <w:rsid w:val="00C056BE"/>
    <w:rsid w:val="00C063AB"/>
    <w:rsid w:val="00C124FC"/>
    <w:rsid w:val="00C16212"/>
    <w:rsid w:val="00C17718"/>
    <w:rsid w:val="00C43BCB"/>
    <w:rsid w:val="00C4740E"/>
    <w:rsid w:val="00C55E7C"/>
    <w:rsid w:val="00C61D02"/>
    <w:rsid w:val="00C63BEE"/>
    <w:rsid w:val="00C70E4D"/>
    <w:rsid w:val="00C73086"/>
    <w:rsid w:val="00C77662"/>
    <w:rsid w:val="00C92B23"/>
    <w:rsid w:val="00C92D42"/>
    <w:rsid w:val="00C93086"/>
    <w:rsid w:val="00C95CB4"/>
    <w:rsid w:val="00CA7BF5"/>
    <w:rsid w:val="00CB162F"/>
    <w:rsid w:val="00CC029C"/>
    <w:rsid w:val="00CC0421"/>
    <w:rsid w:val="00CC2185"/>
    <w:rsid w:val="00CC4488"/>
    <w:rsid w:val="00CC7F75"/>
    <w:rsid w:val="00CD234D"/>
    <w:rsid w:val="00CD314A"/>
    <w:rsid w:val="00CE1C58"/>
    <w:rsid w:val="00CE2E93"/>
    <w:rsid w:val="00D01EC7"/>
    <w:rsid w:val="00D13562"/>
    <w:rsid w:val="00D21A37"/>
    <w:rsid w:val="00D47B0C"/>
    <w:rsid w:val="00D56D07"/>
    <w:rsid w:val="00D704F8"/>
    <w:rsid w:val="00D76536"/>
    <w:rsid w:val="00D806DB"/>
    <w:rsid w:val="00D87A80"/>
    <w:rsid w:val="00D91011"/>
    <w:rsid w:val="00D94211"/>
    <w:rsid w:val="00D94905"/>
    <w:rsid w:val="00DA0EC5"/>
    <w:rsid w:val="00DB6339"/>
    <w:rsid w:val="00DC596F"/>
    <w:rsid w:val="00DD0655"/>
    <w:rsid w:val="00DD6F85"/>
    <w:rsid w:val="00DF57FE"/>
    <w:rsid w:val="00E010DE"/>
    <w:rsid w:val="00E02D97"/>
    <w:rsid w:val="00E03344"/>
    <w:rsid w:val="00E1357F"/>
    <w:rsid w:val="00E16E53"/>
    <w:rsid w:val="00E24A34"/>
    <w:rsid w:val="00E2500B"/>
    <w:rsid w:val="00E2777F"/>
    <w:rsid w:val="00E3325F"/>
    <w:rsid w:val="00E37A65"/>
    <w:rsid w:val="00E40D29"/>
    <w:rsid w:val="00E613B0"/>
    <w:rsid w:val="00E6379E"/>
    <w:rsid w:val="00E649A5"/>
    <w:rsid w:val="00E66CBF"/>
    <w:rsid w:val="00E70497"/>
    <w:rsid w:val="00E728E9"/>
    <w:rsid w:val="00E77A41"/>
    <w:rsid w:val="00E81154"/>
    <w:rsid w:val="00E82341"/>
    <w:rsid w:val="00E97E5C"/>
    <w:rsid w:val="00EA3CA8"/>
    <w:rsid w:val="00EB113F"/>
    <w:rsid w:val="00EB4F30"/>
    <w:rsid w:val="00EC1CC3"/>
    <w:rsid w:val="00ED205C"/>
    <w:rsid w:val="00ED47E5"/>
    <w:rsid w:val="00ED5FB3"/>
    <w:rsid w:val="00ED686E"/>
    <w:rsid w:val="00ED6DB1"/>
    <w:rsid w:val="00EF3DDB"/>
    <w:rsid w:val="00F02DCA"/>
    <w:rsid w:val="00F054C9"/>
    <w:rsid w:val="00F07E3C"/>
    <w:rsid w:val="00F14152"/>
    <w:rsid w:val="00F2585C"/>
    <w:rsid w:val="00F35ED5"/>
    <w:rsid w:val="00F47DA9"/>
    <w:rsid w:val="00F50871"/>
    <w:rsid w:val="00F50958"/>
    <w:rsid w:val="00F6712B"/>
    <w:rsid w:val="00F73657"/>
    <w:rsid w:val="00F7753D"/>
    <w:rsid w:val="00F77587"/>
    <w:rsid w:val="00F8256B"/>
    <w:rsid w:val="00F91BD6"/>
    <w:rsid w:val="00FA2D50"/>
    <w:rsid w:val="00FB5112"/>
    <w:rsid w:val="00FC0099"/>
    <w:rsid w:val="00FC1B42"/>
    <w:rsid w:val="00FC4561"/>
    <w:rsid w:val="00FF39EC"/>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890">
      <w:bodyDiv w:val="1"/>
      <w:marLeft w:val="0"/>
      <w:marRight w:val="0"/>
      <w:marTop w:val="0"/>
      <w:marBottom w:val="0"/>
      <w:divBdr>
        <w:top w:val="none" w:sz="0" w:space="0" w:color="auto"/>
        <w:left w:val="none" w:sz="0" w:space="0" w:color="auto"/>
        <w:bottom w:val="none" w:sz="0" w:space="0" w:color="auto"/>
        <w:right w:val="none" w:sz="0" w:space="0" w:color="auto"/>
      </w:divBdr>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023">
      <w:bodyDiv w:val="1"/>
      <w:marLeft w:val="0"/>
      <w:marRight w:val="0"/>
      <w:marTop w:val="0"/>
      <w:marBottom w:val="0"/>
      <w:divBdr>
        <w:top w:val="none" w:sz="0" w:space="0" w:color="auto"/>
        <w:left w:val="none" w:sz="0" w:space="0" w:color="auto"/>
        <w:bottom w:val="none" w:sz="0" w:space="0" w:color="auto"/>
        <w:right w:val="none" w:sz="0" w:space="0" w:color="auto"/>
      </w:divBdr>
    </w:div>
    <w:div w:id="149633394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doi.org/10.3390/data602001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www.kaggle.com/datasets/ziya07/emotional-monitoring-dataset" TargetMode="External"/><Relationship Id="rId25" Type="http://schemas.openxmlformats.org/officeDocument/2006/relationships/hyperlink" Target="https://files.eric.ed.gov/fulltext/EJ1294138.pdf" TargetMode="External"/><Relationship Id="rId2" Type="http://schemas.openxmlformats.org/officeDocument/2006/relationships/numbering" Target="numbering.xml"/><Relationship Id="rId16" Type="http://schemas.openxmlformats.org/officeDocument/2006/relationships/hyperlink" Target="https://docmckee.com/cj/docs-research-glossary/experimental-research-a-quantitative-research-method/" TargetMode="External"/><Relationship Id="rId20" Type="http://schemas.openxmlformats.org/officeDocument/2006/relationships/hyperlink" Target="https://pureai.com/articles/2020/04/10/ml-techniques.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yperlink" Target="https://iopscience.iop.org/article/10.1088/1742-6596/1529/5/052041/pdf" TargetMode="Externa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yperlink" Target="https://doi.org/10.1371/journal.pone.0252918"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edvancer.in/logistic-regression-vs-decision-trees-vs-svm-part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D7B95-AE81-4512-984D-80553519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7</Pages>
  <Words>4013</Words>
  <Characters>22876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304</cp:revision>
  <dcterms:created xsi:type="dcterms:W3CDTF">2024-12-15T22:31:00Z</dcterms:created>
  <dcterms:modified xsi:type="dcterms:W3CDTF">2025-01-25T06:41:00Z</dcterms:modified>
</cp:coreProperties>
</file>