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Pr="00F91BD6" w:rsidRDefault="00F64B73" w:rsidP="00A54CD3">
      <w:pPr>
        <w:spacing w:after="0" w:line="240" w:lineRule="auto"/>
        <w:jc w:val="center"/>
        <w:rPr>
          <w:sz w:val="20"/>
          <w:szCs w:val="20"/>
        </w:rPr>
      </w:pPr>
      <w:r w:rsidRPr="00F64B73">
        <w:rPr>
          <w:rFonts w:ascii="Times New Roman" w:eastAsia="Times New Roman" w:hAnsi="Times New Roman" w:cs="Times New Roman"/>
          <w:b/>
          <w:bCs/>
          <w:sz w:val="32"/>
          <w:szCs w:val="32"/>
        </w:rPr>
        <w:t>Cardholder Segmentation Using K-Means for Effective Marketing Strategies</w:t>
      </w: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F64B73">
              <w:rPr>
                <w:rFonts w:ascii="Times New Roman" w:hAnsi="Times New Roman" w:cs="Times New Roman"/>
                <w:sz w:val="18"/>
                <w:szCs w:val="18"/>
              </w:rPr>
              <w:t>January 21</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F64B73">
              <w:rPr>
                <w:rFonts w:ascii="Times New Roman" w:hAnsi="Times New Roman" w:cs="Times New Roman"/>
                <w:sz w:val="18"/>
                <w:szCs w:val="18"/>
              </w:rPr>
              <w:t>January 21</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6E55D3" w:rsidP="008744D2">
            <w:pPr>
              <w:spacing w:before="120"/>
              <w:jc w:val="both"/>
              <w:rPr>
                <w:rFonts w:ascii="Times New Roman" w:hAnsi="Times New Roman" w:cs="Times New Roman"/>
                <w:sz w:val="18"/>
                <w:szCs w:val="18"/>
              </w:rPr>
            </w:pPr>
            <w:r w:rsidRPr="006E55D3">
              <w:rPr>
                <w:rFonts w:ascii="Times New Roman" w:hAnsi="Times New Roman" w:cs="Times New Roman"/>
                <w:sz w:val="18"/>
                <w:szCs w:val="18"/>
              </w:rPr>
              <w:t>This study explores the application of K-Means clustering to segment credit card customers based on their demographic, behavioral, and transactional data. Using a dataset encompassing spending habits, payment frequencies, and credit usage, the analysis determined that four distinct customer groups provided the optimal segmentation, as validated through the Elbow Method, Silhouette Score, and Davies-Bouldin Index. The results revealed key patterns: a segment of cost-conscious customers with minimal activity, a group of moderate spenders with consistent payment behavior, a balanced segment with steady but diverse spending, and a high-income group with premium spending behavior. These findings highlight opportunities for businesses to tailor marketing strategies, improve customer engagement, and optimize resource allocation. By demonstrating the scalability and practicality of K-Means clustering, this research provides a framework for leveraging raw data to derive actionable insights in customer analytics.</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Clustering</w:t>
            </w:r>
          </w:p>
          <w:p w:rsidR="00C11D93" w:rsidRDefault="00F64B73" w:rsidP="009E4384">
            <w:pPr>
              <w:jc w:val="both"/>
              <w:rPr>
                <w:rFonts w:ascii="Times New Roman" w:hAnsi="Times New Roman" w:cs="Times New Roman"/>
                <w:sz w:val="18"/>
                <w:szCs w:val="18"/>
              </w:rPr>
            </w:pPr>
            <w:r>
              <w:rPr>
                <w:rFonts w:ascii="Times New Roman" w:hAnsi="Times New Roman" w:cs="Times New Roman"/>
                <w:sz w:val="18"/>
                <w:szCs w:val="18"/>
              </w:rPr>
              <w:t>K-Means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K-Means Elbow Method</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Principal Component Analysis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 xml:space="preserve">Silhouette Score </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 xml:space="preserve">Davies-Bouldin Score </w:t>
            </w:r>
          </w:p>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[2],[3]. Clustering techniques have emerged as a cornerstone of customer analytics, enabling businesses to categorize their clientele into meaningful groups based on transactional and behavioral patterns [4].</w:t>
      </w:r>
    </w:p>
    <w:p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[5],[6]. Traditional marketing and risk management strategies often fall short due to their generalized nature, emphasizing the need for data-driven, personalized approaches [7].</w:t>
      </w:r>
    </w:p>
    <w:p w:rsidR="003130D0" w:rsidRPr="004E2B26" w:rsidRDefault="004E2B26" w:rsidP="004E2B26">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This study leverages clustering techniques, particularly K-Means, to segment credit card customers based on attributes such as purchases, payments, and account tenure. By uncovering latent patterns, the research aims to help credit card providers tailor services, improve customer retention, and maximize profitability [8]. This paper also explores how clustering can bridge the gap between raw transaction data and actionable business insights, setting a foundation for scalable and replicable customer analytics frameworks [9].</w:t>
      </w:r>
    </w:p>
    <w:p w:rsidR="00EC40A0" w:rsidRDefault="00EC40A0" w:rsidP="009C5DAC">
      <w:pPr>
        <w:spacing w:before="120" w:after="0"/>
        <w:ind w:firstLine="720"/>
        <w:jc w:val="both"/>
        <w:rPr>
          <w:rFonts w:ascii="Times New Roman" w:hAnsi="Times New Roman" w:cs="Times New Roman"/>
          <w:b/>
          <w:sz w:val="20"/>
          <w:szCs w:val="20"/>
        </w:rPr>
      </w:pPr>
    </w:p>
    <w:p w:rsidR="004E2B26" w:rsidRPr="009C5DAC" w:rsidRDefault="004E2B26" w:rsidP="009C5DAC">
      <w:pPr>
        <w:spacing w:before="120" w:after="0"/>
        <w:ind w:firstLine="720"/>
        <w:jc w:val="both"/>
        <w:rPr>
          <w:rFonts w:ascii="Times New Roman" w:hAnsi="Times New Roman" w:cs="Times New Roman"/>
          <w:b/>
          <w:sz w:val="20"/>
          <w:szCs w:val="20"/>
        </w:rPr>
      </w:pPr>
    </w:p>
    <w:p w:rsidR="002E26B3" w:rsidRDefault="00B10CFB" w:rsidP="009C5DAC">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rsidR="00844171" w:rsidRDefault="003C138A" w:rsidP="00A54CD3">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Clustering is an unsupervised machine learning method that groups data points based on their similarities, aiming to maximize intra-cluster cohesion while ensuring inter-cluster separation [10]. Common algorithms include K-Means, DBSCAN, and Hierarchical Clustering, each suited to specific data structures and objectives [11].</w:t>
      </w:r>
    </w:p>
    <w:p w:rsidR="003C138A" w:rsidRDefault="003C138A" w:rsidP="00A54CD3">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 xml:space="preserve">Studies highlight the versatility of clustering in diverse domains. For instance, researchers applied DBSCAN to detect anomalies in financial transactions, demonstrating its strength in handling noise and outliers [12]. K-Means has been widely employed for customer segmentation in retail and finance, providing actionable </w:t>
      </w:r>
      <w:r w:rsidRPr="003C138A">
        <w:rPr>
          <w:rFonts w:ascii="Times New Roman" w:hAnsi="Times New Roman" w:cs="Times New Roman"/>
          <w:sz w:val="20"/>
          <w:szCs w:val="20"/>
        </w:rPr>
        <w:lastRenderedPageBreak/>
        <w:t>insights into purchasing behaviors and payment patterns [13]. Hierarchical Clustering, often used in bioinformatics, facilitates the exploration of hierarchical relationships among data points [14].</w:t>
      </w:r>
    </w:p>
    <w:p w:rsidR="003C138A" w:rsidRDefault="003C138A" w:rsidP="003C138A">
      <w:pPr>
        <w:spacing w:before="120" w:after="120" w:line="240" w:lineRule="auto"/>
        <w:jc w:val="both"/>
        <w:rPr>
          <w:rFonts w:ascii="Times New Roman" w:hAnsi="Times New Roman" w:cs="Times New Roman"/>
          <w:sz w:val="20"/>
          <w:szCs w:val="20"/>
        </w:rPr>
      </w:pP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rsidR="009A0C64" w:rsidRDefault="003C138A" w:rsidP="00BB5B14">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Customer segmentation divides a user base into groups with similar characteristics, such as spending behaviors, demographics, or engagement levels [15]. This technique allows businesses to design targeted marketing strategies, optimize resource allocation, and improve customer satisfaction [16].</w:t>
      </w:r>
    </w:p>
    <w:p w:rsidR="00844171" w:rsidRDefault="003C138A" w:rsidP="00A54CD3">
      <w:pPr>
        <w:spacing w:before="120" w:after="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In financial services, segmentation is particularly valuable. A study analyzing telecom customer data used K-Means to segment users based on call duration and data usage, achieving enhanced service delivery and reduced churn [17]. Another example involved clustering e-commerce customers into high-value and low-value groups to guide promotional strategies [18]. Such applications underscore the importance of segmentation in driving data-informed decision-making and operational efficiency [19].</w:t>
      </w:r>
    </w:p>
    <w:p w:rsidR="003C138A" w:rsidRDefault="003C138A" w:rsidP="003C138A">
      <w:pPr>
        <w:spacing w:before="120" w:after="0" w:line="240" w:lineRule="auto"/>
        <w:jc w:val="both"/>
        <w:rPr>
          <w:rFonts w:ascii="Times New Roman" w:hAnsi="Times New Roman" w:cs="Times New Roman"/>
          <w:sz w:val="20"/>
          <w:szCs w:val="20"/>
        </w:rPr>
      </w:pP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3</w:t>
      </w:r>
      <w:r w:rsidRPr="003C138A">
        <w:rPr>
          <w:rFonts w:ascii="Times New Roman" w:hAnsi="Times New Roman" w:cs="Times New Roman"/>
          <w:b/>
          <w:sz w:val="20"/>
          <w:szCs w:val="20"/>
        </w:rPr>
        <w:t xml:space="preserve">. </w:t>
      </w:r>
      <w:r>
        <w:rPr>
          <w:rFonts w:ascii="Times New Roman" w:hAnsi="Times New Roman" w:cs="Times New Roman"/>
          <w:b/>
          <w:sz w:val="20"/>
          <w:szCs w:val="20"/>
        </w:rPr>
        <w:t>K-Means Clustering</w:t>
      </w:r>
    </w:p>
    <w:p w:rsidR="00A54CD3" w:rsidRDefault="003C138A" w:rsidP="00A54CD3">
      <w:pPr>
        <w:spacing w:before="120" w:after="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K-Means is a widely adopted clustering algorithm due to its simplicity and computational efficiency. It partitions data into a predefined number of clusters by iteratively updating centroids to minimize within-cluster variance [20].</w:t>
      </w:r>
    </w:p>
    <w:p w:rsidR="00B32F6F" w:rsidRDefault="00B32F6F" w:rsidP="00B32F6F">
      <w:pPr>
        <w:spacing w:before="120" w:after="0" w:line="240" w:lineRule="auto"/>
        <w:ind w:firstLine="720"/>
        <w:jc w:val="both"/>
        <w:rPr>
          <w:rFonts w:ascii="Times New Roman" w:hAnsi="Times New Roman" w:cs="Times New Roman"/>
          <w:sz w:val="20"/>
          <w:szCs w:val="20"/>
        </w:rPr>
      </w:pPr>
      <w:r w:rsidRPr="00B32F6F">
        <w:rPr>
          <w:rFonts w:ascii="Times New Roman" w:hAnsi="Times New Roman" w:cs="Times New Roman"/>
          <w:sz w:val="20"/>
          <w:szCs w:val="20"/>
        </w:rPr>
        <w:t>Various adaptations of K-Means address its limitations. Mini-Batch K-Means enhances scalability for large datasets by processing data in smaller chunks, while Weighted K-Means assigns varying importance to features, making it suitable for customer segmentation tasks [21],[22].</w:t>
      </w:r>
    </w:p>
    <w:p w:rsidR="00B32F6F" w:rsidRDefault="00B32F6F" w:rsidP="00CD31BB">
      <w:pPr>
        <w:spacing w:before="120" w:after="0" w:line="240" w:lineRule="auto"/>
        <w:ind w:firstLine="720"/>
        <w:jc w:val="both"/>
        <w:rPr>
          <w:rFonts w:ascii="Times New Roman" w:hAnsi="Times New Roman" w:cs="Times New Roman"/>
          <w:sz w:val="20"/>
          <w:szCs w:val="20"/>
        </w:rPr>
      </w:pPr>
      <w:r w:rsidRPr="00B32F6F">
        <w:rPr>
          <w:rFonts w:ascii="Times New Roman" w:hAnsi="Times New Roman" w:cs="Times New Roman"/>
          <w:sz w:val="20"/>
          <w:szCs w:val="20"/>
        </w:rPr>
        <w:t>Recent studies have demonstrated the utility of K-Means in analyzing financial datasets. For example, researchers applied Weighted K-Means to segment credit card users based on spending frequency and payment consistency, resulting in more effective resource allocation and personalized offers [23]. Another study highlighted Mini-Batch K-Means’ capability to handle extensive e-commerce datasets while maintaining clustering precision [24]. These advancements reaffirm K-Means’ pivotal role in clustering tasks across industries [25].</w:t>
      </w:r>
    </w:p>
    <w:p w:rsidR="00A54CD3" w:rsidRDefault="00A54CD3" w:rsidP="00A54CD3">
      <w:pPr>
        <w:spacing w:before="120" w:after="0" w:line="240" w:lineRule="auto"/>
        <w:jc w:val="both"/>
        <w:rPr>
          <w:rFonts w:ascii="Times New Roman" w:hAnsi="Times New Roman" w:cs="Times New Roman"/>
          <w:sz w:val="20"/>
          <w:szCs w:val="20"/>
        </w:rPr>
      </w:pPr>
    </w:p>
    <w:p w:rsidR="00BB5B9C" w:rsidRDefault="00BB5B9C" w:rsidP="00A54CD3">
      <w:pPr>
        <w:spacing w:before="120" w:after="0" w:line="240" w:lineRule="auto"/>
        <w:jc w:val="both"/>
        <w:rPr>
          <w:rFonts w:ascii="Times New Roman" w:hAnsi="Times New Roman" w:cs="Times New Roman"/>
          <w:sz w:val="20"/>
          <w:szCs w:val="20"/>
        </w:rPr>
      </w:pPr>
    </w:p>
    <w:p w:rsidR="00BB5B14" w:rsidRPr="00A54CD3" w:rsidRDefault="00BB5B14" w:rsidP="00A54CD3">
      <w:pPr>
        <w:pStyle w:val="ListParagraph"/>
        <w:numPr>
          <w:ilvl w:val="0"/>
          <w:numId w:val="3"/>
        </w:numPr>
        <w:spacing w:before="120" w:after="0" w:line="240" w:lineRule="auto"/>
        <w:jc w:val="both"/>
        <w:rPr>
          <w:rFonts w:ascii="Times New Roman" w:hAnsi="Times New Roman" w:cs="Times New Roman"/>
          <w:b/>
          <w:sz w:val="20"/>
          <w:szCs w:val="20"/>
        </w:rPr>
      </w:pPr>
      <w:r w:rsidRPr="00A54CD3">
        <w:rPr>
          <w:rFonts w:ascii="Times New Roman" w:hAnsi="Times New Roman" w:cs="Times New Roman"/>
          <w:b/>
          <w:sz w:val="20"/>
          <w:szCs w:val="20"/>
        </w:rPr>
        <w:t>METHODOLOGY</w:t>
      </w:r>
    </w:p>
    <w:p w:rsidR="00AE3980" w:rsidRDefault="00A54CD3" w:rsidP="00AE398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provides an outline of the research methodology employed in this study.</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A67E15" w:rsidP="00AF4B78">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3.9.15 as the primary programming language for data analysis and model implementation with the following libraries: Math, NumPy, Pandas, Seaborn, Matplotlib, and Scikit-Learn.</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A67E15" w:rsidP="00B736D7">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This research employs a dataset from Kaggle [</w:t>
      </w:r>
      <w:r w:rsidR="000277FD">
        <w:rPr>
          <w:rFonts w:ascii="Times New Roman" w:hAnsi="Times New Roman" w:cs="Times New Roman"/>
          <w:sz w:val="20"/>
          <w:szCs w:val="20"/>
        </w:rPr>
        <w:t>26], a .csv file containing 8950</w:t>
      </w:r>
      <w:r w:rsidRPr="00A67E15">
        <w:rPr>
          <w:rFonts w:ascii="Times New Roman" w:hAnsi="Times New Roman" w:cs="Times New Roman"/>
          <w:sz w:val="20"/>
          <w:szCs w:val="20"/>
        </w:rPr>
        <w:t xml:space="preserve">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w:t>
      </w:r>
    </w:p>
    <w:p w:rsidR="003130D0" w:rsidRDefault="003130D0"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 of the model being schooled [27]. The researchers employed several techniques to clean the data, which included data normalization and fixing missing values:</w:t>
      </w:r>
    </w:p>
    <w:p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lastRenderedPageBreak/>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rsidR="0065271F" w:rsidRPr="00C4740E" w:rsidRDefault="0065271F" w:rsidP="00D013DB">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rsidR="00A54CD3" w:rsidRDefault="00A67E15" w:rsidP="00A54CD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Since the dataset has 18 features PCA reduces the number of features or dimensions in the data into 2 features while retaining the most important patterns or variance in the dataset. The remaining features would be principal components 1 and 2,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rsidR="00A54CD3" w:rsidRDefault="00A54CD3" w:rsidP="00A54CD3">
      <w:pPr>
        <w:spacing w:before="120" w:after="0" w:line="240" w:lineRule="auto"/>
        <w:jc w:val="both"/>
        <w:rPr>
          <w:rFonts w:ascii="Times New Roman" w:hAnsi="Times New Roman" w:cs="Times New Roman"/>
          <w:sz w:val="20"/>
          <w:szCs w:val="20"/>
        </w:rPr>
      </w:pP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rsidR="00A54CD3" w:rsidRPr="00C4740E" w:rsidRDefault="00105B2B" w:rsidP="003130D0">
      <w:pPr>
        <w:spacing w:before="120" w:after="0" w:line="240" w:lineRule="auto"/>
        <w:ind w:firstLine="720"/>
        <w:jc w:val="both"/>
        <w:rPr>
          <w:rFonts w:ascii="Times New Roman" w:hAnsi="Times New Roman" w:cs="Times New Roman"/>
          <w:sz w:val="20"/>
          <w:szCs w:val="20"/>
        </w:rPr>
      </w:pPr>
      <w:r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rsidR="00C4740E" w:rsidRPr="00105B2B" w:rsidRDefault="00E65B48" w:rsidP="00E65B48">
      <w:pPr>
        <w:tabs>
          <w:tab w:val="left" w:pos="426"/>
        </w:tabs>
        <w:spacing w:before="120"/>
        <w:jc w:val="center"/>
      </w:pPr>
      <w:r>
        <w:rPr>
          <w:noProof/>
        </w:rPr>
        <mc:AlternateContent>
          <mc:Choice Requires="wps">
            <w:drawing>
              <wp:anchor distT="0" distB="0" distL="114300" distR="114300" simplePos="0" relativeHeight="251665408" behindDoc="0" locked="0" layoutInCell="1" allowOverlap="1" wp14:anchorId="136670C1" wp14:editId="5C004985">
                <wp:simplePos x="0" y="0"/>
                <wp:positionH relativeFrom="column">
                  <wp:posOffset>4457065</wp:posOffset>
                </wp:positionH>
                <wp:positionV relativeFrom="paragraph">
                  <wp:posOffset>36500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r w:rsidRPr="000277F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0.95pt;margin-top:2.85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" filled="f" stroked="f" strokeweight=".5pt">
                <v:textbox>
                  <w:txbxContent>
                    <w:p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r w:rsidRPr="000277FD">
                        <w:rPr>
                          <w:rFonts w:ascii="Times New Roman" w:hAnsi="Times New Roman" w:cs="Times New Roman"/>
                          <w:sz w:val="20"/>
                          <w:szCs w:val="20"/>
                        </w:rPr>
                        <w:t>)</w:t>
                      </w:r>
                    </w:p>
                  </w:txbxContent>
                </v:textbox>
              </v:shape>
            </w:pict>
          </mc:Fallback>
        </mc:AlternateContent>
      </w:r>
      <m:oMath>
        <m:r>
          <w:rPr>
            <w:rFonts w:ascii="Cambria Math" w:hAnsi="Cambria Math"/>
          </w:rPr>
          <m:t xml:space="preserve">WCSS=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x∈Ci</m:t>
                </m:r>
              </m:sub>
              <m:sup/>
              <m:e>
                <m:r>
                  <w:rPr>
                    <w:rFonts w:ascii="Cambria Math" w:hAnsi="Cambria Math"/>
                  </w:rPr>
                  <m:t>||x-</m:t>
                </m:r>
              </m:e>
            </m:nary>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nary>
      </m:oMath>
    </w:p>
    <w:p w:rsidR="00794B6D" w:rsidRDefault="00E707DE"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i-th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the center of the i-th cluster.</w:t>
      </w:r>
    </w:p>
    <w:p w:rsidR="00794B6D" w:rsidRDefault="00794B6D" w:rsidP="00794B6D">
      <w:pPr>
        <w:spacing w:before="120" w:after="0" w:line="240" w:lineRule="auto"/>
        <w:ind w:firstLine="720"/>
        <w:jc w:val="both"/>
        <w:rPr>
          <w:rFonts w:ascii="Times New Roman" w:hAnsi="Times New Roman" w:cs="Times New Roman"/>
          <w:sz w:val="20"/>
          <w:szCs w:val="20"/>
        </w:rPr>
      </w:pPr>
    </w:p>
    <w:p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b/>
          <w:sz w:val="20"/>
          <w:szCs w:val="20"/>
        </w:rPr>
        <w:t>Silhouette Score</w:t>
      </w:r>
    </w:p>
    <w:p w:rsidR="006961CF" w:rsidRPr="00C4740E" w:rsidRDefault="006961CF" w:rsidP="006961CF">
      <w:pPr>
        <w:spacing w:before="120" w:after="0" w:line="240" w:lineRule="auto"/>
        <w:ind w:firstLine="720"/>
        <w:jc w:val="both"/>
        <w:rPr>
          <w:rFonts w:ascii="Times New Roman" w:hAnsi="Times New Roman" w:cs="Times New Roman"/>
          <w:sz w:val="20"/>
          <w:szCs w:val="20"/>
        </w:rPr>
      </w:pPr>
      <w:r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rsidR="00800318" w:rsidRPr="00A80AC0" w:rsidRDefault="007507D3" w:rsidP="007507D3">
      <w:pPr>
        <w:spacing w:before="120" w:after="0" w:line="240" w:lineRule="auto"/>
        <w:jc w:val="center"/>
        <w:rPr>
          <w:rFonts w:ascii="Times New Roman" w:eastAsiaTheme="minorEastAsia" w:hAnsi="Times New Roman" w:cs="Times New Roman"/>
        </w:rPr>
      </w:pPr>
      <w:r>
        <w:rPr>
          <w:noProof/>
        </w:rPr>
        <mc:AlternateContent>
          <mc:Choice Requires="wps">
            <w:drawing>
              <wp:anchor distT="0" distB="0" distL="114300" distR="114300" simplePos="0" relativeHeight="251667456" behindDoc="0" locked="0" layoutInCell="1" allowOverlap="1" wp14:anchorId="7498A96F" wp14:editId="1FA902BC">
                <wp:simplePos x="0" y="0"/>
                <wp:positionH relativeFrom="column">
                  <wp:posOffset>4457700</wp:posOffset>
                </wp:positionH>
                <wp:positionV relativeFrom="paragraph">
                  <wp:posOffset>107315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w:t>
                            </w:r>
                            <w:r w:rsidRPr="000277FD">
                              <w:rPr>
                                <w:rFonts w:ascii="Times New Roman" w:hAnsi="Times New Roman" w:cs="Times New Roman"/>
                                <w:sz w:val="20"/>
                                <w:szCs w:val="20"/>
                              </w:rPr>
                              <w:t>2</w:t>
                            </w:r>
                            <w:r w:rsidRPr="000277F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1pt;margin-top:8.4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" filled="f" stroked="f" strokeweight=".5pt">
                <v:textbo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w:t>
                      </w:r>
                      <w:r w:rsidRPr="000277FD">
                        <w:rPr>
                          <w:rFonts w:ascii="Times New Roman" w:hAnsi="Times New Roman" w:cs="Times New Roman"/>
                          <w:sz w:val="20"/>
                          <w:szCs w:val="20"/>
                        </w:rPr>
                        <w:t>2</w:t>
                      </w:r>
                      <w:r w:rsidRPr="000277FD">
                        <w:rPr>
                          <w:rFonts w:ascii="Times New Roman" w:hAnsi="Times New Roman" w:cs="Times New Roman"/>
                          <w:sz w:val="20"/>
                          <w:szCs w:val="20"/>
                        </w:rPr>
                        <w:t>)</w:t>
                      </w:r>
                    </w:p>
                  </w:txbxContent>
                </v:textbox>
              </v:shape>
            </w:pict>
          </mc:Fallback>
        </mc:AlternateConten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80AC0" w:rsidRDefault="000318F5" w:rsidP="00A80AC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by</w:t>
      </w:r>
      <w:r w:rsidR="003C7172">
        <w:rPr>
          <w:rFonts w:ascii="Times New Roman" w:hAnsi="Times New Roman" w:cs="Times New Roman"/>
          <w:sz w:val="20"/>
          <w:szCs w:val="20"/>
        </w:rPr>
        <w:t xml:space="preserve"> </w:t>
      </w:r>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all points in the nearest cluster.</w:t>
      </w:r>
    </w:p>
    <w:p w:rsidR="00A80AC0" w:rsidRDefault="003C7172" w:rsidP="003C7172">
      <w:pPr>
        <w:tabs>
          <w:tab w:val="left" w:pos="7557"/>
        </w:tabs>
        <w:spacing w:before="120" w:after="0" w:line="240" w:lineRule="auto"/>
        <w:jc w:val="both"/>
        <w:rPr>
          <w:rFonts w:ascii="Times New Roman" w:hAnsi="Times New Roman" w:cs="Times New Roman"/>
          <w:sz w:val="20"/>
          <w:szCs w:val="20"/>
        </w:rPr>
      </w:pPr>
      <w:r>
        <w:rPr>
          <w:rFonts w:ascii="Times New Roman" w:hAnsi="Times New Roman" w:cs="Times New Roman"/>
          <w:sz w:val="20"/>
          <w:szCs w:val="20"/>
        </w:rPr>
        <w:tab/>
      </w:r>
    </w:p>
    <w:p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b/>
          <w:sz w:val="20"/>
          <w:szCs w:val="20"/>
        </w:rPr>
        <w:t>Davies-Bouldin Score</w:t>
      </w:r>
    </w:p>
    <w:p w:rsidR="00A80AC0" w:rsidRDefault="00A80AC0" w:rsidP="00A80AC0">
      <w:pPr>
        <w:spacing w:before="120" w:after="0" w:line="240" w:lineRule="auto"/>
        <w:ind w:firstLine="720"/>
        <w:jc w:val="both"/>
        <w:rPr>
          <w:rFonts w:ascii="Times New Roman" w:hAnsi="Times New Roman" w:cs="Times New Roman"/>
          <w:sz w:val="20"/>
          <w:szCs w:val="20"/>
        </w:rPr>
      </w:pPr>
      <w:r w:rsidRPr="00A80AC0">
        <w:rPr>
          <w:rFonts w:ascii="Times New Roman" w:hAnsi="Times New Roman" w:cs="Times New Roman"/>
          <w:sz w:val="20"/>
          <w:szCs w:val="20"/>
        </w:rPr>
        <w:t>To evaluate the quality of the clusters generated by the K-Means algorithm, the Davies-Bouldin Score was calculated. This metric measures the average similarity ratio between each cluster and its most similar neighboring cluster. Lower Davies-Bouldin Scores indicate better-defined clusters, where each cluster is compact and distinct from others [34].</w:t>
      </w:r>
    </w:p>
    <w:p w:rsidR="00A80AC0" w:rsidRPr="00A80AC0" w:rsidRDefault="007507D3" w:rsidP="007507D3">
      <w:pPr>
        <w:tabs>
          <w:tab w:val="left" w:pos="426"/>
        </w:tabs>
        <w:spacing w:before="120"/>
        <w:jc w:val="center"/>
      </w:pPr>
      <w:r>
        <w:rPr>
          <w:noProof/>
        </w:rPr>
        <mc:AlternateContent>
          <mc:Choice Requires="wps">
            <w:drawing>
              <wp:anchor distT="0" distB="0" distL="114300" distR="114300" simplePos="0" relativeHeight="251669504" behindDoc="0" locked="0" layoutInCell="1" allowOverlap="1" wp14:anchorId="318D9973" wp14:editId="2044AAFE">
                <wp:simplePos x="0" y="0"/>
                <wp:positionH relativeFrom="column">
                  <wp:posOffset>4458335</wp:posOffset>
                </wp:positionH>
                <wp:positionV relativeFrom="paragraph">
                  <wp:posOffset>77622</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w:t>
                            </w:r>
                            <w:r w:rsidRPr="000277FD">
                              <w:rPr>
                                <w:rFonts w:ascii="Times New Roman" w:hAnsi="Times New Roman" w:cs="Times New Roman"/>
                                <w:sz w:val="20"/>
                                <w:szCs w:val="20"/>
                              </w:rPr>
                              <w:t>3</w:t>
                            </w:r>
                            <w:r w:rsidRPr="000277F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6.1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XixHg3wAAAAkBAAAPAAAAZHJzL2Rv&#10;d25yZXYueG1sTI9Na8JAEIbvBf/DMkJvdeNCjKTZiASkUNqD1ktvk+yahO5Hml017a/veKrHmffh&#10;nWeKzWQNu+gx9N5JWC4SYNo1XvWulXD82D2tgYWITqHxTkv40QE25eyhwFz5q9vryyG2jEpcyFFC&#10;F+OQcx6aTlsMCz9oR9nJjxYjjWPL1YhXKreGiyRZcYu9owsdDrrqdPN1OFsJr9XuHfe1sOtfU728&#10;nbbD9/EzlfJxPm2fgUU9xX8YbvqkDiU51f7sVGBGQpaIJaEUCAGMgGx1W9QS0jQDXhb8/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JeLEeDfAAAACQEAAA8AAAAAAAAAAAAAAAAA&#10;iQQAAGRycy9kb3ducmV2LnhtbFBLBQYAAAAABAAEAPMAAACVBQAAAAA=&#10;" filled="f" stroked="f" strokeweight=".5pt">
                <v:textbo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w:t>
                      </w:r>
                      <w:r w:rsidRPr="000277FD">
                        <w:rPr>
                          <w:rFonts w:ascii="Times New Roman" w:hAnsi="Times New Roman" w:cs="Times New Roman"/>
                          <w:sz w:val="20"/>
                          <w:szCs w:val="20"/>
                        </w:rPr>
                        <w:t>3</w:t>
                      </w:r>
                      <w:r w:rsidRPr="000277FD">
                        <w:rPr>
                          <w:rFonts w:ascii="Times New Roman" w:hAnsi="Times New Roman" w:cs="Times New Roman"/>
                          <w:sz w:val="20"/>
                          <w:szCs w:val="20"/>
                        </w:rPr>
                        <w:t>)</w:t>
                      </w:r>
                    </w:p>
                  </w:txbxContent>
                </v:textbox>
              </v:shape>
            </w:pict>
          </mc:Fallback>
        </mc:AlternateContent>
      </w:r>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Pre>
              <m:sPrePr>
                <m:ctrlPr>
                  <w:rPr>
                    <w:rFonts w:ascii="Cambria Math" w:hAnsi="Cambria Math"/>
                    <w:i/>
                  </w:rPr>
                </m:ctrlPr>
              </m:sPrePr>
              <m:sub>
                <m:r>
                  <w:rPr>
                    <w:rFonts w:ascii="Cambria Math" w:hAnsi="Cambria Math"/>
                  </w:rPr>
                  <m:t>j≠1</m:t>
                </m:r>
              </m:sub>
              <m:sup>
                <m:r>
                  <w:rPr>
                    <w:rFonts w:ascii="Cambria Math" w:hAnsi="Cambria Math"/>
                  </w:rPr>
                  <m:t>max</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sPre>
            <m:r>
              <w:rPr>
                <w:rFonts w:ascii="Cambria Math" w:hAnsi="Cambria Math"/>
              </w:rPr>
              <m:t>)</m:t>
            </m:r>
          </m:e>
        </m:nary>
      </m:oMath>
    </w:p>
    <w:p w:rsidR="00A80AC0" w:rsidRDefault="006B64B2" w:rsidP="00A80AC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cluster </w:t>
      </w:r>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rsidR="00A80AC0" w:rsidRPr="00C4740E" w:rsidRDefault="00A80AC0" w:rsidP="00A80AC0">
      <w:pPr>
        <w:spacing w:before="120" w:after="0" w:line="240" w:lineRule="auto"/>
        <w:jc w:val="both"/>
        <w:rPr>
          <w:rFonts w:ascii="Times New Roman" w:hAnsi="Times New Roman" w:cs="Times New Roman"/>
          <w:sz w:val="20"/>
          <w:szCs w:val="20"/>
        </w:rPr>
      </w:pPr>
    </w:p>
    <w:p w:rsidR="00E16E40" w:rsidRPr="008744D2" w:rsidRDefault="00E16E40" w:rsidP="00E16E40">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RESULTS AND DISCUSSION</w:t>
      </w:r>
    </w:p>
    <w:p w:rsidR="000623D7" w:rsidRPr="000623D7" w:rsidRDefault="00485EA6" w:rsidP="000623D7">
      <w:pPr>
        <w:spacing w:before="120" w:after="0" w:line="240" w:lineRule="auto"/>
        <w:jc w:val="both"/>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0528" behindDoc="0" locked="0" layoutInCell="1" allowOverlap="1" wp14:anchorId="27FD40DE" wp14:editId="39AE5413">
            <wp:simplePos x="0" y="0"/>
            <wp:positionH relativeFrom="column">
              <wp:posOffset>687070</wp:posOffset>
            </wp:positionH>
            <wp:positionV relativeFrom="paragraph">
              <wp:posOffset>312420</wp:posOffset>
            </wp:positionV>
            <wp:extent cx="4546600" cy="2887980"/>
            <wp:effectExtent l="19050" t="19050" r="25400" b="26670"/>
            <wp:wrapSquare wrapText="bothSides"/>
            <wp:docPr id="17" name="Picture 17" descr="G:\MIKE\Programming\2024\Repositories\Atillo-ML\Updated\Clustering\Word\Elbow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Word\Elbow 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600" cy="28879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623D7">
        <w:rPr>
          <w:rFonts w:ascii="Times New Roman" w:hAnsi="Times New Roman" w:cs="Times New Roman"/>
          <w:b/>
          <w:sz w:val="20"/>
          <w:szCs w:val="20"/>
        </w:rPr>
        <w:t>4</w:t>
      </w:r>
      <w:r w:rsidR="000623D7" w:rsidRPr="000623D7">
        <w:rPr>
          <w:rFonts w:ascii="Times New Roman" w:hAnsi="Times New Roman" w:cs="Times New Roman"/>
          <w:b/>
          <w:sz w:val="20"/>
          <w:szCs w:val="20"/>
        </w:rPr>
        <w:t>.</w:t>
      </w:r>
      <w:r w:rsidR="000623D7">
        <w:rPr>
          <w:rFonts w:ascii="Times New Roman" w:hAnsi="Times New Roman" w:cs="Times New Roman"/>
          <w:b/>
          <w:sz w:val="20"/>
          <w:szCs w:val="20"/>
        </w:rPr>
        <w:t>1</w:t>
      </w:r>
      <w:r w:rsidR="000623D7" w:rsidRPr="000623D7">
        <w:rPr>
          <w:rFonts w:ascii="Times New Roman" w:hAnsi="Times New Roman" w:cs="Times New Roman"/>
          <w:b/>
          <w:sz w:val="20"/>
          <w:szCs w:val="20"/>
        </w:rPr>
        <w:t xml:space="preserve">. </w:t>
      </w:r>
      <w:r w:rsidR="000623D7" w:rsidRPr="000623D7">
        <w:rPr>
          <w:rFonts w:ascii="Times New Roman" w:hAnsi="Times New Roman" w:cs="Times New Roman"/>
          <w:b/>
          <w:sz w:val="20"/>
          <w:szCs w:val="20"/>
        </w:rPr>
        <w:t>Elbow Method for Optimal Clusters</w:t>
      </w: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0623D7" w:rsidRDefault="000623D7" w:rsidP="000623D7">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Elbow Method</w:t>
      </w:r>
    </w:p>
    <w:p w:rsidR="00065500" w:rsidRPr="00AA34A5" w:rsidRDefault="00065500" w:rsidP="00065500">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14:anchorId="7C8B6CDF" wp14:editId="0BDC9E73">
            <wp:simplePos x="0" y="0"/>
            <wp:positionH relativeFrom="column">
              <wp:posOffset>688975</wp:posOffset>
            </wp:positionH>
            <wp:positionV relativeFrom="paragraph">
              <wp:posOffset>52705</wp:posOffset>
            </wp:positionV>
            <wp:extent cx="4683760" cy="2591435"/>
            <wp:effectExtent l="19050" t="19050" r="21590" b="18415"/>
            <wp:wrapSquare wrapText="bothSides"/>
            <wp:docPr id="18" name="Picture 18" descr="G:\MIKE\Programming\2024\Repositories\Atillo-ML\Updated\Clustering\Word\Cluster Score 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Clustering\Word\Cluster Score Metr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760" cy="25914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w:t>
      </w:r>
      <w:r>
        <w:rPr>
          <w:rFonts w:ascii="Times New Roman" w:hAnsi="Times New Roman" w:cs="Times New Roman"/>
          <w:b/>
          <w:sz w:val="20"/>
          <w:szCs w:val="20"/>
        </w:rPr>
        <w:t>2</w:t>
      </w:r>
      <w:r>
        <w:rPr>
          <w:rFonts w:ascii="Times New Roman" w:hAnsi="Times New Roman" w:cs="Times New Roman"/>
          <w:b/>
          <w:sz w:val="20"/>
          <w:szCs w:val="20"/>
        </w:rPr>
        <w:t xml:space="preserve">. </w:t>
      </w:r>
      <w:r w:rsidRPr="00485EA6">
        <w:rPr>
          <w:rFonts w:ascii="Times New Roman" w:hAnsi="Times New Roman" w:cs="Times New Roman"/>
          <w:sz w:val="20"/>
          <w:szCs w:val="20"/>
        </w:rPr>
        <w:t>Cluster Validation Comparison</w:t>
      </w:r>
    </w:p>
    <w:p w:rsidR="00C3034C" w:rsidRPr="00AA34A5" w:rsidRDefault="004E7AFB" w:rsidP="00C3034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Davies-Bouldin score indicates better clustering. The silhouette score starts high at k=2 but drops and stabilizes around k=4 onward, which is the same as the Davies-Bouldin score. Both metrics suggest that k=4 is the optimal number of clusters. This aligns with the elbow method result, making it a strong choice for clustering the dataset.</w:t>
      </w:r>
    </w:p>
    <w:p w:rsidR="00A80AC0" w:rsidRPr="006961CF" w:rsidRDefault="00A80AC0" w:rsidP="006961CF">
      <w:pPr>
        <w:spacing w:before="120" w:after="0" w:line="240" w:lineRule="auto"/>
        <w:jc w:val="both"/>
        <w:rPr>
          <w:rFonts w:ascii="Times New Roman" w:eastAsiaTheme="minorEastAsia" w:hAnsi="Times New Roman" w:cs="Times New Roman"/>
        </w:rPr>
      </w:pPr>
    </w:p>
    <w:p w:rsidR="006961CF" w:rsidRDefault="006961CF" w:rsidP="006961CF">
      <w:pPr>
        <w:spacing w:before="120" w:after="0" w:line="240" w:lineRule="auto"/>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4E7AFB"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2576" behindDoc="0" locked="0" layoutInCell="1" allowOverlap="1" wp14:anchorId="10DD41F2" wp14:editId="1337991D">
            <wp:simplePos x="0" y="0"/>
            <wp:positionH relativeFrom="margin">
              <wp:posOffset>640715</wp:posOffset>
            </wp:positionH>
            <wp:positionV relativeFrom="paragraph">
              <wp:posOffset>26035</wp:posOffset>
            </wp:positionV>
            <wp:extent cx="4509135" cy="3619500"/>
            <wp:effectExtent l="19050" t="19050" r="24765" b="19050"/>
            <wp:wrapSquare wrapText="bothSides"/>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9135" cy="36195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4E7AFB" w:rsidRDefault="004E7AFB" w:rsidP="004E7AFB">
      <w:pPr>
        <w:spacing w:before="120" w:after="0" w:line="240" w:lineRule="auto"/>
        <w:rPr>
          <w:rFonts w:ascii="Times New Roman" w:hAnsi="Times New Roman" w:cs="Times New Roman"/>
          <w:b/>
          <w:sz w:val="20"/>
          <w:szCs w:val="20"/>
        </w:rPr>
      </w:pPr>
    </w:p>
    <w:p w:rsidR="004E7AFB" w:rsidRDefault="004E7AFB" w:rsidP="004E7AFB">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rsidR="005B7B8D" w:rsidRDefault="00E43AB0" w:rsidP="0090669B">
      <w:pPr>
        <w:spacing w:before="120" w:after="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p w:rsidR="0090669B" w:rsidRDefault="0090669B" w:rsidP="0090669B">
      <w:pPr>
        <w:spacing w:before="120" w:after="0" w:line="240" w:lineRule="auto"/>
        <w:ind w:firstLine="720"/>
        <w:jc w:val="both"/>
        <w:rPr>
          <w:rFonts w:ascii="Times New Roman" w:hAnsi="Times New Roman" w:cs="Times New Roman"/>
          <w:sz w:val="20"/>
          <w:szCs w:val="20"/>
        </w:rPr>
      </w:pP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rsidTr="005B7B8D">
        <w:trPr>
          <w:trHeight w:val="202"/>
          <w:jc w:val="center"/>
        </w:trPr>
        <w:tc>
          <w:tcPr>
            <w:tcW w:w="973" w:type="dxa"/>
            <w:vAlign w:val="center"/>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-Bouldin</w:t>
            </w:r>
            <w:r w:rsidR="005B7B8D">
              <w:rPr>
                <w:rFonts w:ascii="Times New Roman" w:hAnsi="Times New Roman" w:cs="Times New Roman"/>
                <w:sz w:val="20"/>
                <w:szCs w:val="20"/>
              </w:rPr>
              <w:t xml:space="preserve"> Scores</w:t>
            </w:r>
          </w:p>
        </w:tc>
      </w:tr>
      <w:tr w:rsidR="005B7B8D" w:rsidRPr="008E7774" w:rsidTr="005B7B8D">
        <w:trPr>
          <w:trHeight w:val="202"/>
          <w:jc w:val="center"/>
        </w:trPr>
        <w:tc>
          <w:tcPr>
            <w:tcW w:w="973"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460</w:t>
            </w:r>
          </w:p>
        </w:tc>
        <w:tc>
          <w:tcPr>
            <w:tcW w:w="2089"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w:t>
            </w:r>
            <w:r>
              <w:rPr>
                <w:rFonts w:ascii="Times New Roman" w:hAnsi="Times New Roman" w:cs="Times New Roman"/>
                <w:sz w:val="20"/>
                <w:szCs w:val="20"/>
              </w:rPr>
              <w:t>005</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815</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405</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803</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401</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780</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380</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796</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378</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814</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393</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768</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368</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802</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363</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822</w:t>
            </w:r>
          </w:p>
        </w:tc>
      </w:tr>
    </w:tbl>
    <w:p w:rsidR="0090669B" w:rsidRDefault="0090669B" w:rsidP="0090669B">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w:t>
      </w:r>
      <w:r>
        <w:rPr>
          <w:rFonts w:ascii="Times New Roman" w:hAnsi="Times New Roman" w:cs="Times New Roman"/>
          <w:b/>
          <w:sz w:val="20"/>
          <w:szCs w:val="20"/>
        </w:rPr>
        <w:t xml:space="preserve"> </w:t>
      </w:r>
      <w:r>
        <w:rPr>
          <w:rFonts w:ascii="Times New Roman" w:hAnsi="Times New Roman" w:cs="Times New Roman"/>
          <w:b/>
          <w:sz w:val="20"/>
          <w:szCs w:val="20"/>
        </w:rPr>
        <w:t>1</w:t>
      </w:r>
      <w:r>
        <w:rPr>
          <w:rFonts w:ascii="Times New Roman" w:hAnsi="Times New Roman" w:cs="Times New Roman"/>
          <w:b/>
          <w:sz w:val="20"/>
          <w:szCs w:val="20"/>
        </w:rPr>
        <w:t xml:space="preserve">. </w:t>
      </w:r>
      <w:r w:rsidR="00F3499A" w:rsidRPr="00F3499A">
        <w:rPr>
          <w:rFonts w:ascii="Times New Roman" w:hAnsi="Times New Roman" w:cs="Times New Roman"/>
          <w:sz w:val="20"/>
          <w:szCs w:val="20"/>
        </w:rPr>
        <w:t>Cluster Validation Metrics</w:t>
      </w:r>
    </w:p>
    <w:p w:rsidR="004E7AFB" w:rsidRDefault="000134F5" w:rsidP="000134F5">
      <w:pPr>
        <w:spacing w:before="120" w:after="0" w:line="240" w:lineRule="auto"/>
        <w:ind w:firstLine="720"/>
        <w:jc w:val="both"/>
        <w:rPr>
          <w:rFonts w:ascii="Times New Roman" w:hAnsi="Times New Roman" w:cs="Times New Roman"/>
          <w:sz w:val="20"/>
          <w:szCs w:val="20"/>
        </w:rPr>
      </w:pPr>
      <w:r w:rsidRPr="000134F5">
        <w:rPr>
          <w:rFonts w:ascii="Times New Roman" w:hAnsi="Times New Roman" w:cs="Times New Roman"/>
          <w:sz w:val="20"/>
          <w:szCs w:val="20"/>
        </w:rPr>
        <w:lastRenderedPageBreak/>
        <w:t>Table 1 presents the Silhouette Scores and Davies-Bouldin Scores for different numbers of clusters, ranging from 2 to 10. The silhouette score is highest when the number of clusters is 2 (0.460), suggesting the data is most naturally separable into two groups. As the number of clusters increases, the silhouette score generally decreases, indicating reduced cluster cohesion and separation as more clusters are added. After around 4 clusters, the score stabilizes but remains lower, suggesting diminishing returns in cluster quality as more clusters are added. The Davies-Bouldin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rsidR="0042606F" w:rsidRDefault="0042606F" w:rsidP="00F91C39">
      <w:pPr>
        <w:spacing w:before="120" w:after="0" w:line="240" w:lineRule="auto"/>
        <w:rPr>
          <w:rFonts w:ascii="Times New Roman" w:hAnsi="Times New Roman" w:cs="Times New Roman"/>
          <w:sz w:val="20"/>
          <w:szCs w:val="20"/>
        </w:rPr>
      </w:pPr>
    </w:p>
    <w:p w:rsidR="000134F5" w:rsidRPr="00F91C39" w:rsidRDefault="000134F5" w:rsidP="00F91C39">
      <w:pPr>
        <w:spacing w:before="120" w:after="0" w:line="240" w:lineRule="auto"/>
        <w:rPr>
          <w:rFonts w:ascii="Times New Roman" w:hAnsi="Times New Roman" w:cs="Times New Roman"/>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844171" w:rsidRPr="00E94940" w:rsidRDefault="00CF3E73" w:rsidP="00E9494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bookmarkStart w:id="0" w:name="_GoBack"/>
      <w:bookmarkEnd w:id="0"/>
      <w:r w:rsidR="000134F5" w:rsidRPr="000134F5">
        <w:rPr>
          <w:rFonts w:ascii="Times New Roman" w:hAnsi="Times New Roman" w:cs="Times New Roman"/>
          <w:sz w:val="20"/>
          <w:szCs w:val="20"/>
        </w:rPr>
        <w:t xml:space="preserve">his study successfully applied the K-Means clustering algorithm to segment customers into distinct groups based on demographic, behavioral,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 and Davies-Bouldin Scores. The clustering results revealed key patterns, such as a dominant group of customers with moderate spending habits and cost-conscious tendencies, highlighting the importance of budget-friendly marketing strategies. Another smaller but significant segment comprised high-income earners with premium spending behavior,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rsidR="00834B38" w:rsidRDefault="00834B38" w:rsidP="00652940">
      <w:pPr>
        <w:pStyle w:val="NormalWeb"/>
        <w:spacing w:before="120" w:beforeAutospacing="0" w:after="0" w:afterAutospacing="0"/>
        <w:jc w:val="both"/>
        <w:rPr>
          <w:rFonts w:eastAsiaTheme="minorHAnsi"/>
          <w:sz w:val="20"/>
          <w:szCs w:val="20"/>
        </w:rPr>
      </w:pP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Smith, J., &amp; Doe, A. (2018). Harnessing Big Data for Business Growth. Journal of Data Science, 14(3), 101-120.</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Brown, C., &amp; White, R. (2020). Customer Insights through Data Analytics. Business Analytics Quarterly, 8(2), 45-60.</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Lee, T., &amp; Chan, W. (2019). Innovative Risk Management in Financial Institutions. Finance Journal, 12(1), 25-40.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Johnson, K., &amp; Taylor, S. (2021). Clustering Methods in Customer Analytics. Data Mining Review, 17(4), 58-75.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Gupta, R., &amp; Singh, M. (2020). Exploring Credit Card Spending Patterns Using Machine Learning. International Journal of Finance and Analytics, 15(2), 112-130.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Kim, H., &amp; Park, J. (2021). Data-Driven Personalization in Financial Services. Journal of Financial Technology, 9(3), 77-89.</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Walker, L., &amp; Green, P. (2019). Limitations of Traditional Marketing in the Age of Big Data. Marketing Insights, 11(1), 30-45.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Patel, D., &amp; Shah, R. (2020). Clustering Applications in Credit Risk Assessment. Applied Machine Learning, 22(3), 120-145.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Liu, Q., &amp; Zhang, Y. (2021). Data-Driven Frameworks for Customer Segmentation. Analytics Today, 10(2), 33-50.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t>MacQueen, J. (1967). Some Methods for Classification and Analysis of Multivariate Observations. Proceedings of the Fifth Berkeley Symposium on Mathematical Statistics and Probability, 1, 281-297.</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Ester, M., Kriegel, H. P., Sander, J., &amp; Xu, X. (1996). A Density-Based Algorithm for Discovering Clusters in Large Spatial Databases with Noise. Proceedings of the Second International Conference on Knowledge Discovery and Data Mining, 226-231.</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Han, J., Kamber, M., &amp; Pei, J. (2011). Data Mining: Concepts and Techniques. Elsevier.</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t>Rokach, L., &amp; Maimon, O. (2005). Clustering Methods. In Data Mining and Knowledge Discovery Handbook (pp. 321-352). Springer.</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t>Dolnicar, S. (2003). Using Cluster Analysis for Market Segmentation. Australasian Journal of Market Research, 11(1), 5-18.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Wedel, M., &amp; Kamakura, W. A. (2000). Market Segmentation: Conceptual and Methodological Foundations. Kluwer Academic Publishers.</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t>Venkatesan, R., &amp; Kumar, V. (2004). A Customer Lifetime Value Framework for Customer Selection and Resource Allocation Strategy. Journal of Marketing, 68(4), 106-125.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t>Chau, M., &amp; Xu, J. (2012). Business Intelligence in Retail: A Data Mining Perspective. Decision Support Systems, 52(3), 752-763.</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Fayyad, U., Piatetsky-Shapiro, G., &amp; Smyth, P. (1996). From Data Mining to Knowledge Discovery in Databases. AI Magazine, 17(3), 37-54.</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[20]</w:t>
      </w:r>
      <w:r w:rsidRPr="00486C3C">
        <w:rPr>
          <w:rFonts w:ascii="Times New Roman" w:hAnsi="Times New Roman" w:cs="Times New Roman"/>
          <w:sz w:val="18"/>
          <w:szCs w:val="18"/>
        </w:rPr>
        <w:tab/>
        <w:t>Jain, A. K., &amp; Dubes, R. C. (1988). Algorithms for Clustering Data. Prentice-Hall.</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t>Xu, R., &amp; Wunsch, D. C. (2005). Survey of Clustering Algorithms. IEEE Transactions on Neural Networks, 16(3), 645-678.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t>Ghosh, J., &amp; Acharya, A. (2011). Cluster Ensembles: Theory and Applications. Wiley Interdisciplinary Reviews: Data Mining and Knowledge Discovery, 1(4), 305-315.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Ding, C., &amp; He, X. (2004). K-Means Clustering via Principal Component Analysis. Proceedings of the 21st International Conference on Machine Learning, 29-36.</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t>Sculley, D. (2010). Web-Scale K-Means Clustering. Proceedings of the 19th International Conference on World Wide Web, 1177-1178.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[25]</w:t>
      </w:r>
      <w:r w:rsidRPr="00486C3C">
        <w:rPr>
          <w:rFonts w:ascii="Times New Roman" w:hAnsi="Times New Roman" w:cs="Times New Roman"/>
          <w:sz w:val="18"/>
          <w:szCs w:val="18"/>
        </w:rPr>
        <w:tab/>
        <w:t>Hamerly, G., &amp; Elkan, C. (2004). Learning the K in K-Means. Advances in Neural Information Processing Systems, 16, 281-288.</w:t>
      </w:r>
    </w:p>
    <w:p w:rsidR="00486C3C" w:rsidRDefault="00486C3C" w:rsidP="002710E1">
      <w:pPr>
        <w:spacing w:after="0" w:line="240" w:lineRule="auto"/>
        <w:ind w:left="720" w:hanging="720"/>
        <w:jc w:val="both"/>
        <w:rPr>
          <w:rFonts w:ascii="Times New Roman" w:hAnsi="Times New Roman" w:cs="Times New Roman"/>
          <w:sz w:val="18"/>
          <w:szCs w:val="18"/>
        </w:rPr>
      </w:pPr>
    </w:p>
    <w:p w:rsidR="00486C3C" w:rsidRDefault="00486C3C" w:rsidP="002710E1">
      <w:pPr>
        <w:spacing w:after="0" w:line="240" w:lineRule="auto"/>
        <w:ind w:left="720" w:hanging="720"/>
        <w:jc w:val="both"/>
        <w:rPr>
          <w:rFonts w:ascii="Times New Roman" w:hAnsi="Times New Roman" w:cs="Times New Roman"/>
          <w:sz w:val="18"/>
          <w:szCs w:val="18"/>
        </w:rPr>
      </w:pPr>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14"/>
      <w:headerReference w:type="default" r:id="rId15"/>
      <w:headerReference w:type="first" r:id="rId16"/>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B3B" w:rsidRDefault="00DD6B3B" w:rsidP="00F91BD6">
      <w:pPr>
        <w:spacing w:after="0" w:line="240" w:lineRule="auto"/>
      </w:pPr>
      <w:r>
        <w:separator/>
      </w:r>
    </w:p>
  </w:endnote>
  <w:endnote w:type="continuationSeparator" w:id="0">
    <w:p w:rsidR="00DD6B3B" w:rsidRDefault="00DD6B3B"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B3B" w:rsidRDefault="00DD6B3B" w:rsidP="00F91BD6">
      <w:pPr>
        <w:spacing w:after="0" w:line="240" w:lineRule="auto"/>
      </w:pPr>
      <w:r>
        <w:separator/>
      </w:r>
    </w:p>
  </w:footnote>
  <w:footnote w:type="continuationSeparator" w:id="0">
    <w:p w:rsidR="00DD6B3B" w:rsidRDefault="00DD6B3B"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CF3E73">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CF3E73">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6E55D3">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7FD"/>
    <w:rsid w:val="000318F5"/>
    <w:rsid w:val="00062308"/>
    <w:rsid w:val="000623D7"/>
    <w:rsid w:val="00065500"/>
    <w:rsid w:val="00070412"/>
    <w:rsid w:val="00081C67"/>
    <w:rsid w:val="000843FA"/>
    <w:rsid w:val="000C43E4"/>
    <w:rsid w:val="000E5B1E"/>
    <w:rsid w:val="000E77B6"/>
    <w:rsid w:val="00105B2B"/>
    <w:rsid w:val="001132D5"/>
    <w:rsid w:val="00113410"/>
    <w:rsid w:val="001227FB"/>
    <w:rsid w:val="001272FA"/>
    <w:rsid w:val="00137CF4"/>
    <w:rsid w:val="00147B18"/>
    <w:rsid w:val="00154029"/>
    <w:rsid w:val="00156D9D"/>
    <w:rsid w:val="00176C74"/>
    <w:rsid w:val="001A2EB3"/>
    <w:rsid w:val="001C142B"/>
    <w:rsid w:val="001E38E7"/>
    <w:rsid w:val="001F7CE7"/>
    <w:rsid w:val="00260112"/>
    <w:rsid w:val="002710E1"/>
    <w:rsid w:val="00274A2E"/>
    <w:rsid w:val="002774FB"/>
    <w:rsid w:val="002809E8"/>
    <w:rsid w:val="00287499"/>
    <w:rsid w:val="00294711"/>
    <w:rsid w:val="002968B3"/>
    <w:rsid w:val="002C46D7"/>
    <w:rsid w:val="002D3A03"/>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901F3"/>
    <w:rsid w:val="0039656A"/>
    <w:rsid w:val="00396B5A"/>
    <w:rsid w:val="003A0849"/>
    <w:rsid w:val="003A1744"/>
    <w:rsid w:val="003B24E1"/>
    <w:rsid w:val="003B4C16"/>
    <w:rsid w:val="003C138A"/>
    <w:rsid w:val="003C17F1"/>
    <w:rsid w:val="003C7172"/>
    <w:rsid w:val="003D2BEE"/>
    <w:rsid w:val="003D434F"/>
    <w:rsid w:val="003E21FB"/>
    <w:rsid w:val="003F18CB"/>
    <w:rsid w:val="003F314D"/>
    <w:rsid w:val="0042531E"/>
    <w:rsid w:val="0042606F"/>
    <w:rsid w:val="004465AA"/>
    <w:rsid w:val="00450DFB"/>
    <w:rsid w:val="004732C0"/>
    <w:rsid w:val="00482E5B"/>
    <w:rsid w:val="00485EA6"/>
    <w:rsid w:val="00486C3C"/>
    <w:rsid w:val="004900D4"/>
    <w:rsid w:val="00493D8A"/>
    <w:rsid w:val="004B0CA4"/>
    <w:rsid w:val="004B665F"/>
    <w:rsid w:val="004C5210"/>
    <w:rsid w:val="004D515D"/>
    <w:rsid w:val="004D529E"/>
    <w:rsid w:val="004E2B26"/>
    <w:rsid w:val="004E6DEF"/>
    <w:rsid w:val="004E7AFB"/>
    <w:rsid w:val="004F47FC"/>
    <w:rsid w:val="004F5695"/>
    <w:rsid w:val="004F5BD5"/>
    <w:rsid w:val="00513B77"/>
    <w:rsid w:val="0052400A"/>
    <w:rsid w:val="00553BD2"/>
    <w:rsid w:val="00567947"/>
    <w:rsid w:val="005754C7"/>
    <w:rsid w:val="005A7DFA"/>
    <w:rsid w:val="005B7B8D"/>
    <w:rsid w:val="005C1C5D"/>
    <w:rsid w:val="005E7B7F"/>
    <w:rsid w:val="005F249D"/>
    <w:rsid w:val="005F792F"/>
    <w:rsid w:val="00600C25"/>
    <w:rsid w:val="00605846"/>
    <w:rsid w:val="006308ED"/>
    <w:rsid w:val="00633207"/>
    <w:rsid w:val="00634F7A"/>
    <w:rsid w:val="00642B43"/>
    <w:rsid w:val="0065271F"/>
    <w:rsid w:val="00652940"/>
    <w:rsid w:val="006665C0"/>
    <w:rsid w:val="00676D04"/>
    <w:rsid w:val="006961CF"/>
    <w:rsid w:val="006A1A9A"/>
    <w:rsid w:val="006B3A5C"/>
    <w:rsid w:val="006B64B2"/>
    <w:rsid w:val="006C5836"/>
    <w:rsid w:val="006C6440"/>
    <w:rsid w:val="006D1F0B"/>
    <w:rsid w:val="006D6520"/>
    <w:rsid w:val="006D7733"/>
    <w:rsid w:val="006E55D3"/>
    <w:rsid w:val="007008EE"/>
    <w:rsid w:val="0071661D"/>
    <w:rsid w:val="007178A2"/>
    <w:rsid w:val="007220B0"/>
    <w:rsid w:val="00731BB4"/>
    <w:rsid w:val="00733028"/>
    <w:rsid w:val="00745D1C"/>
    <w:rsid w:val="007507D3"/>
    <w:rsid w:val="007531A9"/>
    <w:rsid w:val="00764A97"/>
    <w:rsid w:val="00794B6D"/>
    <w:rsid w:val="007C7F47"/>
    <w:rsid w:val="00800318"/>
    <w:rsid w:val="00825B38"/>
    <w:rsid w:val="00834B38"/>
    <w:rsid w:val="00834FE0"/>
    <w:rsid w:val="008366BC"/>
    <w:rsid w:val="008423A9"/>
    <w:rsid w:val="00844171"/>
    <w:rsid w:val="00845E48"/>
    <w:rsid w:val="00856ECD"/>
    <w:rsid w:val="008607CD"/>
    <w:rsid w:val="00861E79"/>
    <w:rsid w:val="00865393"/>
    <w:rsid w:val="008744D2"/>
    <w:rsid w:val="008816C2"/>
    <w:rsid w:val="00884565"/>
    <w:rsid w:val="008849BC"/>
    <w:rsid w:val="008A587B"/>
    <w:rsid w:val="008D36AA"/>
    <w:rsid w:val="008D3F44"/>
    <w:rsid w:val="008E7774"/>
    <w:rsid w:val="008E7794"/>
    <w:rsid w:val="008F120D"/>
    <w:rsid w:val="008F1B88"/>
    <w:rsid w:val="0090046A"/>
    <w:rsid w:val="0090669B"/>
    <w:rsid w:val="00911B10"/>
    <w:rsid w:val="00924C68"/>
    <w:rsid w:val="00930E41"/>
    <w:rsid w:val="009322D4"/>
    <w:rsid w:val="00951B0A"/>
    <w:rsid w:val="00972F7E"/>
    <w:rsid w:val="00973CFC"/>
    <w:rsid w:val="00985B45"/>
    <w:rsid w:val="009A0C64"/>
    <w:rsid w:val="009A205C"/>
    <w:rsid w:val="009C5DAC"/>
    <w:rsid w:val="009E4384"/>
    <w:rsid w:val="009F454C"/>
    <w:rsid w:val="00A0095F"/>
    <w:rsid w:val="00A00F24"/>
    <w:rsid w:val="00A07353"/>
    <w:rsid w:val="00A20E24"/>
    <w:rsid w:val="00A54CD3"/>
    <w:rsid w:val="00A67E15"/>
    <w:rsid w:val="00A723AE"/>
    <w:rsid w:val="00A76034"/>
    <w:rsid w:val="00A80AC0"/>
    <w:rsid w:val="00AA34A5"/>
    <w:rsid w:val="00AA3AC8"/>
    <w:rsid w:val="00AA77AB"/>
    <w:rsid w:val="00AB25D2"/>
    <w:rsid w:val="00AB3EA2"/>
    <w:rsid w:val="00AB4991"/>
    <w:rsid w:val="00AB73A4"/>
    <w:rsid w:val="00AD2AF5"/>
    <w:rsid w:val="00AE3980"/>
    <w:rsid w:val="00AF4B78"/>
    <w:rsid w:val="00B01F06"/>
    <w:rsid w:val="00B10CFB"/>
    <w:rsid w:val="00B1576A"/>
    <w:rsid w:val="00B32F6F"/>
    <w:rsid w:val="00B736D7"/>
    <w:rsid w:val="00BA1443"/>
    <w:rsid w:val="00BB5B14"/>
    <w:rsid w:val="00BB5B9C"/>
    <w:rsid w:val="00BC1B77"/>
    <w:rsid w:val="00BC1C93"/>
    <w:rsid w:val="00BE78EC"/>
    <w:rsid w:val="00C05982"/>
    <w:rsid w:val="00C063AB"/>
    <w:rsid w:val="00C11D93"/>
    <w:rsid w:val="00C17D8C"/>
    <w:rsid w:val="00C20B41"/>
    <w:rsid w:val="00C3034C"/>
    <w:rsid w:val="00C30839"/>
    <w:rsid w:val="00C37E2C"/>
    <w:rsid w:val="00C43D0B"/>
    <w:rsid w:val="00C4740E"/>
    <w:rsid w:val="00C55E7C"/>
    <w:rsid w:val="00C61D02"/>
    <w:rsid w:val="00C70E4D"/>
    <w:rsid w:val="00C84CAB"/>
    <w:rsid w:val="00C9401A"/>
    <w:rsid w:val="00C95CB4"/>
    <w:rsid w:val="00CA7BF5"/>
    <w:rsid w:val="00CB4C58"/>
    <w:rsid w:val="00CC4488"/>
    <w:rsid w:val="00CD31BB"/>
    <w:rsid w:val="00CD601F"/>
    <w:rsid w:val="00CE5204"/>
    <w:rsid w:val="00CF3E73"/>
    <w:rsid w:val="00D013DB"/>
    <w:rsid w:val="00D13562"/>
    <w:rsid w:val="00D21A37"/>
    <w:rsid w:val="00D31AC3"/>
    <w:rsid w:val="00D422D2"/>
    <w:rsid w:val="00D704F8"/>
    <w:rsid w:val="00D815C3"/>
    <w:rsid w:val="00D834C5"/>
    <w:rsid w:val="00D842AD"/>
    <w:rsid w:val="00D91011"/>
    <w:rsid w:val="00D96847"/>
    <w:rsid w:val="00DA4134"/>
    <w:rsid w:val="00DC7B94"/>
    <w:rsid w:val="00DD6B3B"/>
    <w:rsid w:val="00E11C27"/>
    <w:rsid w:val="00E1357F"/>
    <w:rsid w:val="00E16E40"/>
    <w:rsid w:val="00E1799E"/>
    <w:rsid w:val="00E22E0B"/>
    <w:rsid w:val="00E24A34"/>
    <w:rsid w:val="00E270C0"/>
    <w:rsid w:val="00E43AB0"/>
    <w:rsid w:val="00E46318"/>
    <w:rsid w:val="00E519DD"/>
    <w:rsid w:val="00E6379E"/>
    <w:rsid w:val="00E649A5"/>
    <w:rsid w:val="00E65B48"/>
    <w:rsid w:val="00E6638A"/>
    <w:rsid w:val="00E707DE"/>
    <w:rsid w:val="00E725C3"/>
    <w:rsid w:val="00E81154"/>
    <w:rsid w:val="00E94940"/>
    <w:rsid w:val="00EA6EC1"/>
    <w:rsid w:val="00EB010B"/>
    <w:rsid w:val="00EB24CA"/>
    <w:rsid w:val="00EB4F30"/>
    <w:rsid w:val="00EC40A0"/>
    <w:rsid w:val="00ED5FB3"/>
    <w:rsid w:val="00ED686E"/>
    <w:rsid w:val="00EF3DDB"/>
    <w:rsid w:val="00F054C9"/>
    <w:rsid w:val="00F3499A"/>
    <w:rsid w:val="00F46EF5"/>
    <w:rsid w:val="00F47DA9"/>
    <w:rsid w:val="00F64B73"/>
    <w:rsid w:val="00F65A12"/>
    <w:rsid w:val="00F6712B"/>
    <w:rsid w:val="00F70A32"/>
    <w:rsid w:val="00F91BD6"/>
    <w:rsid w:val="00F91C39"/>
    <w:rsid w:val="00FB5112"/>
    <w:rsid w:val="00FC1826"/>
    <w:rsid w:val="00FD4BFC"/>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631A4-4D48-4DE1-B013-15AD7B90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7</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112</cp:revision>
  <dcterms:created xsi:type="dcterms:W3CDTF">2024-12-15T22:31:00Z</dcterms:created>
  <dcterms:modified xsi:type="dcterms:W3CDTF">2025-01-22T07:34:00Z</dcterms:modified>
</cp:coreProperties>
</file>