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Testing Utility Basis Sufficiency in Discrete Choice Experiments</w:t>
      </w:r>
    </w:p>
    <w:p>
      <w:pPr>
        <w:jc w:val="center"/>
      </w:pPr>
      <w:r>
        <w:rPr>
          <w:i/>
          <w:sz w:val="22"/>
        </w:rPr>
        <w:t>A support complete fibre design and finite support audit</w:t>
      </w:r>
    </w:p>
    <w:p>
      <w:pPr>
        <w:jc w:val="center"/>
      </w:pPr>
      <w:r>
        <w:rPr>
          <w:b/>
        </w:rPr>
        <w:t>Working manuscript draft</w:t>
      </w:r>
    </w:p>
    <w:p>
      <w:pPr>
        <w:jc w:val="center"/>
      </w:pPr>
      <w:r>
        <w:rPr>
          <w:i/>
        </w:rPr>
        <w:t>Unspecified authors</w:t>
      </w:r>
    </w:p>
    <w:p>
      <w:r>
        <w:rPr>
          <w:b/>
        </w:rPr>
        <w:t xml:space="preserve">Abstract. </w:t>
      </w:r>
      <w:r>
        <w:t>Choice-model diagnostics often evaluate a fitted utility specification on the support generated by an efficient design. A design can estimate a reduced utility basis precisely while leaving the raw coordinates discarded by that basis untestable. This paper formulates utility-basis sufficiency as the finite-support relation Y ⟂ X | φ(X), where φ(X) is the complete candidate menu summary and the response function given that summary remains unrestricted. We construct feasible non-singleton fibres that hold φ fixed, then span every non-constant response contrast inside each declared finite fibre. The resulting support-complete exposure matrix gives a rank and eigenvalue certificate before outcomes are collected. A 3 × 3 counterexample has candidate-summary variance 4.00 and exposure rank 0 under an endpoint precision design, while a support-complete allocation has rank 4 and minimum exposure eigenvalue 0.1222. In a 30-replication benchmark, a hidden direction orthogonal to a two-feature hand-written dictionary was detected in 1.000 of support-complete runs and 0.067 of dictionary runs at the same respondent budget. The support-complete score agrees with a saturated fibre likelihood-ratio benchmark, so the contribution is the design certificate and support-repair rule rather than a claim of a new universal lack-of-fit test. A public Swissmetro run is included as an external implementation check. The method is finite-support and design-based; it does not claim global nonparametric identification or human causal evidence from public observational data.</w:t>
      </w:r>
    </w:p>
    <w:p>
      <w:r>
        <w:rPr>
          <w:b/>
        </w:rPr>
        <w:t xml:space="preserve">Keywords: </w:t>
      </w:r>
      <w:r>
        <w:t>discrete choice experiments; utility basis; conditional sufficiency; experimental design; model criticism; support coverage; multinomial choice</w:t>
      </w:r>
    </w:p>
    <w:p>
      <w:pPr>
        <w:pStyle w:val="Heading1"/>
      </w:pPr>
      <w:r>
        <w:t>1 Introduction</w:t>
      </w:r>
    </w:p>
    <w:p>
      <w:r>
        <w:t>Discrete choice experiments estimate preference models from a finite set of menus. Researchers then use those models to compare products, evaluate attribute changes, and simulate policies. The design that is efficient for estimating a reduced utility index need not be informative about whether raw attributes discarded by that index still affect choices.</w:t>
      </w:r>
    </w:p>
    <w:p>
      <w:r>
        <w:t>This paper studies that design problem directly. Let X be the complete raw menu and let φ(X) be a prespecified candidate summary. The target null is Y ⟂ X | φ(X). It allows any choice-probability surface indexed by φ. A failure can therefore be attributed to information lost by the coarsening map on the tested support, while functional-form questions inside φ remain separate.</w:t>
      </w:r>
    </w:p>
    <w:p>
      <w:r>
        <w:t>The construction uses fibres: sets of feasible menus with identical φ. Randomly assigning raw profiles within a fibre creates a comparison for which every candidate coefficient vector gives the same candidate menu prediction. The support-complete certificate then asks whether the design spans the full non-constant response space within each fibre. Rank identifies structural visibility. The smallest positive eigenvalue describes conditioning. Both are calculated before respondents are recruited; statistical power is calculated separately.</w:t>
      </w:r>
    </w:p>
    <w:p>
      <w:r>
        <w:t>The paper makes one methodological contribution. It turns a representation-sufficiency question into an auditable DCE design object. A conventional rival-model comparison and a saturated fibre likelihood ratio remain useful comparators. The present value lies in identifying blind support, repairing it, and documenting the exact finite alternative exposed by the design.</w:t>
      </w:r>
    </w:p>
    <w:p>
      <w:pPr>
        <w:pStyle w:val="Heading1"/>
      </w:pPr>
      <w:r>
        <w:t>2 Candidate preserving fibres</w:t>
      </w:r>
    </w:p>
    <w:p>
      <w:r>
        <w:t>Let b(x) be the candidate alternative-level basis and let V₀(x; β) = b(x)ᵀβ. For a multinomial menu, φ(x) is the complete vector of candidate utility differences or an equivalent candidate menu prediction. A fibre F_z is the set of feasible menus satisfying φ(x) = z. A fibre is non-trivial only when different raw menus share the same candidate summary.</w:t>
      </w:r>
    </w:p>
    <w:p>
      <w:r>
        <w:t>For a reflected binary task t = (A₊, A₋, B₊, B₋), the construction requires b(A₊) = b(A₋) and b(B₊) = b(B₋). The candidate utility difference is then identical under the two orientations for every β. A respondent-level orientation coin chooses one member of the reflected pair. In a multinomial task, the entire candidate menu vector must be preserved; matching one pairwise gap is insufficient.</w:t>
      </w:r>
    </w:p>
    <w:p>
      <w:r>
        <w:t>For a local raw-coordinate departure h, the odd contrast is D_t(h) = ½{[h(A₊) − h(B₊)] − [h(A₋) − h(B₋)]}. If H is a declared finite departure space, stacking these contrasts over a task block S gives the exposure matrix D_S. This is a design relation, so it does not depend on an estimated coefficient vector.</w:t>
      </w:r>
    </w:p>
    <w:p>
      <w:pPr>
        <w:pStyle w:val="Heading1"/>
      </w:pPr>
      <w:r>
        <w:t>3 Sufficiency and the exposure certificate</w:t>
      </w:r>
    </w:p>
    <w:p>
      <w:r>
        <w:t>The null leaves P(Y | φ(X)) unrestricted. For a local probability submodel p_η(x) = p₀(z) + η a_z h(x) + o(η), with z = φ(x), a full multinomial contrast matrix C gives b_z = C a_z. If V_z is the covariance of the independent probability contrasts under p₀(z), the response metric is κ_z = b_zᵀ V_z⁻¹ b_z. For a fibre draw X with conditional weights w_z, local information is</w:t>
      </w:r>
    </w:p>
    <w:p>
      <w:r>
        <w:t>I_z(h) = ½ κ_z Var(h(X) | z), and Iπ(h) = E_z[I_z(h)].</w:t>
      </w:r>
    </w:p>
    <w:p>
      <w:r>
        <w:t>A direction is structurally invisible when it is constant within every positive-mass fibre with κ_z &gt; 0. A direction h(x) = q(φ(x)) has zero exposure because it belongs to the null. It is a functional-form question inside the candidate summary, not evidence that the summary discarded raw information. Discrete attribute levels require no attribute derivative; the local parameter is the departure amplitude η.</w:t>
      </w:r>
    </w:p>
    <w:p>
      <w:r>
        <w:t>For a finite residual dictionary R_g on fibre g, let H_g = I − 1w_gᵀ and W_g = diag(w_g). The finite exposure matrix is E = Σ_g α_g κ_g R_gᵀ H_gᵀ W_g H_g R_g, where α_g is the fibre mass. A zero eigenvalue is a structural blind direction for the declared support. A positive eigenvalue identifies exposure; it does not establish finite-sample power.</w:t>
      </w:r>
    </w:p>
    <w:p>
      <w:pPr>
        <w:pStyle w:val="Heading1"/>
      </w:pPr>
      <w:r>
        <w:t>3.1 Support complete finite certificate</w:t>
      </w:r>
    </w:p>
    <w:p>
      <w:r>
        <w:t>A finite support permits a dictionary-free certificate. If fibre g has K_g feasible profiles, choose Q_g with orthonormal columns spanning the vectors orthogonal to 1. The saturated block is E_g^sat = α_g κ_g Q_gᵀ[diag(w_g) − w_g w_gᵀ]Q_g. The direct sum over all non-singleton fibres has dimension r_sat = Σ_g(K_g − 1). Positive mass on every feasible profile gives rank r_sat. Missing profiles remove the corresponding directions.</w:t>
      </w:r>
    </w:p>
    <w:p>
      <w:r>
        <w:t>This certificate spans every non-constant response pattern on the declared support. It is stronger than a rank calculation for a selected polynomial dictionary, yet it remains a finite-support statement. It does not identify arbitrary functions outside the declared menu universe.</w:t>
      </w:r>
    </w:p>
    <w:p>
      <w:pPr>
        <w:pStyle w:val="Heading1"/>
      </w:pPr>
      <w:r>
        <w:t>3.2 Structural visibility and power</w:t>
      </w:r>
    </w:p>
    <w:p>
      <w:r>
        <w:t>Structural visibility and statistical power are separate. Rank and eigenvalues depend on the declared support, candidate summary, response metric, and feature scaling. Power additionally depends on η, sample size, respondent clustering, and the randomization reference. Increasing the number of respondents cannot recover a direction with zero structural exposure. A support change is required first.</w:t>
      </w:r>
    </w:p>
    <w:p>
      <w:pPr>
        <w:pStyle w:val="Heading1"/>
      </w:pPr>
      <w:r>
        <w:t>4 Design search and support repair</w:t>
      </w:r>
    </w:p>
    <w:p>
      <w:r>
        <w:t>The support optimizer has two stages. It first requires non-singleton fibres and full available rank. It then maximizes a conditioning criterion such as log det(E + εI) or the smallest positive eigenvalue, optionally recording candidate-index precision as a separate objective. The output includes profile weights, fibre masses, rank, eigenvalues, and the candidate-precision trade-off.</w:t>
      </w:r>
    </w:p>
    <w:p>
      <w:pPr>
        <w:pStyle w:val="TableCaption"/>
      </w:pPr>
      <w:r>
        <w:t>Table 1. Exact finite-support counterexample.</w:t>
      </w:r>
    </w:p>
    <w:tbl>
      <w:tblPr>
        <w:tblStyle w:val="TableGrid"/>
        <w:tblW w:type="auto" w:w="0"/>
        <w:jc w:val="center"/>
        <w:tblLook w:firstColumn="1" w:firstRow="1" w:lastColumn="0" w:lastRow="0" w:noHBand="0" w:noVBand="1" w:val="04A0"/>
      </w:tblPr>
      <w:tblGrid>
        <w:gridCol w:w="1953"/>
        <w:gridCol w:w="1953"/>
        <w:gridCol w:w="1953"/>
        <w:gridCol w:w="1953"/>
        <w:gridCol w:w="1953"/>
      </w:tblGrid>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Design</w:t>
            </w:r>
          </w:p>
        </w:tc>
        <w:tc>
          <w:tcPr>
            <w:tcW w:type="dxa" w:w="10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Var(φ)</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Exposure rank</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Minimum eigenvalue</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Interpretation</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Candidate precision endpoint</w:t>
            </w:r>
          </w:p>
        </w:tc>
        <w:tc>
          <w:tcPr>
            <w:tcW w:type="dxa" w:w="10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4.00</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0.0000</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Precise candidate index; fibre blind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center"/>
            </w:pPr>
            <w:r/>
            <w:r>
              <w:rPr>
                <w:rFonts w:ascii="Aptos" w:hAnsi="Aptos" w:eastAsia="Aptos"/>
                <w:b w:val="0"/>
                <w:color w:val="000000"/>
                <w:sz w:val="17"/>
              </w:rPr>
              <w:t>Support complete</w:t>
            </w:r>
          </w:p>
        </w:tc>
        <w:tc>
          <w:tcPr>
            <w:tcW w:type="dxa" w:w="10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0.5333</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4</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0.1222</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All non-constant fibre contrasts exposed</w:t>
            </w:r>
          </w:p>
        </w:tc>
      </w:tr>
    </w:tbl>
    <w:p/>
    <w:p>
      <w:r>
        <w:t>The counterexample uses profiles (a, b) ∈ {0, 1, 2}² and φ(a, b) = a + b. The endpoint design places half its mass on (0, 0) and half on (2, 2), so every supported fibre is a singleton. The support-complete allocation places positive mass on all nine profiles. It reduces candidate precision while creating four observable within-fibre contrasts.</w:t>
      </w:r>
    </w:p>
    <w:p>
      <w:r>
        <w:t>The same operator gives a support-repair rule. For each declared departure h, calculate the spread of h within each fibre. If every spread is zero, the departure is unavailable on the current attribute domain. Search over admissible level expansions and select the smallest expansion with positive fibre spread. This is an audit output, not a second model-selection method.</w:t>
      </w:r>
    </w:p>
    <w:p>
      <w:pPr>
        <w:pStyle w:val="Heading1"/>
      </w:pPr>
      <w:r>
        <w:t>5 Smart-device design</w:t>
      </w:r>
    </w:p>
    <w:p>
      <w:r>
        <w:t>The substantive testbed uses six attributes: use-management mode, intelligence, professional support, clinical evidence, data management, and price. The candidate basis is b(x) = (m + s, i + e, d, q). Raw profiles are grouped by this vector and reflected into candidate-preserving tasks. The full structural pool contains 1,024 reflections. The declared local directions are total quadratic curvature, a midpoint mode-support interaction, and an intelligence-cloud interaction.</w:t>
      </w:r>
    </w:p>
    <w:p>
      <w:r>
        <w:t>The full pool has residual rank 3. A three-task subset already reaches rank 3; a five-task maximin block has residual information eigenvalues 1.648, 6.063, and 7.352 under the declared normalization. An endpoint mode-support interaction is constant on the original level domain and is therefore blind. Adding level 3 is the smallest tested support repair that creates fibre spread 1.</w:t>
      </w:r>
    </w:p>
    <w:p>
      <w:pPr>
        <w:pStyle w:val="TableCaption"/>
      </w:pPr>
      <w:r>
        <w:t>Table 2. Smart-device structural checks.</w:t>
      </w:r>
    </w:p>
    <w:tbl>
      <w:tblPr>
        <w:tblStyle w:val="TableGrid"/>
        <w:tblW w:type="auto" w:w="0"/>
        <w:jc w:val="center"/>
        <w:tblLook w:firstColumn="1" w:firstRow="1" w:lastColumn="0" w:lastRow="0" w:noHBand="0" w:noVBand="1" w:val="04A0"/>
      </w:tblPr>
      <w:tblGrid>
        <w:gridCol w:w="3255"/>
        <w:gridCol w:w="3255"/>
        <w:gridCol w:w="3255"/>
      </w:tblGrid>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Check</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Result</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Meaning</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Full reflected-task pool</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1,024 tasks; rank 3</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All declared directions available</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center"/>
            </w:pPr>
            <w:r/>
            <w:r>
              <w:rPr>
                <w:rFonts w:ascii="Aptos" w:hAnsi="Aptos" w:eastAsia="Aptos"/>
                <w:b w:val="0"/>
                <w:color w:val="000000"/>
                <w:sz w:val="17"/>
              </w:rPr>
              <w:t>Three-task algebraic block</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Rank 3; eigenvalues 0.483, 2.217, 5.055</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Minimal full-rank block in the pool</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Five-task maximin block</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Rank 3; eigenvalues 1.648, 6.063, 7.352</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Better conditioning after rank is met</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center"/>
            </w:pPr>
            <w:r/>
            <w:r>
              <w:rPr>
                <w:rFonts w:ascii="Aptos" w:hAnsi="Aptos" w:eastAsia="Aptos"/>
                <w:b w:val="0"/>
                <w:color w:val="000000"/>
                <w:sz w:val="17"/>
              </w:rPr>
              <w:t>Endpoint mode-support direction</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Blind at levels 0, 1, 2</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Support repair required</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Repair</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Add level 3</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Positive fibre spread becomes feasible</w:t>
            </w:r>
          </w:p>
        </w:tc>
      </w:tr>
    </w:tbl>
    <w:p/>
    <w:p>
      <w:pPr>
        <w:pStyle w:val="Heading1"/>
      </w:pPr>
      <w:r>
        <w:t>6 Simulation evidence</w:t>
      </w:r>
    </w:p>
    <w:p>
      <w:r>
        <w:t>The finite-support benchmark uses 400 observations per replication and conditional randomization within each fibre. The support-complete score is compared with a two-feature residual dictionary. The hidden direction is constructed to be orthogonal to the dictionary while remaining exposed in the full fibre contrast space.</w:t>
      </w:r>
    </w:p>
    <w:p>
      <w:pPr>
        <w:pStyle w:val="TableCaption"/>
      </w:pPr>
      <w:r>
        <w:t>Table 3. Thirty-replication recheck.</w:t>
      </w:r>
    </w:p>
    <w:tbl>
      <w:tblPr>
        <w:tblStyle w:val="TableGrid"/>
        <w:tblW w:type="auto" w:w="0"/>
        <w:jc w:val="center"/>
        <w:tblLook w:firstColumn="1" w:firstRow="1" w:lastColumn="0" w:lastRow="0" w:noHBand="0" w:noVBand="1" w:val="04A0"/>
      </w:tblPr>
      <w:tblGrid>
        <w:gridCol w:w="3255"/>
        <w:gridCol w:w="3255"/>
        <w:gridCol w:w="3255"/>
      </w:tblGrid>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Condition</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Dictionary rejection</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Support-complete rejection</w:t>
            </w:r>
          </w:p>
        </w:tc>
      </w:tr>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Null</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0.133</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0.033</w:t>
            </w:r>
          </w:p>
        </w:tc>
      </w:tr>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center"/>
            </w:pPr>
            <w:r/>
            <w:r>
              <w:rPr>
                <w:rFonts w:ascii="Aptos" w:hAnsi="Aptos" w:eastAsia="Aptos"/>
                <w:b w:val="0"/>
                <w:color w:val="000000"/>
                <w:sz w:val="17"/>
              </w:rPr>
              <w:t>Aligned departure</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1.000</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1.000</w:t>
            </w:r>
          </w:p>
        </w:tc>
      </w:tr>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Interaction departure</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1.000</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1.000</w:t>
            </w:r>
          </w:p>
        </w:tc>
      </w:tr>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center"/>
            </w:pPr>
            <w:r/>
            <w:r>
              <w:rPr>
                <w:rFonts w:ascii="Aptos" w:hAnsi="Aptos" w:eastAsia="Aptos"/>
                <w:b w:val="0"/>
                <w:color w:val="000000"/>
                <w:sz w:val="17"/>
              </w:rPr>
              <w:t>Hidden quadratic</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1.000</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3F6F8"/>
          </w:tcPr>
          <w:p>
            <w:pPr>
              <w:jc w:val="right"/>
            </w:pPr>
            <w:r/>
            <w:r>
              <w:rPr>
                <w:rFonts w:ascii="Aptos" w:hAnsi="Aptos" w:eastAsia="Aptos"/>
                <w:b w:val="0"/>
                <w:color w:val="000000"/>
                <w:sz w:val="17"/>
              </w:rPr>
              <w:t>1.000</w:t>
            </w:r>
          </w:p>
        </w:tc>
      </w:tr>
      <w:tr>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Hidden orthogonal direction</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0.067</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1.000</w:t>
            </w:r>
          </w:p>
        </w:tc>
      </w:tr>
    </w:tbl>
    <w:p/>
    <w:p>
      <w:r>
        <w:t>The hidden-direction result demonstrates the operational value of spanning the finite fibre contrast space. The null rates are conditional-randomization planning results, not a claim about human respondents. The benchmark does not imply that the support-complete score is a new likelihood family.</w:t>
      </w:r>
    </w:p>
    <w:p>
      <w:r>
        <w:t>A saturated fibre likelihood-ratio boundary check uses the same finite fibres and the same conditional randomization law. Its rejection pattern matches the support-complete score: null rejection is 0.030 for the score and 0.045 for the LR, while all four non-null directions have rejection 1.000 for both. This equivalence is reported as a scope check. The added contribution is the pre-outcome rank certificate and the support optimizer that tells an analyst when the saturated alternative has no structural content.</w:t>
      </w:r>
    </w:p>
    <w:p>
      <w:r>
        <w:t>The expanded boundary check gives the same conclusion. With 800 observations, 500 replications, and 499 randomization draws, null rejection is 0.062 for the score and 0.064 for the saturated LR; all four non-null directions are rejected in 1.000 of replications. With 400 observations, 1,000 replications, and 199 draws, the corresponding null rates are 0.038 and 0.043, again with 1.000 rejection for every non-null direction. These results support the design certificate and do not support a claim of a distinct inferential family.</w:t>
      </w:r>
    </w:p>
    <w:p>
      <w:pPr>
        <w:pStyle w:val="Heading1"/>
      </w:pPr>
      <w:r>
        <w:t>6.1 Multinomial and nuisance controls</w:t>
      </w:r>
    </w:p>
    <w:p>
      <w:r>
        <w:t>The multinomial implementation preserves the complete menu vector and uses two independent probability contrasts for each three-alternative arm. The residual rank is 3 and the smallest residual eigenvalue is 1.203. The nuisance-orthogonal extension projects declared framing and scale tangents with the full menu covariance metric. It is a control for a specified nuisance span; it does not grant immunity to unlisted process changes.</w:t>
      </w:r>
    </w:p>
    <w:p>
      <w:pPr>
        <w:pStyle w:val="Heading1"/>
      </w:pPr>
      <w:r>
        <w:t>7 External implementation check</w:t>
      </w:r>
    </w:p>
    <w:p>
      <w:r>
        <w:t>The public Swissmetro purpose-1/3 data provide 6,768 observations from 752 respondents. We use them as an implementation check for respondent grouping and multinomial model fitting. An additive model and an alternative-specific time and cost model are estimated on the public data. The structured model reduces held-out log loss from 0.7982 to 0.7658. This public file does not contain the candidate-preserving randomization needed for a human-data sufficiency test, so the result is descriptive and does not establish a mechanism or a causal effect.</w:t>
      </w:r>
    </w:p>
    <w:p>
      <w:pPr>
        <w:pStyle w:val="TableCaption"/>
      </w:pPr>
      <w:r>
        <w:t>Table 4. Swissmetro implementation check.</w:t>
      </w:r>
    </w:p>
    <w:tbl>
      <w:tblPr>
        <w:tblStyle w:val="TableGrid"/>
        <w:tblW w:type="auto" w:w="0"/>
        <w:jc w:val="center"/>
        <w:tblLook w:firstColumn="1" w:firstRow="1" w:lastColumn="0" w:lastRow="0" w:noHBand="0" w:noVBand="1" w:val="04A0"/>
      </w:tblPr>
      <w:tblGrid>
        <w:gridCol w:w="1627"/>
        <w:gridCol w:w="1627"/>
        <w:gridCol w:w="1627"/>
        <w:gridCol w:w="1627"/>
        <w:gridCol w:w="1627"/>
        <w:gridCol w:w="1627"/>
      </w:tblGrid>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Observations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Respondents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Base loss</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Structured loss</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Mean path gap</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center"/>
            </w:pPr>
            <w:r/>
            <w:r>
              <w:rPr>
                <w:rFonts w:ascii="Aptos" w:hAnsi="Aptos" w:eastAsia="Aptos"/>
                <w:b/>
                <w:color w:val="FFFFFF"/>
                <w:sz w:val="17"/>
              </w:rPr>
              <w:t>Max path gap</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eastAsia="Aptos"/>
                <w:b w:val="0"/>
                <w:color w:val="000000"/>
                <w:sz w:val="17"/>
              </w:rPr>
              <w:t>6,768</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752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0.7982</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0.7658</w:t>
            </w:r>
          </w:p>
        </w:tc>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0.0647</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right"/>
            </w:pPr>
            <w:r/>
            <w:r>
              <w:rPr>
                <w:rFonts w:ascii="Aptos" w:hAnsi="Aptos" w:eastAsia="Aptos"/>
                <w:b w:val="0"/>
                <w:color w:val="000000"/>
                <w:sz w:val="17"/>
              </w:rPr>
              <w:t>0.0757</w:t>
            </w:r>
          </w:p>
        </w:tc>
      </w:tr>
    </w:tbl>
    <w:p/>
    <w:p>
      <w:pPr>
        <w:pStyle w:val="Heading1"/>
      </w:pPr>
      <w:r>
        <w:t>8 Relation to nearby work and claim boundary</w:t>
      </w:r>
    </w:p>
    <w:p>
      <w:r>
        <w:t>Assisted specification methods search across candidate utility forms. Misspecification tests compare outcomes with a fitted model or a broad MNL restriction. Optimal designs target parameter precision or discrimination between specified rivals. Conditional-randomization exposure-mapping tests in network interference use the same level-set logic in a different domain. Counterfactual robustness work studies the stability of downstream predictions. The present audit addresses a different finite design object: whether the raw coordinates discarded by a declared candidate menu summary have nonzero within-fibre exposure on the support the experiment creates.</w:t>
      </w:r>
    </w:p>
    <w:p>
      <w:r>
        <w:t>The method should be presented as a design-based finite-support audit. It should not be described as the first conditional-randomization test, a universal MNL misspecification test, or a nonparametric identification theorem. The saturated-LR comparison prevents an inflated novelty claim. The useful distinction is that the rank and support-repair output are available before outcome data and can reveal a zero-information design that ordinary precision criteria accept. The literature audit covered Crossref, publisher pages, open repositories, and broad web searches; direct Scopus and Google Scholar result pages were not consistently accessible, so no database-complete priority claim is made.</w:t>
      </w:r>
    </w:p>
    <w:p>
      <w:r>
        <w:t>The separate policy-path audit supplies a common-mode negative control. Two models can agree on observed support and share an omitted off-support term. That result explains why model agreement cannot certify counterfactual correctness; it is not a second headline method.</w:t>
      </w:r>
    </w:p>
    <w:p>
      <w:pPr>
        <w:pStyle w:val="Heading1"/>
      </w:pPr>
      <w:r>
        <w:t>9 Discussion and conclusion</w:t>
      </w:r>
    </w:p>
    <w:p>
      <w:r>
        <w:t>A DCE can be precise for a candidate utility index and still be unable to criticize the index as a representation of the raw attributes. The fibre audit makes this distinction concrete. It preserves the complete candidate menu prediction, measures variation after conditioning on that prediction, and reports the support rank before estimation. The finite certificate identifies blind directions, while the optimizer supplies an explicit support repair or a power-planning input.</w:t>
      </w:r>
    </w:p>
    <w:p>
      <w:r>
        <w:t>The scope is deliberately finite. A saturated raw basis has singleton fibres and no test content. A direction that is a function of φ belongs to the null. A rejection identifies a failure of the conditional relation on the declared support; it does not identify one psychological mechanism. A randomized candidate-preserving DCE is needed for a human-data rejection claim. The present simulations and Swissmetro run establish a reproducible method-and-design contribution with a transparent boundary.</w:t>
      </w:r>
    </w:p>
    <w:p>
      <w:pPr>
        <w:pStyle w:val="Heading1"/>
      </w:pPr>
      <w:r>
        <w:t>Appendix A Reproducibility</w:t>
      </w:r>
    </w:p>
    <w:p>
      <w:r>
        <w:t>All scripts, locked CSV outputs, and the public-data provenance record are versioned at https://github.com/StarFall20/paper. The primary entry points are analysis/support_complete_fibre_design.py, analysis/support_complete_fibre_benchmark.py, analysis/support_complete_vs_saturated_benchmark.py, analysis/smart_device_fibre_design.py, and analysis/swissmetro_policy_path_audit.py. Raw public data are not redistributed.</w:t>
      </w:r>
    </w:p>
    <w:p>
      <w:r>
        <w:t>The finite-support recheck uses 30 replications, 400 observations, and 199 conditional randomization draws. The original locked benchmark uses 200 replications and 499 draws. The expanded boundary checks use 500 replications at n=800 with 499 draws and 1,000 replications at n=400 with 199 draws. All respondent-level splits and task assignments are generated from explicit seeds. Structural rank and eigenvalue calculations are run before outcome simulation.</w:t>
      </w:r>
    </w:p>
    <w:p>
      <w:pPr>
        <w:pStyle w:val="Heading1"/>
      </w:pPr>
      <w:r>
        <w:t>References</w:t>
      </w:r>
    </w:p>
    <w:p>
      <w:pPr>
        <w:pStyle w:val="Small"/>
        <w:ind w:left="259" w:hanging="259"/>
      </w:pPr>
      <w:r>
        <w:t>McFadden, D. (1974). Conditional logit analysis of qualitative choice behavior. In Frontiers in Econometrics, 105–142.</w:t>
      </w:r>
    </w:p>
    <w:p>
      <w:pPr>
        <w:pStyle w:val="Small"/>
        <w:ind w:left="259" w:hanging="259"/>
      </w:pPr>
      <w:r>
        <w:t>Train, K. E. (2009). Discrete Choice Methods with Simulation. 2nd ed. Cambridge University Press.</w:t>
      </w:r>
    </w:p>
    <w:p>
      <w:pPr>
        <w:pStyle w:val="Small"/>
        <w:ind w:left="259" w:hanging="259"/>
      </w:pPr>
      <w:r>
        <w:t>Ortelli, F., et al. (2021). Assisted specification of discrete choice models. Journal of Choice Modelling, 39, 100285. https://doi.org/10.1016/j.jocm.2021.100285</w:t>
      </w:r>
    </w:p>
    <w:p>
      <w:pPr>
        <w:pStyle w:val="Small"/>
        <w:ind w:left="259" w:hanging="259"/>
      </w:pPr>
      <w:r>
        <w:t>Fok, D., and Paap, R. (2025). New misspecification tests for multinomial logit models. Journal of Choice Modelling. https://doi.org/10.1016/j.jocm.2024.100531</w:t>
      </w:r>
    </w:p>
    <w:p>
      <w:pPr>
        <w:pStyle w:val="Small"/>
        <w:ind w:left="259" w:hanging="259"/>
      </w:pPr>
      <w:r>
        <w:t>Hoshino, T., and Yanagi, S. (2026). Conditional randomization tests for the specification of interference structure. Journal of Applied Econometrics. https://doi.org/10.1002/jae.70076</w:t>
      </w:r>
    </w:p>
    <w:p>
      <w:pPr>
        <w:pStyle w:val="Small"/>
        <w:ind w:left="259" w:hanging="259"/>
      </w:pPr>
      <w:r>
        <w:t>Atkinson, A. C. (2008). DT-optimum designs for model discrimination and parameter estimation. Journal of Statistical Planning and Inference, 138, 56–64. https://doi.org/10.1016/j.jspi.2007.05.024</w:t>
      </w:r>
    </w:p>
    <w:p>
      <w:pPr>
        <w:pStyle w:val="Small"/>
        <w:ind w:left="259" w:hanging="259"/>
      </w:pPr>
      <w:r>
        <w:t>Christensen, T., and Connault, B. (2023). Counterfactual sensitivity and robustness. Econometrica, 91, 1815–1842. https://doi.org/10.3982/ECTA17232</w:t>
      </w:r>
    </w:p>
    <w:p>
      <w:pPr>
        <w:pStyle w:val="Small"/>
        <w:ind w:left="259" w:hanging="259"/>
      </w:pPr>
      <w:r>
        <w:t>Yang, K. Z., and Vasserman, S. (2025). Robustness measures for welfare analysis. American Economic Review. https://doi.org/10.1257/aer.20220673</w:t>
      </w:r>
    </w:p>
    <w:p>
      <w:pPr>
        <w:pStyle w:val="Small"/>
        <w:ind w:left="259" w:hanging="259"/>
      </w:pPr>
      <w:r>
        <w:t>ISPOR Conjoint Analysis Good Research Practices Task Force. (2013). Constructing experimental designs for discrete-choice experiments. Value in Health, 16, 3–13.</w:t>
      </w:r>
    </w:p>
    <w:sectPr w:rsidR="00FC693F" w:rsidRPr="0006063C" w:rsidSect="00034616">
      <w:footerReference w:type="default" r:id="rId9"/>
      <w:pgSz w:w="12240" w:h="15840"/>
      <w:pgMar w:top="1123"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Testing Utility Basis Sufficiency | Working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before="100" w:after="60"/>
    </w:pPr>
    <w:rPr>
      <w:rFonts w:ascii="Aptos" w:hAnsi="Aptos"/>
      <w:b/>
      <w:color w:val="000000"/>
      <w:sz w:val="18"/>
    </w:rPr>
  </w:style>
  <w:style w:type="paragraph" w:customStyle="1" w:styleId="Small">
    <w:name w:val="Smal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Utility Basis Sufficiency in Discrete Choice Experiments</dc:title>
  <dc:subject>Journal of Choice Modelling revision</dc:subject>
  <dc:creator>Unspecified authors</dc:creator>
  <cp:keywords/>
  <dc:description>Finite-support fibre audit with reproducible design and simulation checks.</dc:description>
  <cp:lastModifiedBy/>
  <cp:revision>1</cp:revision>
  <dcterms:created xsi:type="dcterms:W3CDTF">2013-12-23T23:15:00Z</dcterms:created>
  <dcterms:modified xsi:type="dcterms:W3CDTF">2013-12-23T23:15:00Z</dcterms:modified>
  <cp:category/>
</cp:coreProperties>
</file>