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Colecciones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Estas estructuras nos permiten manejar conjuntos de datos de manera eficiente, evitando consultas todo el rato a la base de datos.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Tipos de tablas</w:t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Tablas indexadas:</w:t>
      </w:r>
      <w:r w:rsidDel="00000000" w:rsidR="00000000" w:rsidRPr="00000000">
        <w:rPr>
          <w:sz w:val="26"/>
          <w:szCs w:val="26"/>
          <w:rtl w:val="0"/>
        </w:rPr>
        <w:t xml:space="preserve">Sirven para guardar colecciones de elementos usando un indice para acceder a estas.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Declaración: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t_datos_students define una estructura que almacena filas completas de la tabla students.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INDEX BY BINARY_INTEGER permite usar cualquier número como índice (incluso negativos o no consecutivos).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Uso: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Podemos asignar valores directamente usando una clave (v_students(10000)).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No requiere inicialización previa: la asignación crea automáticamente el espacio necesario.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Caso de Uso: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En nuestro sistema, esto es ideal para buscar estudiantes por ID rápidamente, como un diccionario o mapa en memoria.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xgok4f2kuwgw" w:id="0"/>
      <w:bookmarkEnd w:id="0"/>
      <w:r w:rsidDel="00000000" w:rsidR="00000000" w:rsidRPr="00000000">
        <w:rPr>
          <w:rtl w:val="0"/>
        </w:rPr>
        <w:t xml:space="preserve">Tablas anidadas</w:t>
      </w:r>
    </w:p>
    <w:p w:rsidR="00000000" w:rsidDel="00000000" w:rsidP="00000000" w:rsidRDefault="00000000" w:rsidRPr="00000000" w14:paraId="00000013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  <w:t xml:space="preserve">Son como mini tablas dentro de otra tabla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Declaración: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Parecido a las tablas indexadas, pero sin INDEX BY.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Requiere inicialización explícita (t_course_list()).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Métodos Clave: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EXTEND: Añade espacio para nuevos elementos.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TRIM: Elimina elementos del final.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DELETE(n): Elimina un elemento específico (no  es consecutivo).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Diferencia Principal: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Lo que le diferencia de las tablas indexadas es que </w:t>
      </w:r>
      <w:r w:rsidDel="00000000" w:rsidR="00000000" w:rsidRPr="00000000">
        <w:rPr>
          <w:rtl w:val="0"/>
        </w:rPr>
        <w:t xml:space="preserve"> las tablas anidadas pueden almacenarse directamente en columnas de la base de datos. Por ejemplo, podríamos guardar la lista de cursos de un estudiante en una sola columna.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hqdfnd1vahwy" w:id="1"/>
      <w:bookmarkEnd w:id="1"/>
      <w:r w:rsidDel="00000000" w:rsidR="00000000" w:rsidRPr="00000000">
        <w:rPr>
          <w:rtl w:val="0"/>
        </w:rPr>
        <w:t xml:space="preserve">3. VARRAYS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Declaración: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VARRAY(5) define un array de un tamaño fijo (máximo 5 elementos).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Los índices siempre comienzan en 1 y deben ser consecutivos.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Restricciones: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Si intentamos añadir un sexto elemento, generará un error.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Esto lo hace ideal para estructuras con límites predefinidos, como los horarios fijos de un curso.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Persistencia en BD: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Al igual que las tablas anidadas, los VARRAY pueden almacenarse en columnas de tablas.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n3aq2byjj6a7" w:id="2"/>
      <w:bookmarkEnd w:id="2"/>
      <w:r w:rsidDel="00000000" w:rsidR="00000000" w:rsidRPr="00000000">
        <w:rPr>
          <w:rtl w:val="0"/>
        </w:rPr>
        <w:t xml:space="preserve">4. Métodos comunes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color w:val="4a86e8"/>
          <w:rtl w:val="0"/>
        </w:rPr>
        <w:t xml:space="preserve">COUNT</w:t>
      </w:r>
      <w:r w:rsidDel="00000000" w:rsidR="00000000" w:rsidRPr="00000000">
        <w:rPr>
          <w:rtl w:val="0"/>
        </w:rPr>
        <w:t xml:space="preserve">: Nos dice cuántos elementos hay actualmente en la colección.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color w:val="4a86e8"/>
          <w:rtl w:val="0"/>
        </w:rPr>
        <w:t xml:space="preserve">EXISTS(n)</w:t>
      </w:r>
      <w:r w:rsidDel="00000000" w:rsidR="00000000" w:rsidRPr="00000000">
        <w:rPr>
          <w:rtl w:val="0"/>
        </w:rPr>
        <w:t xml:space="preserve">: Verifica si un índice existe antes de acceder a él, evitando errores.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color w:val="4a86e8"/>
          <w:rtl w:val="0"/>
        </w:rPr>
        <w:t xml:space="preserve">FIRST/LAST</w:t>
      </w:r>
      <w:r w:rsidDel="00000000" w:rsidR="00000000" w:rsidRPr="00000000">
        <w:rPr>
          <w:rtl w:val="0"/>
        </w:rPr>
        <w:t xml:space="preserve">: Útiles para recorrer todos los elementos de manera segura.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color w:val="4a86e8"/>
          <w:rtl w:val="0"/>
        </w:rPr>
        <w:t xml:space="preserve">LIMIT </w:t>
      </w:r>
      <w:r w:rsidDel="00000000" w:rsidR="00000000" w:rsidRPr="00000000">
        <w:rPr>
          <w:rtl w:val="0"/>
        </w:rPr>
        <w:t xml:space="preserve">(solo VARRAYs): Indica el tamaño máximo permitido.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>
          <w:color w:val="000000"/>
        </w:rPr>
      </w:pPr>
      <w:bookmarkStart w:colFirst="0" w:colLast="0" w:name="_m2quulw1wn79" w:id="3"/>
      <w:bookmarkEnd w:id="3"/>
      <w:r w:rsidDel="00000000" w:rsidR="00000000" w:rsidRPr="00000000">
        <w:rPr>
          <w:rtl w:val="0"/>
        </w:rPr>
        <w:t xml:space="preserve">Conclusión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Flexibilidad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Almacenable 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Uso Recomendado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Indexadas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Máxima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Búsquedas rápidas por clave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Indexadas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Listas dinámicas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Varrays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Limitada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Listas de tamaño fijo 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(ej: horarios)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Style w:val="Heading3"/>
        <w:rPr>
          <w:color w:val="000000"/>
        </w:rPr>
      </w:pPr>
      <w:bookmarkStart w:colFirst="0" w:colLast="0" w:name="_p7g2god5482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