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7B372" w14:textId="77777777" w:rsidR="00E06619" w:rsidRDefault="00E06619" w:rsidP="009646A2">
      <w:pPr>
        <w:spacing w:line="480" w:lineRule="auto"/>
        <w:jc w:val="center"/>
        <w:rPr>
          <w:sz w:val="24"/>
          <w:szCs w:val="24"/>
          <w:u w:val="single"/>
        </w:rPr>
      </w:pPr>
    </w:p>
    <w:p w14:paraId="7C044776" w14:textId="77777777" w:rsidR="00E06619" w:rsidRDefault="00E06619" w:rsidP="009646A2">
      <w:pPr>
        <w:spacing w:line="480" w:lineRule="auto"/>
        <w:jc w:val="center"/>
        <w:rPr>
          <w:sz w:val="24"/>
          <w:szCs w:val="24"/>
          <w:u w:val="single"/>
        </w:rPr>
      </w:pPr>
    </w:p>
    <w:p w14:paraId="04DBCBF2" w14:textId="77777777" w:rsidR="00E06619" w:rsidRDefault="00E06619" w:rsidP="009646A2">
      <w:pPr>
        <w:spacing w:line="480" w:lineRule="auto"/>
        <w:jc w:val="center"/>
        <w:rPr>
          <w:sz w:val="24"/>
          <w:szCs w:val="24"/>
          <w:u w:val="single"/>
        </w:rPr>
      </w:pPr>
    </w:p>
    <w:p w14:paraId="335AD917" w14:textId="77777777" w:rsidR="00E06619" w:rsidRDefault="00E06619" w:rsidP="009646A2">
      <w:pPr>
        <w:spacing w:line="480" w:lineRule="auto"/>
        <w:rPr>
          <w:sz w:val="24"/>
          <w:szCs w:val="24"/>
          <w:u w:val="single"/>
        </w:rPr>
      </w:pPr>
    </w:p>
    <w:p w14:paraId="3DF87537" w14:textId="4C28E962" w:rsidR="00796569" w:rsidRPr="0064747B" w:rsidRDefault="00997325" w:rsidP="009646A2">
      <w:pPr>
        <w:spacing w:line="480" w:lineRule="auto"/>
        <w:jc w:val="center"/>
        <w:rPr>
          <w:b/>
          <w:bCs/>
          <w:sz w:val="24"/>
          <w:szCs w:val="24"/>
        </w:rPr>
      </w:pPr>
      <w:r w:rsidRPr="0064747B">
        <w:rPr>
          <w:b/>
          <w:bCs/>
          <w:sz w:val="24"/>
          <w:szCs w:val="24"/>
        </w:rPr>
        <w:t>Population Density and the Economy: A Global Assessment</w:t>
      </w:r>
    </w:p>
    <w:p w14:paraId="73B1CD99" w14:textId="38FE44A4" w:rsidR="00796569" w:rsidRDefault="00796569" w:rsidP="009646A2">
      <w:pPr>
        <w:spacing w:line="480" w:lineRule="auto"/>
        <w:jc w:val="center"/>
        <w:rPr>
          <w:sz w:val="24"/>
          <w:szCs w:val="24"/>
        </w:rPr>
      </w:pPr>
    </w:p>
    <w:p w14:paraId="38D7C1C3" w14:textId="77777777" w:rsidR="00704173" w:rsidRDefault="00704173" w:rsidP="009646A2">
      <w:pPr>
        <w:spacing w:line="480" w:lineRule="auto"/>
        <w:jc w:val="center"/>
        <w:rPr>
          <w:sz w:val="24"/>
          <w:szCs w:val="24"/>
        </w:rPr>
      </w:pPr>
    </w:p>
    <w:p w14:paraId="1EF9BAAC" w14:textId="77777777" w:rsidR="00704173" w:rsidRDefault="00704173" w:rsidP="009646A2">
      <w:pPr>
        <w:spacing w:line="480" w:lineRule="auto"/>
        <w:rPr>
          <w:sz w:val="24"/>
          <w:szCs w:val="24"/>
        </w:rPr>
      </w:pPr>
    </w:p>
    <w:p w14:paraId="7F94708A" w14:textId="77777777" w:rsidR="00997325" w:rsidRDefault="00997325" w:rsidP="009646A2">
      <w:pPr>
        <w:spacing w:line="480" w:lineRule="auto"/>
        <w:jc w:val="center"/>
        <w:rPr>
          <w:sz w:val="24"/>
          <w:szCs w:val="24"/>
        </w:rPr>
      </w:pPr>
      <w:r>
        <w:rPr>
          <w:sz w:val="24"/>
          <w:szCs w:val="24"/>
        </w:rPr>
        <w:t>Joshua Abbott</w:t>
      </w:r>
    </w:p>
    <w:p w14:paraId="344D730F" w14:textId="2CEBDD17" w:rsidR="00997325" w:rsidRDefault="00074C6C" w:rsidP="009646A2">
      <w:pPr>
        <w:spacing w:line="480" w:lineRule="auto"/>
        <w:jc w:val="center"/>
        <w:rPr>
          <w:sz w:val="24"/>
          <w:szCs w:val="24"/>
        </w:rPr>
      </w:pPr>
      <w:r>
        <w:rPr>
          <w:sz w:val="24"/>
          <w:szCs w:val="24"/>
        </w:rPr>
        <w:t xml:space="preserve">Department of Geography, </w:t>
      </w:r>
      <w:r w:rsidR="00997325">
        <w:rPr>
          <w:sz w:val="24"/>
          <w:szCs w:val="24"/>
        </w:rPr>
        <w:t>George Mason University</w:t>
      </w:r>
    </w:p>
    <w:p w14:paraId="67CB8C71" w14:textId="5ACD9E5A" w:rsidR="00D41ECC" w:rsidRDefault="00D41ECC" w:rsidP="009646A2">
      <w:pPr>
        <w:spacing w:line="480" w:lineRule="auto"/>
        <w:jc w:val="center"/>
        <w:rPr>
          <w:sz w:val="24"/>
          <w:szCs w:val="24"/>
        </w:rPr>
      </w:pPr>
      <w:r>
        <w:rPr>
          <w:sz w:val="24"/>
          <w:szCs w:val="24"/>
        </w:rPr>
        <w:t>GGS 470</w:t>
      </w:r>
      <w:r w:rsidR="009646A2">
        <w:rPr>
          <w:sz w:val="24"/>
          <w:szCs w:val="24"/>
        </w:rPr>
        <w:t xml:space="preserve">: </w:t>
      </w:r>
      <w:r>
        <w:rPr>
          <w:sz w:val="24"/>
          <w:szCs w:val="24"/>
        </w:rPr>
        <w:t>Global Assessment</w:t>
      </w:r>
    </w:p>
    <w:p w14:paraId="669FD944" w14:textId="77777777" w:rsidR="0064747B" w:rsidRDefault="0064747B" w:rsidP="009646A2">
      <w:pPr>
        <w:spacing w:line="480" w:lineRule="auto"/>
        <w:jc w:val="center"/>
        <w:rPr>
          <w:sz w:val="24"/>
          <w:szCs w:val="24"/>
        </w:rPr>
      </w:pPr>
      <w:r>
        <w:rPr>
          <w:sz w:val="24"/>
          <w:szCs w:val="24"/>
        </w:rPr>
        <w:t>Professor Edward Oughton</w:t>
      </w:r>
    </w:p>
    <w:p w14:paraId="59251B53" w14:textId="11C4B027" w:rsidR="00E21534" w:rsidRPr="003A75D8" w:rsidRDefault="0064747B" w:rsidP="009646A2">
      <w:pPr>
        <w:spacing w:line="480" w:lineRule="auto"/>
        <w:jc w:val="center"/>
        <w:rPr>
          <w:rFonts w:asciiTheme="majorHAnsi" w:hAnsiTheme="majorHAnsi" w:cstheme="majorHAnsi"/>
          <w:sz w:val="24"/>
          <w:szCs w:val="24"/>
          <w:u w:val="single"/>
        </w:rPr>
      </w:pPr>
      <w:r>
        <w:rPr>
          <w:sz w:val="24"/>
          <w:szCs w:val="24"/>
        </w:rPr>
        <w:t xml:space="preserve">May </w:t>
      </w:r>
      <w:r w:rsidR="006C4DAE">
        <w:rPr>
          <w:sz w:val="24"/>
          <w:szCs w:val="24"/>
        </w:rPr>
        <w:t>5</w:t>
      </w:r>
      <w:r w:rsidR="00074C6C" w:rsidRPr="00074C6C">
        <w:rPr>
          <w:sz w:val="24"/>
          <w:szCs w:val="24"/>
          <w:vertAlign w:val="superscript"/>
        </w:rPr>
        <w:t>th</w:t>
      </w:r>
      <w:r w:rsidR="00074C6C">
        <w:rPr>
          <w:sz w:val="24"/>
          <w:szCs w:val="24"/>
        </w:rPr>
        <w:t xml:space="preserve">, </w:t>
      </w:r>
      <w:r>
        <w:rPr>
          <w:sz w:val="24"/>
          <w:szCs w:val="24"/>
        </w:rPr>
        <w:t>2023</w:t>
      </w:r>
      <w:r w:rsidR="003A75D8">
        <w:rPr>
          <w:sz w:val="24"/>
          <w:szCs w:val="24"/>
          <w:u w:val="single"/>
        </w:rPr>
        <w:br w:type="page"/>
      </w:r>
    </w:p>
    <w:p w14:paraId="273B32CC" w14:textId="13E86FA8" w:rsidR="00CC67C2" w:rsidRDefault="00862F9C" w:rsidP="00F05EC2">
      <w:pPr>
        <w:jc w:val="center"/>
        <w:rPr>
          <w:sz w:val="24"/>
          <w:szCs w:val="24"/>
          <w:u w:val="single"/>
        </w:rPr>
      </w:pPr>
      <w:r>
        <w:rPr>
          <w:sz w:val="24"/>
          <w:szCs w:val="24"/>
          <w:u w:val="single"/>
        </w:rPr>
        <w:lastRenderedPageBreak/>
        <w:t>Abstract</w:t>
      </w:r>
    </w:p>
    <w:p w14:paraId="7738D6F4" w14:textId="40A6FD8F" w:rsidR="00862F9C" w:rsidRPr="00AB3FF0" w:rsidRDefault="00AB3FF0" w:rsidP="00AB3FF0">
      <w:pPr>
        <w:rPr>
          <w:sz w:val="24"/>
          <w:szCs w:val="24"/>
        </w:rPr>
      </w:pPr>
      <w:r>
        <w:rPr>
          <w:sz w:val="24"/>
          <w:szCs w:val="24"/>
        </w:rPr>
        <w:tab/>
      </w:r>
      <w:r w:rsidR="009B0638">
        <w:rPr>
          <w:sz w:val="24"/>
          <w:szCs w:val="24"/>
        </w:rPr>
        <w:t xml:space="preserve">This research paper analyzes </w:t>
      </w:r>
      <w:r w:rsidR="00706959">
        <w:rPr>
          <w:sz w:val="24"/>
          <w:szCs w:val="24"/>
        </w:rPr>
        <w:t>the population dens</w:t>
      </w:r>
      <w:r w:rsidR="00514E21">
        <w:rPr>
          <w:sz w:val="24"/>
          <w:szCs w:val="24"/>
        </w:rPr>
        <w:t xml:space="preserve">ity by region of every country in the world with a </w:t>
      </w:r>
      <w:r w:rsidR="00FA440A">
        <w:rPr>
          <w:sz w:val="24"/>
          <w:szCs w:val="24"/>
        </w:rPr>
        <w:t>total population above 1 million</w:t>
      </w:r>
      <w:r w:rsidR="001A3F5B">
        <w:rPr>
          <w:sz w:val="24"/>
          <w:szCs w:val="24"/>
        </w:rPr>
        <w:t xml:space="preserve"> using methodology employing python code</w:t>
      </w:r>
      <w:r w:rsidR="006D3371">
        <w:rPr>
          <w:sz w:val="24"/>
          <w:szCs w:val="24"/>
        </w:rPr>
        <w:t xml:space="preserve"> to create a global map. </w:t>
      </w:r>
      <w:r w:rsidR="007E4521">
        <w:rPr>
          <w:sz w:val="24"/>
          <w:szCs w:val="24"/>
        </w:rPr>
        <w:t xml:space="preserve">Each country </w:t>
      </w:r>
      <w:r w:rsidR="00C6142D">
        <w:rPr>
          <w:sz w:val="24"/>
          <w:szCs w:val="24"/>
        </w:rPr>
        <w:t>has an income group it is classified in</w:t>
      </w:r>
      <w:r w:rsidR="00261F80">
        <w:rPr>
          <w:sz w:val="24"/>
          <w:szCs w:val="24"/>
        </w:rPr>
        <w:t>, ranging from low-middle to high-income</w:t>
      </w:r>
      <w:r w:rsidR="00844876">
        <w:rPr>
          <w:sz w:val="24"/>
          <w:szCs w:val="24"/>
        </w:rPr>
        <w:t xml:space="preserve">. </w:t>
      </w:r>
      <w:r w:rsidR="00C3202A">
        <w:rPr>
          <w:sz w:val="24"/>
          <w:szCs w:val="24"/>
        </w:rPr>
        <w:t xml:space="preserve">The aim of this paper is to </w:t>
      </w:r>
      <w:r w:rsidR="002E3854">
        <w:rPr>
          <w:sz w:val="24"/>
          <w:szCs w:val="24"/>
        </w:rPr>
        <w:t xml:space="preserve">investigate where places of high population density exist </w:t>
      </w:r>
      <w:r w:rsidR="00505089">
        <w:rPr>
          <w:sz w:val="24"/>
          <w:szCs w:val="24"/>
        </w:rPr>
        <w:t xml:space="preserve">and conclude if it is tied </w:t>
      </w:r>
      <w:r w:rsidR="001D7711">
        <w:rPr>
          <w:sz w:val="24"/>
          <w:szCs w:val="24"/>
        </w:rPr>
        <w:t xml:space="preserve">to the income group of the country where it is. </w:t>
      </w:r>
      <w:r w:rsidR="001238AD">
        <w:rPr>
          <w:sz w:val="24"/>
          <w:szCs w:val="24"/>
        </w:rPr>
        <w:t>The motivation for which is to illustrate</w:t>
      </w:r>
      <w:r w:rsidR="00920F8B">
        <w:rPr>
          <w:sz w:val="24"/>
          <w:szCs w:val="24"/>
        </w:rPr>
        <w:t xml:space="preserve"> and introduce awareness of where high-density countries are in the world </w:t>
      </w:r>
      <w:r w:rsidR="00E1370A">
        <w:rPr>
          <w:sz w:val="24"/>
          <w:szCs w:val="24"/>
        </w:rPr>
        <w:t xml:space="preserve">to point out the </w:t>
      </w:r>
      <w:r w:rsidR="00AF3399">
        <w:rPr>
          <w:sz w:val="24"/>
          <w:szCs w:val="24"/>
        </w:rPr>
        <w:t xml:space="preserve">potential </w:t>
      </w:r>
      <w:r w:rsidR="00E1370A">
        <w:rPr>
          <w:sz w:val="24"/>
          <w:szCs w:val="24"/>
        </w:rPr>
        <w:t xml:space="preserve">problem of </w:t>
      </w:r>
      <w:r w:rsidR="00AF3399">
        <w:rPr>
          <w:sz w:val="24"/>
          <w:szCs w:val="24"/>
        </w:rPr>
        <w:t xml:space="preserve">future </w:t>
      </w:r>
      <w:r w:rsidR="00E1370A">
        <w:rPr>
          <w:sz w:val="24"/>
          <w:szCs w:val="24"/>
        </w:rPr>
        <w:t xml:space="preserve">overpopulation as well as any economic </w:t>
      </w:r>
      <w:r w:rsidR="00283AE6">
        <w:rPr>
          <w:sz w:val="24"/>
          <w:szCs w:val="24"/>
        </w:rPr>
        <w:t xml:space="preserve">problems because of the associated income group. </w:t>
      </w:r>
      <w:r w:rsidR="00965939">
        <w:rPr>
          <w:sz w:val="24"/>
          <w:szCs w:val="24"/>
        </w:rPr>
        <w:t xml:space="preserve">The results </w:t>
      </w:r>
      <w:r w:rsidR="00F74123">
        <w:rPr>
          <w:sz w:val="24"/>
          <w:szCs w:val="24"/>
        </w:rPr>
        <w:t xml:space="preserve">and findings </w:t>
      </w:r>
      <w:r w:rsidR="00965939">
        <w:rPr>
          <w:sz w:val="24"/>
          <w:szCs w:val="24"/>
        </w:rPr>
        <w:t>of the analysis in this paper</w:t>
      </w:r>
      <w:r w:rsidR="00346495">
        <w:rPr>
          <w:sz w:val="24"/>
          <w:szCs w:val="24"/>
        </w:rPr>
        <w:t xml:space="preserve"> from the map produced</w:t>
      </w:r>
      <w:r w:rsidR="00965939">
        <w:rPr>
          <w:sz w:val="24"/>
          <w:szCs w:val="24"/>
        </w:rPr>
        <w:t xml:space="preserve"> indicate that </w:t>
      </w:r>
      <w:r w:rsidR="00346495">
        <w:rPr>
          <w:sz w:val="24"/>
          <w:szCs w:val="24"/>
        </w:rPr>
        <w:t>countries in eastern Asia like China and India</w:t>
      </w:r>
      <w:r w:rsidR="00B51543">
        <w:rPr>
          <w:sz w:val="24"/>
          <w:szCs w:val="24"/>
        </w:rPr>
        <w:t xml:space="preserve"> have high regional population densities</w:t>
      </w:r>
      <w:r w:rsidR="00652214">
        <w:rPr>
          <w:sz w:val="24"/>
          <w:szCs w:val="24"/>
        </w:rPr>
        <w:t xml:space="preserve"> and are part of lower income groups</w:t>
      </w:r>
      <w:r w:rsidR="00932B6F">
        <w:rPr>
          <w:sz w:val="24"/>
          <w:szCs w:val="24"/>
        </w:rPr>
        <w:t>.</w:t>
      </w:r>
      <w:r w:rsidR="005A1212">
        <w:rPr>
          <w:sz w:val="24"/>
          <w:szCs w:val="24"/>
        </w:rPr>
        <w:t xml:space="preserve"> </w:t>
      </w:r>
      <w:r w:rsidR="006333EC">
        <w:rPr>
          <w:sz w:val="24"/>
          <w:szCs w:val="24"/>
        </w:rPr>
        <w:t xml:space="preserve">Countries </w:t>
      </w:r>
      <w:r w:rsidR="00435D80">
        <w:rPr>
          <w:sz w:val="24"/>
          <w:szCs w:val="24"/>
        </w:rPr>
        <w:t xml:space="preserve">belonging to the </w:t>
      </w:r>
      <w:r w:rsidR="00525AB8">
        <w:rPr>
          <w:sz w:val="24"/>
          <w:szCs w:val="24"/>
        </w:rPr>
        <w:t>high-income</w:t>
      </w:r>
      <w:r w:rsidR="00435D80">
        <w:rPr>
          <w:sz w:val="24"/>
          <w:szCs w:val="24"/>
        </w:rPr>
        <w:t xml:space="preserve"> group </w:t>
      </w:r>
      <w:r w:rsidR="001711E4">
        <w:rPr>
          <w:sz w:val="24"/>
          <w:szCs w:val="24"/>
        </w:rPr>
        <w:t>are in stark contrast with more areas that are less</w:t>
      </w:r>
      <w:r w:rsidR="00BD4F84">
        <w:rPr>
          <w:sz w:val="24"/>
          <w:szCs w:val="24"/>
        </w:rPr>
        <w:t xml:space="preserve"> dense in population thereby leaving room for future growth. </w:t>
      </w:r>
      <w:r w:rsidR="003F1DD9">
        <w:rPr>
          <w:sz w:val="24"/>
          <w:szCs w:val="24"/>
        </w:rPr>
        <w:t xml:space="preserve">These results </w:t>
      </w:r>
      <w:r w:rsidR="00542E9F">
        <w:rPr>
          <w:sz w:val="24"/>
          <w:szCs w:val="24"/>
        </w:rPr>
        <w:t xml:space="preserve">indeed conclude that </w:t>
      </w:r>
      <w:r w:rsidR="00B51BF6">
        <w:rPr>
          <w:sz w:val="24"/>
          <w:szCs w:val="24"/>
        </w:rPr>
        <w:t xml:space="preserve">there is a relationship that exists between the income group </w:t>
      </w:r>
      <w:r w:rsidR="00FB5EED">
        <w:rPr>
          <w:sz w:val="24"/>
          <w:szCs w:val="24"/>
        </w:rPr>
        <w:t>of a country and how dense their population is.</w:t>
      </w:r>
    </w:p>
    <w:p w14:paraId="3A79120E" w14:textId="4235B32E" w:rsidR="001C563E" w:rsidRPr="0006116B" w:rsidRDefault="0006116B" w:rsidP="00095320">
      <w:pPr>
        <w:jc w:val="center"/>
        <w:rPr>
          <w:sz w:val="24"/>
          <w:szCs w:val="24"/>
          <w:u w:val="single"/>
        </w:rPr>
      </w:pPr>
      <w:r w:rsidRPr="0006116B">
        <w:rPr>
          <w:sz w:val="24"/>
          <w:szCs w:val="24"/>
          <w:u w:val="single"/>
        </w:rPr>
        <w:t>Introduction</w:t>
      </w:r>
    </w:p>
    <w:p w14:paraId="331E66D4" w14:textId="3326521F" w:rsidR="0006116B" w:rsidRPr="009568DC" w:rsidRDefault="00F57D0B" w:rsidP="0006116B">
      <w:pPr>
        <w:rPr>
          <w:sz w:val="24"/>
          <w:szCs w:val="24"/>
        </w:rPr>
      </w:pPr>
      <w:r>
        <w:rPr>
          <w:sz w:val="24"/>
          <w:szCs w:val="24"/>
        </w:rPr>
        <w:tab/>
      </w:r>
      <w:r w:rsidR="004A2C2D">
        <w:rPr>
          <w:sz w:val="24"/>
          <w:szCs w:val="24"/>
        </w:rPr>
        <w:t xml:space="preserve">Each country </w:t>
      </w:r>
      <w:r w:rsidR="00744AE4">
        <w:rPr>
          <w:sz w:val="24"/>
          <w:szCs w:val="24"/>
        </w:rPr>
        <w:t xml:space="preserve">in the world </w:t>
      </w:r>
      <w:r w:rsidR="004A2C2D">
        <w:rPr>
          <w:sz w:val="24"/>
          <w:szCs w:val="24"/>
        </w:rPr>
        <w:t xml:space="preserve">is classified by a world income group, either falling into </w:t>
      </w:r>
      <w:r w:rsidR="00F02438">
        <w:rPr>
          <w:sz w:val="24"/>
          <w:szCs w:val="24"/>
        </w:rPr>
        <w:t xml:space="preserve">a high-, middle-, or low-income category. </w:t>
      </w:r>
      <w:r w:rsidR="00664E4D">
        <w:rPr>
          <w:sz w:val="24"/>
          <w:szCs w:val="24"/>
        </w:rPr>
        <w:t>High an</w:t>
      </w:r>
      <w:r w:rsidR="00103159">
        <w:rPr>
          <w:sz w:val="24"/>
          <w:szCs w:val="24"/>
        </w:rPr>
        <w:t xml:space="preserve">d some </w:t>
      </w:r>
      <w:r w:rsidR="00AE2D64">
        <w:rPr>
          <w:sz w:val="24"/>
          <w:szCs w:val="24"/>
        </w:rPr>
        <w:t>middle-income</w:t>
      </w:r>
      <w:r w:rsidR="00103159">
        <w:rPr>
          <w:sz w:val="24"/>
          <w:szCs w:val="24"/>
        </w:rPr>
        <w:t xml:space="preserve"> countries make up the first world</w:t>
      </w:r>
      <w:r w:rsidR="00AE2D64">
        <w:rPr>
          <w:sz w:val="24"/>
          <w:szCs w:val="24"/>
        </w:rPr>
        <w:t xml:space="preserve">, while the low-income countries make up a majority of the third world. </w:t>
      </w:r>
      <w:r w:rsidR="00C24281">
        <w:rPr>
          <w:sz w:val="24"/>
          <w:szCs w:val="24"/>
        </w:rPr>
        <w:t>It</w:t>
      </w:r>
      <w:r w:rsidR="002E3ABD">
        <w:rPr>
          <w:sz w:val="24"/>
          <w:szCs w:val="24"/>
        </w:rPr>
        <w:t xml:space="preserve"> can be assumed that the population is dispersed differently </w:t>
      </w:r>
      <w:r w:rsidR="00C24281">
        <w:rPr>
          <w:sz w:val="24"/>
          <w:szCs w:val="24"/>
        </w:rPr>
        <w:t xml:space="preserve">according to what income group each country is in. </w:t>
      </w:r>
      <w:r w:rsidR="00C11BEF">
        <w:rPr>
          <w:sz w:val="24"/>
          <w:szCs w:val="24"/>
        </w:rPr>
        <w:t>However, a</w:t>
      </w:r>
      <w:r w:rsidR="00FA0DF9">
        <w:rPr>
          <w:sz w:val="24"/>
          <w:szCs w:val="24"/>
        </w:rPr>
        <w:t xml:space="preserve">cross the </w:t>
      </w:r>
      <w:r w:rsidR="001A020D">
        <w:rPr>
          <w:sz w:val="24"/>
          <w:szCs w:val="24"/>
        </w:rPr>
        <w:t>globe</w:t>
      </w:r>
      <w:r w:rsidR="00FA0DF9">
        <w:rPr>
          <w:sz w:val="24"/>
          <w:szCs w:val="24"/>
        </w:rPr>
        <w:t xml:space="preserve"> much of the population is clustered around or in cities and metropolitan statistical areas</w:t>
      </w:r>
      <w:r w:rsidR="0062342E">
        <w:rPr>
          <w:sz w:val="24"/>
          <w:szCs w:val="24"/>
        </w:rPr>
        <w:t>, giving these areas a high population density.</w:t>
      </w:r>
      <w:r w:rsidR="00615E9B">
        <w:rPr>
          <w:sz w:val="24"/>
          <w:szCs w:val="24"/>
        </w:rPr>
        <w:t xml:space="preserve"> This is seen everywhere especially in </w:t>
      </w:r>
      <w:r w:rsidR="008A3175">
        <w:rPr>
          <w:sz w:val="24"/>
          <w:szCs w:val="24"/>
        </w:rPr>
        <w:t>e</w:t>
      </w:r>
      <w:r w:rsidR="00615E9B">
        <w:rPr>
          <w:sz w:val="24"/>
          <w:szCs w:val="24"/>
        </w:rPr>
        <w:t>astern Asia</w:t>
      </w:r>
      <w:r w:rsidR="00464AB2">
        <w:rPr>
          <w:sz w:val="24"/>
          <w:szCs w:val="24"/>
        </w:rPr>
        <w:t>n countries like China and India</w:t>
      </w:r>
      <w:r w:rsidR="004A2B8B">
        <w:rPr>
          <w:sz w:val="24"/>
          <w:szCs w:val="24"/>
        </w:rPr>
        <w:t xml:space="preserve">, that are objectively crammed and running out of space. </w:t>
      </w:r>
      <w:r w:rsidR="0062342E">
        <w:rPr>
          <w:sz w:val="24"/>
          <w:szCs w:val="24"/>
        </w:rPr>
        <w:t>The population density in other parts</w:t>
      </w:r>
      <w:r w:rsidR="004B5604">
        <w:rPr>
          <w:sz w:val="24"/>
          <w:szCs w:val="24"/>
        </w:rPr>
        <w:t xml:space="preserve"> of a country outside of these urban regions is normally relatively low</w:t>
      </w:r>
      <w:r w:rsidR="004C4AC0">
        <w:rPr>
          <w:sz w:val="24"/>
          <w:szCs w:val="24"/>
        </w:rPr>
        <w:t>, such as in suburban and rural areas</w:t>
      </w:r>
      <w:r w:rsidR="004B5604">
        <w:rPr>
          <w:sz w:val="24"/>
          <w:szCs w:val="24"/>
        </w:rPr>
        <w:t xml:space="preserve">. </w:t>
      </w:r>
      <w:r w:rsidR="00D936FE">
        <w:rPr>
          <w:sz w:val="24"/>
          <w:szCs w:val="24"/>
        </w:rPr>
        <w:t>The density of people</w:t>
      </w:r>
      <w:r w:rsidR="00BF373F">
        <w:rPr>
          <w:sz w:val="24"/>
          <w:szCs w:val="24"/>
        </w:rPr>
        <w:t xml:space="preserve"> living in other parts of a region in a country outside of urbanized areas could be looked at in a soci</w:t>
      </w:r>
      <w:r w:rsidR="00467F57">
        <w:rPr>
          <w:sz w:val="24"/>
          <w:szCs w:val="24"/>
        </w:rPr>
        <w:t xml:space="preserve">o-economic manner. Where people are living could be tied to the income group their country is in. </w:t>
      </w:r>
      <w:r w:rsidR="0002663D">
        <w:rPr>
          <w:sz w:val="24"/>
          <w:szCs w:val="24"/>
        </w:rPr>
        <w:t xml:space="preserve">There are undoubtedly disparities in the populations of every country </w:t>
      </w:r>
      <w:r w:rsidR="00B72A75">
        <w:rPr>
          <w:sz w:val="24"/>
          <w:szCs w:val="24"/>
        </w:rPr>
        <w:t>and there is an economic factor in that.</w:t>
      </w:r>
      <w:r w:rsidR="006F63CB">
        <w:rPr>
          <w:sz w:val="24"/>
          <w:szCs w:val="24"/>
        </w:rPr>
        <w:t xml:space="preserve"> </w:t>
      </w:r>
      <w:r w:rsidR="00815162">
        <w:rPr>
          <w:sz w:val="24"/>
          <w:szCs w:val="24"/>
        </w:rPr>
        <w:t xml:space="preserve">The motivation for this analysis lies </w:t>
      </w:r>
      <w:r w:rsidR="00B92F18">
        <w:rPr>
          <w:sz w:val="24"/>
          <w:szCs w:val="24"/>
        </w:rPr>
        <w:t xml:space="preserve">in the very real problem of overpopulation </w:t>
      </w:r>
      <w:r w:rsidR="00051721">
        <w:rPr>
          <w:sz w:val="24"/>
          <w:szCs w:val="24"/>
        </w:rPr>
        <w:t xml:space="preserve">in the future </w:t>
      </w:r>
      <w:r w:rsidR="00B92F18">
        <w:rPr>
          <w:sz w:val="24"/>
          <w:szCs w:val="24"/>
        </w:rPr>
        <w:t xml:space="preserve">and </w:t>
      </w:r>
      <w:r w:rsidR="0010318A">
        <w:rPr>
          <w:sz w:val="24"/>
          <w:szCs w:val="24"/>
        </w:rPr>
        <w:t>economic disparity</w:t>
      </w:r>
      <w:r w:rsidR="00051721">
        <w:rPr>
          <w:sz w:val="24"/>
          <w:szCs w:val="24"/>
        </w:rPr>
        <w:t xml:space="preserve">. Showing how crowded </w:t>
      </w:r>
      <w:r w:rsidR="006F4197">
        <w:rPr>
          <w:sz w:val="24"/>
          <w:szCs w:val="24"/>
        </w:rPr>
        <w:t xml:space="preserve">humans are in some places and </w:t>
      </w:r>
      <w:r w:rsidR="009568DC">
        <w:rPr>
          <w:sz w:val="24"/>
          <w:szCs w:val="24"/>
        </w:rPr>
        <w:t xml:space="preserve">generating awareness is important. </w:t>
      </w:r>
      <w:r w:rsidR="0006116B">
        <w:rPr>
          <w:sz w:val="24"/>
          <w:szCs w:val="24"/>
        </w:rPr>
        <w:t xml:space="preserve">This report is going to focus on the </w:t>
      </w:r>
      <w:r w:rsidR="00095320">
        <w:rPr>
          <w:sz w:val="24"/>
          <w:szCs w:val="24"/>
        </w:rPr>
        <w:t xml:space="preserve">following </w:t>
      </w:r>
      <w:r w:rsidR="0006116B">
        <w:rPr>
          <w:sz w:val="24"/>
          <w:szCs w:val="24"/>
        </w:rPr>
        <w:t>research question</w:t>
      </w:r>
      <w:r w:rsidR="007B15D0">
        <w:rPr>
          <w:sz w:val="24"/>
          <w:szCs w:val="24"/>
        </w:rPr>
        <w:t>s</w:t>
      </w:r>
      <w:r w:rsidR="00F610D4">
        <w:rPr>
          <w:sz w:val="24"/>
          <w:szCs w:val="24"/>
        </w:rPr>
        <w:t>:</w:t>
      </w:r>
      <w:r w:rsidR="00D11440">
        <w:rPr>
          <w:sz w:val="24"/>
          <w:szCs w:val="24"/>
        </w:rPr>
        <w:t xml:space="preserve"> Wh</w:t>
      </w:r>
      <w:r w:rsidR="00341A60">
        <w:rPr>
          <w:sz w:val="24"/>
          <w:szCs w:val="24"/>
        </w:rPr>
        <w:t>ere are population densities the greatest</w:t>
      </w:r>
      <w:r w:rsidR="002A38CB">
        <w:rPr>
          <w:sz w:val="24"/>
          <w:szCs w:val="24"/>
        </w:rPr>
        <w:t xml:space="preserve"> based on global sub-regional data</w:t>
      </w:r>
      <w:r w:rsidR="00341A60">
        <w:rPr>
          <w:sz w:val="24"/>
          <w:szCs w:val="24"/>
        </w:rPr>
        <w:t>?</w:t>
      </w:r>
      <w:r w:rsidR="00184C82">
        <w:rPr>
          <w:sz w:val="24"/>
          <w:szCs w:val="24"/>
        </w:rPr>
        <w:t xml:space="preserve"> </w:t>
      </w:r>
      <w:r w:rsidR="0006116B">
        <w:rPr>
          <w:sz w:val="24"/>
          <w:szCs w:val="24"/>
        </w:rPr>
        <w:t xml:space="preserve">How </w:t>
      </w:r>
      <w:r w:rsidR="00F610D4">
        <w:rPr>
          <w:sz w:val="24"/>
          <w:szCs w:val="24"/>
        </w:rPr>
        <w:t>are</w:t>
      </w:r>
      <w:r w:rsidR="0006116B">
        <w:rPr>
          <w:sz w:val="24"/>
          <w:szCs w:val="24"/>
        </w:rPr>
        <w:t xml:space="preserve"> </w:t>
      </w:r>
      <w:r w:rsidR="00F610D4">
        <w:rPr>
          <w:sz w:val="24"/>
          <w:szCs w:val="24"/>
        </w:rPr>
        <w:t>regional</w:t>
      </w:r>
      <w:r w:rsidR="0006116B">
        <w:rPr>
          <w:sz w:val="24"/>
          <w:szCs w:val="24"/>
        </w:rPr>
        <w:t xml:space="preserve"> population</w:t>
      </w:r>
      <w:r w:rsidR="00F610D4">
        <w:rPr>
          <w:sz w:val="24"/>
          <w:szCs w:val="24"/>
        </w:rPr>
        <w:t xml:space="preserve"> densities</w:t>
      </w:r>
      <w:r w:rsidR="0006116B">
        <w:rPr>
          <w:sz w:val="24"/>
          <w:szCs w:val="24"/>
        </w:rPr>
        <w:t xml:space="preserve"> in each country distributed </w:t>
      </w:r>
      <w:r w:rsidR="00BB5EAF">
        <w:rPr>
          <w:sz w:val="24"/>
          <w:szCs w:val="24"/>
        </w:rPr>
        <w:t>considering associated</w:t>
      </w:r>
      <w:r w:rsidR="0006116B">
        <w:rPr>
          <w:sz w:val="24"/>
          <w:szCs w:val="24"/>
        </w:rPr>
        <w:t xml:space="preserve"> </w:t>
      </w:r>
      <w:r w:rsidR="00F610D4">
        <w:rPr>
          <w:sz w:val="24"/>
          <w:szCs w:val="24"/>
        </w:rPr>
        <w:t>world income groups?</w:t>
      </w:r>
      <w:r w:rsidR="00641AD3">
        <w:rPr>
          <w:sz w:val="24"/>
          <w:szCs w:val="24"/>
        </w:rPr>
        <w:t xml:space="preserve"> </w:t>
      </w:r>
    </w:p>
    <w:p w14:paraId="5EDFE1FF" w14:textId="426D4CBA" w:rsidR="0006116B" w:rsidRPr="0006116B" w:rsidRDefault="0006116B" w:rsidP="00095320">
      <w:pPr>
        <w:jc w:val="center"/>
        <w:rPr>
          <w:sz w:val="24"/>
          <w:szCs w:val="24"/>
          <w:u w:val="single"/>
        </w:rPr>
      </w:pPr>
      <w:r w:rsidRPr="0006116B">
        <w:rPr>
          <w:sz w:val="24"/>
          <w:szCs w:val="24"/>
          <w:u w:val="single"/>
        </w:rPr>
        <w:t>Literature Review</w:t>
      </w:r>
    </w:p>
    <w:p w14:paraId="342E3F2B" w14:textId="3ECBC5C3" w:rsidR="0006116B" w:rsidRDefault="00767CAD" w:rsidP="0006116B">
      <w:pPr>
        <w:rPr>
          <w:sz w:val="24"/>
          <w:szCs w:val="24"/>
        </w:rPr>
      </w:pPr>
      <w:r>
        <w:rPr>
          <w:sz w:val="24"/>
          <w:szCs w:val="24"/>
        </w:rPr>
        <w:tab/>
      </w:r>
      <w:r w:rsidR="00667BAB">
        <w:rPr>
          <w:sz w:val="24"/>
          <w:szCs w:val="24"/>
        </w:rPr>
        <w:t xml:space="preserve">A </w:t>
      </w:r>
      <w:r w:rsidR="005E426F">
        <w:rPr>
          <w:sz w:val="24"/>
          <w:szCs w:val="24"/>
        </w:rPr>
        <w:t xml:space="preserve">considerable amount </w:t>
      </w:r>
      <w:r w:rsidR="00667BAB">
        <w:rPr>
          <w:sz w:val="24"/>
          <w:szCs w:val="24"/>
        </w:rPr>
        <w:t xml:space="preserve">of research </w:t>
      </w:r>
      <w:r w:rsidR="005C4198">
        <w:rPr>
          <w:sz w:val="24"/>
          <w:szCs w:val="24"/>
        </w:rPr>
        <w:t>and analysis has been done since the 19</w:t>
      </w:r>
      <w:r w:rsidR="00541A6C">
        <w:rPr>
          <w:sz w:val="24"/>
          <w:szCs w:val="24"/>
        </w:rPr>
        <w:t>8</w:t>
      </w:r>
      <w:r w:rsidR="005C4198">
        <w:rPr>
          <w:sz w:val="24"/>
          <w:szCs w:val="24"/>
        </w:rPr>
        <w:t>0s looking at</w:t>
      </w:r>
      <w:r w:rsidR="006A5D22">
        <w:rPr>
          <w:sz w:val="24"/>
          <w:szCs w:val="24"/>
        </w:rPr>
        <w:t xml:space="preserve"> population densities (as well as on a regional level), economics of the population, </w:t>
      </w:r>
      <w:r w:rsidR="005C7DA1">
        <w:rPr>
          <w:sz w:val="24"/>
          <w:szCs w:val="24"/>
        </w:rPr>
        <w:t xml:space="preserve">and the land </w:t>
      </w:r>
      <w:r w:rsidR="0076649A">
        <w:rPr>
          <w:sz w:val="24"/>
          <w:szCs w:val="24"/>
        </w:rPr>
        <w:t xml:space="preserve">cover types seen throughout a country. </w:t>
      </w:r>
      <w:r w:rsidR="0087757B">
        <w:rPr>
          <w:sz w:val="24"/>
          <w:szCs w:val="24"/>
        </w:rPr>
        <w:t xml:space="preserve">One </w:t>
      </w:r>
      <w:r w:rsidR="006D5239">
        <w:rPr>
          <w:sz w:val="24"/>
          <w:szCs w:val="24"/>
        </w:rPr>
        <w:t xml:space="preserve">research article, which is highly relevant to </w:t>
      </w:r>
      <w:r w:rsidR="006D5239">
        <w:rPr>
          <w:sz w:val="24"/>
          <w:szCs w:val="24"/>
        </w:rPr>
        <w:lastRenderedPageBreak/>
        <w:t xml:space="preserve">this report, looks at the </w:t>
      </w:r>
      <w:r w:rsidR="006F3CE3">
        <w:rPr>
          <w:sz w:val="24"/>
          <w:szCs w:val="24"/>
        </w:rPr>
        <w:t xml:space="preserve">population density and annual income of </w:t>
      </w:r>
      <w:r w:rsidR="008772C8">
        <w:rPr>
          <w:sz w:val="24"/>
          <w:szCs w:val="24"/>
        </w:rPr>
        <w:t xml:space="preserve">Germany specifically to identify disparities. </w:t>
      </w:r>
      <w:r w:rsidR="00634387">
        <w:rPr>
          <w:sz w:val="24"/>
          <w:szCs w:val="24"/>
        </w:rPr>
        <w:t xml:space="preserve">The </w:t>
      </w:r>
      <w:r w:rsidR="00515052">
        <w:rPr>
          <w:sz w:val="24"/>
          <w:szCs w:val="24"/>
        </w:rPr>
        <w:t xml:space="preserve">methodology </w:t>
      </w:r>
      <w:r w:rsidR="002D1757">
        <w:rPr>
          <w:sz w:val="24"/>
          <w:szCs w:val="24"/>
        </w:rPr>
        <w:t>includes analyzing socio-demographic and economic data</w:t>
      </w:r>
      <w:r w:rsidR="007A612D">
        <w:rPr>
          <w:sz w:val="24"/>
          <w:szCs w:val="24"/>
        </w:rPr>
        <w:t>sets</w:t>
      </w:r>
      <w:r w:rsidR="000665F7">
        <w:rPr>
          <w:sz w:val="24"/>
          <w:szCs w:val="24"/>
        </w:rPr>
        <w:t xml:space="preserve"> on a spatial </w:t>
      </w:r>
      <w:r w:rsidR="00C771C4">
        <w:rPr>
          <w:sz w:val="24"/>
          <w:szCs w:val="24"/>
        </w:rPr>
        <w:t>level at a large scale</w:t>
      </w:r>
      <w:r w:rsidR="00F50FD9">
        <w:rPr>
          <w:sz w:val="24"/>
          <w:szCs w:val="24"/>
        </w:rPr>
        <w:t xml:space="preserve"> based on two variables, population density and </w:t>
      </w:r>
      <w:r w:rsidR="0029103F">
        <w:rPr>
          <w:sz w:val="24"/>
          <w:szCs w:val="24"/>
        </w:rPr>
        <w:t xml:space="preserve">average annual </w:t>
      </w:r>
      <w:r w:rsidR="00F50FD9">
        <w:rPr>
          <w:sz w:val="24"/>
          <w:szCs w:val="24"/>
        </w:rPr>
        <w:t>income</w:t>
      </w:r>
      <w:r w:rsidR="008C2CF6">
        <w:rPr>
          <w:sz w:val="24"/>
          <w:szCs w:val="24"/>
        </w:rPr>
        <w:t xml:space="preserve">, and then generate choropleth maps </w:t>
      </w:r>
      <w:r w:rsidR="00605941">
        <w:rPr>
          <w:sz w:val="24"/>
          <w:szCs w:val="24"/>
        </w:rPr>
        <w:t>from it and see imbalances in the population</w:t>
      </w:r>
      <w:r w:rsidR="003C3EA4">
        <w:rPr>
          <w:sz w:val="24"/>
          <w:szCs w:val="24"/>
        </w:rPr>
        <w:t xml:space="preserve"> </w:t>
      </w:r>
      <w:r w:rsidR="003C3EA4">
        <w:rPr>
          <w:sz w:val="24"/>
          <w:szCs w:val="24"/>
        </w:rPr>
        <w:fldChar w:fldCharType="begin"/>
      </w:r>
      <w:r w:rsidR="003C3EA4">
        <w:rPr>
          <w:sz w:val="24"/>
          <w:szCs w:val="24"/>
        </w:rPr>
        <w:instrText xml:space="preserve"> ADDIN ZOTERO_ITEM CSL_CITATION {"citationID":"e0h0SPCn","properties":{"formattedCitation":"(Moos et al., 2021)","plainCitation":"(Moos et al., 2021)","noteIndex":0},"citationItems":[{"id":3,"uris":["http://zotero.org/users/local/zYlQB4ED/items/4D2HLY3L"],"itemData":{"id":3,"type":"article-journal","abstract":"This paper describes a methodological approach that is able to analyse socio-demographic and -economic data in large-scale spatial detail. Based on the two variables, population density and annual income, one investigates the spatial relationship of these variables to identify locations of imbalance or disparities assisted by bivariate choropleth maps. The aim is to gain a deeper insight into spatial components of socioeconomic nexuses, such as the relationships between the two variables, especially for high-resolution spatial units. The used methodology is able to assist political decision-making, target group advertising in the field of geo-marketing and for the site searches of new shop locations, as well as further socioeconomic research and urban planning. The developed methodology was tested in a national case study in Germany and is easily transferrable to other countries with comparable datasets. The analysis was carried out utilising data about population density and average annual income linked to spatially referenced polygons of postal codes. These were disaggregated initially via a readapted three-class dasymetric mapping approach and allocated to large-scale city block polygons. Univariate and bivariate choropleth maps generated from the resulting datasets were then used to identify and compare spatial economic disparities for a study area in North Rhine-Westphalia (NRW), Germany. Subsequently, based on these variables, a multivariate clustering approach was conducted for a demonstration area in Dortmund. In the result, it was obvious that the spatially disaggregated data allow more detailed insight into spatial patterns of socioeconomic attributes than the coarser data related to postal code polygons.","container-title":"ISPRS International Journal of Geo-Information","DOI":"10.3390/ijgi10070432","ISSN":"2220-9964","issue":"7","language":"en","license":"http://creativecommons.org/licenses/by/3.0/","note":"number: 7\npublisher: Multidisciplinary Digital Publishing Institute","page":"432","source":"www.mdpi.com","title":"Geo-Spatial Analysis of Population Density and Annual Income to Identify Large-Scale Socio-Demographic Disparities","volume":"10","author":[{"family":"Moos","given":"Nicolai"},{"family":"Juergens","given":"Carsten"},{"family":"Redecker","given":"Andreas P."}],"issued":{"date-parts":[["2021",7]]}}}],"schema":"https://github.com/citation-style-language/schema/raw/master/csl-citation.json"} </w:instrText>
      </w:r>
      <w:r w:rsidR="003C3EA4">
        <w:rPr>
          <w:sz w:val="24"/>
          <w:szCs w:val="24"/>
        </w:rPr>
        <w:fldChar w:fldCharType="separate"/>
      </w:r>
      <w:r w:rsidR="003C3EA4" w:rsidRPr="003C3EA4">
        <w:rPr>
          <w:rFonts w:ascii="Calibri" w:hAnsi="Calibri" w:cs="Calibri"/>
          <w:sz w:val="24"/>
        </w:rPr>
        <w:t>(Moos et al., 2021)</w:t>
      </w:r>
      <w:r w:rsidR="003C3EA4">
        <w:rPr>
          <w:sz w:val="24"/>
          <w:szCs w:val="24"/>
        </w:rPr>
        <w:fldChar w:fldCharType="end"/>
      </w:r>
      <w:r w:rsidR="00605941">
        <w:rPr>
          <w:sz w:val="24"/>
          <w:szCs w:val="24"/>
        </w:rPr>
        <w:t>.</w:t>
      </w:r>
      <w:r w:rsidR="003C3EA4">
        <w:rPr>
          <w:sz w:val="24"/>
          <w:szCs w:val="24"/>
        </w:rPr>
        <w:t xml:space="preserve"> </w:t>
      </w:r>
      <w:r w:rsidR="00542189">
        <w:rPr>
          <w:sz w:val="24"/>
          <w:szCs w:val="24"/>
        </w:rPr>
        <w:t>The overall aim</w:t>
      </w:r>
      <w:r w:rsidR="00423F6F">
        <w:rPr>
          <w:sz w:val="24"/>
          <w:szCs w:val="24"/>
        </w:rPr>
        <w:t xml:space="preserve"> of this study was to </w:t>
      </w:r>
      <w:r w:rsidR="006678F7">
        <w:rPr>
          <w:sz w:val="24"/>
          <w:szCs w:val="24"/>
        </w:rPr>
        <w:t xml:space="preserve">gain insight into the </w:t>
      </w:r>
      <w:r w:rsidR="00085EE9">
        <w:rPr>
          <w:sz w:val="24"/>
          <w:szCs w:val="24"/>
        </w:rPr>
        <w:t>socioeconomic spatial patterns of a country</w:t>
      </w:r>
      <w:r w:rsidR="00B1490D">
        <w:rPr>
          <w:sz w:val="24"/>
          <w:szCs w:val="24"/>
        </w:rPr>
        <w:t xml:space="preserve">. </w:t>
      </w:r>
      <w:r w:rsidR="00C22D67">
        <w:rPr>
          <w:sz w:val="24"/>
          <w:szCs w:val="24"/>
        </w:rPr>
        <w:t xml:space="preserve">Another research article </w:t>
      </w:r>
      <w:r w:rsidR="00BC3BEF">
        <w:rPr>
          <w:sz w:val="24"/>
          <w:szCs w:val="24"/>
        </w:rPr>
        <w:t>looks at how geography and economic development are directly related to each other.</w:t>
      </w:r>
      <w:r w:rsidR="00922778">
        <w:rPr>
          <w:sz w:val="24"/>
          <w:szCs w:val="24"/>
        </w:rPr>
        <w:t xml:space="preserve"> </w:t>
      </w:r>
      <w:r w:rsidR="001E365C">
        <w:rPr>
          <w:sz w:val="24"/>
          <w:szCs w:val="24"/>
        </w:rPr>
        <w:t>In th</w:t>
      </w:r>
      <w:r w:rsidR="00A865EC">
        <w:rPr>
          <w:sz w:val="24"/>
          <w:szCs w:val="24"/>
        </w:rPr>
        <w:t xml:space="preserve">is, the authors </w:t>
      </w:r>
      <w:r w:rsidR="00A865EC">
        <w:rPr>
          <w:rFonts w:cstheme="minorHAnsi"/>
          <w:sz w:val="24"/>
          <w:szCs w:val="24"/>
        </w:rPr>
        <w:t>a</w:t>
      </w:r>
      <w:r w:rsidR="00BF5089" w:rsidRPr="00BF5089">
        <w:rPr>
          <w:rFonts w:cstheme="minorHAnsi"/>
          <w:sz w:val="24"/>
          <w:szCs w:val="24"/>
        </w:rPr>
        <w:t>ssess</w:t>
      </w:r>
      <w:r w:rsidR="00A865EC">
        <w:rPr>
          <w:rFonts w:cstheme="minorHAnsi"/>
          <w:sz w:val="24"/>
          <w:szCs w:val="24"/>
        </w:rPr>
        <w:t xml:space="preserve"> the</w:t>
      </w:r>
      <w:r w:rsidR="00BF5089" w:rsidRPr="00BF5089">
        <w:rPr>
          <w:rFonts w:cstheme="minorHAnsi"/>
          <w:sz w:val="24"/>
          <w:szCs w:val="24"/>
        </w:rPr>
        <w:t xml:space="preserve"> relationship between geographic regions and their economic growth</w:t>
      </w:r>
      <w:r w:rsidR="00E42A52">
        <w:rPr>
          <w:rFonts w:cstheme="minorHAnsi"/>
          <w:sz w:val="24"/>
          <w:szCs w:val="24"/>
        </w:rPr>
        <w:t xml:space="preserve"> and </w:t>
      </w:r>
      <w:r w:rsidR="00BF5089" w:rsidRPr="00BF5089">
        <w:rPr>
          <w:rFonts w:cstheme="minorHAnsi"/>
          <w:sz w:val="24"/>
          <w:szCs w:val="24"/>
        </w:rPr>
        <w:t>population density</w:t>
      </w:r>
      <w:r w:rsidR="00E42A52">
        <w:rPr>
          <w:rFonts w:cstheme="minorHAnsi"/>
          <w:sz w:val="24"/>
          <w:szCs w:val="24"/>
        </w:rPr>
        <w:t xml:space="preserve">. </w:t>
      </w:r>
      <w:r w:rsidR="0061440C">
        <w:rPr>
          <w:rFonts w:cstheme="minorHAnsi"/>
          <w:sz w:val="24"/>
          <w:szCs w:val="24"/>
        </w:rPr>
        <w:t xml:space="preserve">One of the main conclusions is that </w:t>
      </w:r>
      <w:r w:rsidR="00CA424D">
        <w:rPr>
          <w:rFonts w:cstheme="minorHAnsi"/>
          <w:sz w:val="24"/>
          <w:szCs w:val="24"/>
        </w:rPr>
        <w:t xml:space="preserve">geographic regions that aren’t promoting </w:t>
      </w:r>
      <w:r w:rsidR="00A75C89">
        <w:rPr>
          <w:rFonts w:cstheme="minorHAnsi"/>
          <w:sz w:val="24"/>
          <w:szCs w:val="24"/>
        </w:rPr>
        <w:t>economic growth have “high population densities” and “are experiencing rapid increases in population”</w:t>
      </w:r>
      <w:r w:rsidR="008D0945">
        <w:rPr>
          <w:rFonts w:cstheme="minorHAnsi"/>
          <w:sz w:val="24"/>
          <w:szCs w:val="24"/>
        </w:rPr>
        <w:t xml:space="preserve"> meaning disadvantaged regions are falling behind </w:t>
      </w:r>
      <w:r w:rsidR="008D0945">
        <w:rPr>
          <w:rFonts w:cstheme="minorHAnsi"/>
          <w:sz w:val="24"/>
          <w:szCs w:val="24"/>
        </w:rPr>
        <w:fldChar w:fldCharType="begin"/>
      </w:r>
      <w:r w:rsidR="008D0945">
        <w:rPr>
          <w:rFonts w:cstheme="minorHAnsi"/>
          <w:sz w:val="24"/>
          <w:szCs w:val="24"/>
        </w:rPr>
        <w:instrText xml:space="preserve"> ADDIN ZOTERO_ITEM CSL_CITATION {"citationID":"joPT1WvT","properties":{"formattedCitation":"(Gallup et al., 1999)","plainCitation":"(Gallup et al., 1999)","noteIndex":0},"citationItems":[{"id":14,"uris":["http://zotero.org/users/local/zYlQB4ED/items/2APGFM3J"],"itemData":{"id":14,"type":"article-journal","abstract":"Location and climate have large effects on income levels and income growth through their effects on transport costs, disease burdens, and agricultural productivity, among other channels. Geography also seems to affect economic policy choices. Many geographic regions that have not been conducive to modern economic growth have high population densities and are experiencing rapid increases in population. At particular disadvantage are regions located far from coasts and ocean-navigable rivers, for which the transport costs of international trade are high, and tropical regions, which bear a heavy burden of disease. Moreover, a large portion of population growth over the next thirty years is expected to occur in these geographically disadvantaged regions.","container-title":"International Regional Science Review","DOI":"10.1177/016001799761012334","ISSN":"0160-0176","issue":"2","language":"en","note":"publisher: SAGE Publications Inc","page":"179-232","source":"SAGE Journals","title":"Geography and Economic Development","volume":"22","author":[{"family":"Gallup","given":"John Luke"},{"family":"Sachs","given":"Jeffrey D."},{"family":"Mellinger","given":"Andrew D."}],"issued":{"date-parts":[["1999",8,1]]}}}],"schema":"https://github.com/citation-style-language/schema/raw/master/csl-citation.json"} </w:instrText>
      </w:r>
      <w:r w:rsidR="008D0945">
        <w:rPr>
          <w:rFonts w:cstheme="minorHAnsi"/>
          <w:sz w:val="24"/>
          <w:szCs w:val="24"/>
        </w:rPr>
        <w:fldChar w:fldCharType="separate"/>
      </w:r>
      <w:r w:rsidR="008D0945" w:rsidRPr="008D0945">
        <w:rPr>
          <w:rFonts w:ascii="Calibri" w:hAnsi="Calibri" w:cs="Calibri"/>
          <w:sz w:val="24"/>
        </w:rPr>
        <w:t>(Gallup et al., 1999)</w:t>
      </w:r>
      <w:r w:rsidR="008D0945">
        <w:rPr>
          <w:rFonts w:cstheme="minorHAnsi"/>
          <w:sz w:val="24"/>
          <w:szCs w:val="24"/>
        </w:rPr>
        <w:fldChar w:fldCharType="end"/>
      </w:r>
      <w:r w:rsidR="0004471C">
        <w:rPr>
          <w:rFonts w:cstheme="minorHAnsi"/>
          <w:sz w:val="24"/>
          <w:szCs w:val="24"/>
        </w:rPr>
        <w:t xml:space="preserve">. </w:t>
      </w:r>
      <w:r w:rsidR="000D2C8E">
        <w:rPr>
          <w:sz w:val="24"/>
          <w:szCs w:val="24"/>
        </w:rPr>
        <w:t xml:space="preserve">The next article, from a </w:t>
      </w:r>
      <w:r w:rsidR="00BF52AF">
        <w:rPr>
          <w:sz w:val="24"/>
          <w:szCs w:val="24"/>
        </w:rPr>
        <w:t xml:space="preserve">scholarly journal, </w:t>
      </w:r>
      <w:r w:rsidR="00BF52AF">
        <w:rPr>
          <w:rFonts w:cstheme="minorHAnsi"/>
          <w:sz w:val="24"/>
          <w:szCs w:val="24"/>
        </w:rPr>
        <w:t>l</w:t>
      </w:r>
      <w:r w:rsidR="00BF5089" w:rsidRPr="00BF5089">
        <w:rPr>
          <w:rFonts w:cstheme="minorHAnsi"/>
          <w:sz w:val="24"/>
          <w:szCs w:val="24"/>
        </w:rPr>
        <w:t>ooks at low- and middle-income countries (LMICs) and if the rural populations’ socioeconomic status varies on regional level</w:t>
      </w:r>
      <w:r w:rsidR="00BF52AF">
        <w:rPr>
          <w:rFonts w:cstheme="minorHAnsi"/>
          <w:sz w:val="24"/>
          <w:szCs w:val="24"/>
        </w:rPr>
        <w:t xml:space="preserve">. </w:t>
      </w:r>
      <w:r w:rsidR="00184ED9">
        <w:rPr>
          <w:rFonts w:cstheme="minorHAnsi"/>
          <w:sz w:val="24"/>
          <w:szCs w:val="24"/>
        </w:rPr>
        <w:t>It concludes</w:t>
      </w:r>
      <w:r w:rsidR="00336C88">
        <w:rPr>
          <w:rFonts w:cstheme="minorHAnsi"/>
          <w:sz w:val="24"/>
          <w:szCs w:val="24"/>
        </w:rPr>
        <w:t xml:space="preserve"> with evidence </w:t>
      </w:r>
      <w:r w:rsidR="0060741B">
        <w:rPr>
          <w:rFonts w:cstheme="minorHAnsi"/>
          <w:sz w:val="24"/>
          <w:szCs w:val="24"/>
        </w:rPr>
        <w:t xml:space="preserve">showing that the socioeconomic status of rural populations </w:t>
      </w:r>
      <w:r w:rsidR="0095701E">
        <w:rPr>
          <w:rFonts w:cstheme="minorHAnsi"/>
          <w:sz w:val="24"/>
          <w:szCs w:val="24"/>
        </w:rPr>
        <w:t>in LMICs</w:t>
      </w:r>
      <w:r w:rsidR="00652E89">
        <w:rPr>
          <w:rFonts w:cstheme="minorHAnsi"/>
          <w:sz w:val="24"/>
          <w:szCs w:val="24"/>
        </w:rPr>
        <w:t xml:space="preserve">, in Asia specifically, </w:t>
      </w:r>
      <w:r w:rsidR="00912D07">
        <w:rPr>
          <w:rFonts w:cstheme="minorHAnsi"/>
          <w:sz w:val="24"/>
          <w:szCs w:val="24"/>
        </w:rPr>
        <w:t xml:space="preserve">and </w:t>
      </w:r>
      <w:r w:rsidR="007A41FA">
        <w:rPr>
          <w:rFonts w:cstheme="minorHAnsi"/>
          <w:sz w:val="24"/>
          <w:szCs w:val="24"/>
        </w:rPr>
        <w:t xml:space="preserve">its association with hypertension does in fact vary with geographical region </w:t>
      </w:r>
      <w:r w:rsidR="007A41FA">
        <w:rPr>
          <w:rFonts w:cstheme="minorHAnsi"/>
          <w:sz w:val="24"/>
          <w:szCs w:val="24"/>
        </w:rPr>
        <w:fldChar w:fldCharType="begin"/>
      </w:r>
      <w:r w:rsidR="007A41FA">
        <w:rPr>
          <w:rFonts w:cstheme="minorHAnsi"/>
          <w:sz w:val="24"/>
          <w:szCs w:val="24"/>
        </w:rPr>
        <w:instrText xml:space="preserve"> ADDIN ZOTERO_ITEM CSL_CITATION {"citationID":"lKT4iSSR","properties":{"formattedCitation":"(Busingye et al., 2014)","plainCitation":"(Busingye et al., 2014)","noteIndex":0},"citationItems":[{"id":5,"uris":["http://zotero.org/users/local/zYlQB4ED/items/9EUYSB8K"],"itemData":{"id":5,"type":"article-journal","abstract":"Background: Of the 1 billion people with hypertension globally, two-thirds reside in low- and middle-income countries (LMICs). The risk of hypertension in LMICs is thought to be positively associated with socioeconomic status (SES). However, recent studies have provided data inconsistent with this concept. Thus, we assessed the association between SES and hypertension in rural populations of LMICs. Further, we explored whether this association differs according to geographical region.Methods: Through a search of databases we identified population-based studies that presented risk estimates for the association between SES, or any of its proxies, and hypertension. Meta-analyses were conducted using a random effects model.Results: Overall, no association was detected between educational status and hypertension, whereas a positive association was observed with income. Interestingly, educational status was inversely associated with hypertension in East Asia {effect size [ES] 0.82 [95% confidence interval (CI) 0.78, 0.87]} but positively associated in South Asia [ES 1.28 (95% CI 1.14, 1.43)]. Higher income, household assets or social class were positively associated with hypertension in South Asia whereas no association was detected in East Asia and Africa. Compared with other occupations, farmers or manual labourers were associated with a lower risk for hypertension. Further, in regions such as Latin America, few studies were identified that fulfilled our inclusion criteria.Conclusions: We provide evidence that the association between hypertension and SES in rural populations of LMICs in Asia varies according to geographical region. This has important implications for targeting intervention strategies aimed at high-risk populations in different geographical regions.","container-title":"International Journal of Epidemiology","DOI":"10.1093/ije/dyu112","ISSN":"0300-5771","issue":"5","journalAbbreviation":"International Journal of Epidemiology","page":"1563-1577","source":"Silverchair","title":"Do the socioeconomic and hypertension gradients in rural populations of low- and middle-income countries differ by geographical region? A systematic review and meta-analysis","title-short":"Do the socioeconomic and hypertension gradients in rural populations of low- and middle-income countries differ by geographical region?","volume":"43","author":[{"family":"Busingye","given":"Doreen"},{"family":"Arabshahi","given":"Simin"},{"family":"Subasinghe","given":"Asvini K"},{"family":"Evans","given":"Roger G"},{"family":"Riddell","given":"Michaela A"},{"family":"Thrift","given":"Amanda G"}],"issued":{"date-parts":[["2014",10,1]]}}}],"schema":"https://github.com/citation-style-language/schema/raw/master/csl-citation.json"} </w:instrText>
      </w:r>
      <w:r w:rsidR="007A41FA">
        <w:rPr>
          <w:rFonts w:cstheme="minorHAnsi"/>
          <w:sz w:val="24"/>
          <w:szCs w:val="24"/>
        </w:rPr>
        <w:fldChar w:fldCharType="separate"/>
      </w:r>
      <w:r w:rsidR="007A41FA" w:rsidRPr="007A41FA">
        <w:rPr>
          <w:rFonts w:ascii="Calibri" w:hAnsi="Calibri" w:cs="Calibri"/>
          <w:sz w:val="24"/>
        </w:rPr>
        <w:t>(Busingye et al., 2014)</w:t>
      </w:r>
      <w:r w:rsidR="007A41FA">
        <w:rPr>
          <w:rFonts w:cstheme="minorHAnsi"/>
          <w:sz w:val="24"/>
          <w:szCs w:val="24"/>
        </w:rPr>
        <w:fldChar w:fldCharType="end"/>
      </w:r>
      <w:r w:rsidR="00421FC1">
        <w:rPr>
          <w:rFonts w:cstheme="minorHAnsi"/>
          <w:sz w:val="24"/>
          <w:szCs w:val="24"/>
        </w:rPr>
        <w:t xml:space="preserve">. </w:t>
      </w:r>
      <w:r w:rsidR="00E3695D">
        <w:rPr>
          <w:rFonts w:cstheme="minorHAnsi"/>
          <w:sz w:val="24"/>
          <w:szCs w:val="24"/>
        </w:rPr>
        <w:t xml:space="preserve">A more recent study </w:t>
      </w:r>
      <w:r w:rsidR="00BB40A3">
        <w:rPr>
          <w:rFonts w:cstheme="minorHAnsi"/>
          <w:sz w:val="24"/>
          <w:szCs w:val="24"/>
        </w:rPr>
        <w:t xml:space="preserve">that also investigates low- and middle-income countries, </w:t>
      </w:r>
      <w:r w:rsidR="00860754">
        <w:rPr>
          <w:rFonts w:cstheme="minorHAnsi"/>
          <w:sz w:val="24"/>
          <w:szCs w:val="24"/>
        </w:rPr>
        <w:t xml:space="preserve">examines </w:t>
      </w:r>
      <w:r w:rsidR="00674D40">
        <w:rPr>
          <w:rFonts w:cstheme="minorHAnsi"/>
          <w:sz w:val="24"/>
          <w:szCs w:val="24"/>
        </w:rPr>
        <w:t xml:space="preserve">the driving factors behind where people distribute themselves </w:t>
      </w:r>
      <w:r w:rsidR="00D74BB9">
        <w:rPr>
          <w:rFonts w:cstheme="minorHAnsi"/>
          <w:sz w:val="24"/>
          <w:szCs w:val="24"/>
        </w:rPr>
        <w:t xml:space="preserve">in these countries and why. </w:t>
      </w:r>
      <w:r w:rsidR="00F67F6E">
        <w:rPr>
          <w:rFonts w:cstheme="minorHAnsi"/>
          <w:sz w:val="24"/>
          <w:szCs w:val="24"/>
        </w:rPr>
        <w:t xml:space="preserve">The authors look at 32 </w:t>
      </w:r>
      <w:r w:rsidR="00325441">
        <w:rPr>
          <w:rFonts w:cstheme="minorHAnsi"/>
          <w:sz w:val="24"/>
          <w:szCs w:val="24"/>
        </w:rPr>
        <w:t xml:space="preserve">countries across four continents and </w:t>
      </w:r>
      <w:r w:rsidR="005857D9">
        <w:rPr>
          <w:rFonts w:cstheme="minorHAnsi"/>
          <w:sz w:val="24"/>
          <w:szCs w:val="24"/>
        </w:rPr>
        <w:t>find that population densities vary by region</w:t>
      </w:r>
      <w:r w:rsidR="00E53A8F">
        <w:rPr>
          <w:rFonts w:cstheme="minorHAnsi"/>
          <w:sz w:val="24"/>
          <w:szCs w:val="24"/>
        </w:rPr>
        <w:t xml:space="preserve"> based on geography </w:t>
      </w:r>
      <w:r w:rsidR="00E53A8F">
        <w:rPr>
          <w:rFonts w:cstheme="minorHAnsi"/>
          <w:sz w:val="24"/>
          <w:szCs w:val="24"/>
        </w:rPr>
        <w:fldChar w:fldCharType="begin"/>
      </w:r>
      <w:r w:rsidR="00E53A8F">
        <w:rPr>
          <w:rFonts w:cstheme="minorHAnsi"/>
          <w:sz w:val="24"/>
          <w:szCs w:val="24"/>
        </w:rPr>
        <w:instrText xml:space="preserve"> ADDIN ZOTERO_ITEM CSL_CITATION {"citationID":"Rro9UP0t","properties":{"formattedCitation":"(Nieves et al., 2017)","plainCitation":"(Nieves et al., 2017)","noteIndex":0},"citationItems":[{"id":28,"uris":["http://zotero.org/users/local/zYlQB4ED/items/DD3B6MPI"],"itemData":{"id":28,"type":"article-journal","abstract":"Geographical factors have influenced the distributions and densities of global human population distributions for centuries. Climatic regimes have made some regions more habitable than others, harsh topography has discouraged human settlement, and transport links have encouraged population growth. A better understanding of these types of relationships enables both improved mapping of population distributions today and modelling of future scenarios. However, few comprehensive studies of the relationships between population spatial distributions and the range of drivers and correlates that exist have been undertaken at all, much less at high spatial resolutions, and particularly across the low- and middle-income countries. Here, we quantify the relative importance of multiple types of drivers and covariates in explaining observed population densities across 32 low- and middle-income countries over four continents using machine-learning approaches. We find that, while relationships between population densities and geographical factors show some variation between regions, they are generally remarkably consistent, pointing to universal drivers of human population distribution. Here, we find that a set of geographical features relating to the built environment, ecology and topography consistently explain the majority of variability in population distributions at fine spatial scales across the low- and middle-income regions of the world.","container-title":"Journal of The Royal Society Interface","DOI":"10.1098/rsif.2017.0401","issue":"137","note":"publisher: Royal Society","page":"20170401","source":"royalsocietypublishing.org (Atypon)","title":"Examining the correlates and drivers of human population distributions across low- and middle-income countries","volume":"14","author":[{"family":"Nieves","given":"Jeremiah J."},{"family":"Stevens","given":"Forrest R."},{"family":"Gaughan","given":"Andrea E."},{"family":"Linard","given":"Catherine"},{"family":"Sorichetta","given":"Alessandro"},{"family":"Hornby","given":"Graeme"},{"family":"Patel","given":"Nirav N."},{"family":"Tatem","given":"Andrew J."}],"issued":{"date-parts":[["2017",12,13]]}}}],"schema":"https://github.com/citation-style-language/schema/raw/master/csl-citation.json"} </w:instrText>
      </w:r>
      <w:r w:rsidR="00E53A8F">
        <w:rPr>
          <w:rFonts w:cstheme="minorHAnsi"/>
          <w:sz w:val="24"/>
          <w:szCs w:val="24"/>
        </w:rPr>
        <w:fldChar w:fldCharType="separate"/>
      </w:r>
      <w:r w:rsidR="00E53A8F" w:rsidRPr="00E53A8F">
        <w:rPr>
          <w:rFonts w:ascii="Calibri" w:hAnsi="Calibri" w:cs="Calibri"/>
          <w:sz w:val="24"/>
        </w:rPr>
        <w:t>(Nieves et al., 2017)</w:t>
      </w:r>
      <w:r w:rsidR="00E53A8F">
        <w:rPr>
          <w:rFonts w:cstheme="minorHAnsi"/>
          <w:sz w:val="24"/>
          <w:szCs w:val="24"/>
        </w:rPr>
        <w:fldChar w:fldCharType="end"/>
      </w:r>
      <w:r w:rsidR="00E53A8F">
        <w:rPr>
          <w:rFonts w:cstheme="minorHAnsi"/>
          <w:sz w:val="24"/>
          <w:szCs w:val="24"/>
        </w:rPr>
        <w:t xml:space="preserve">. </w:t>
      </w:r>
      <w:r w:rsidR="0065652A">
        <w:rPr>
          <w:sz w:val="24"/>
          <w:szCs w:val="24"/>
        </w:rPr>
        <w:t xml:space="preserve">Another </w:t>
      </w:r>
      <w:r w:rsidR="003670F0">
        <w:rPr>
          <w:sz w:val="24"/>
          <w:szCs w:val="24"/>
        </w:rPr>
        <w:t>article</w:t>
      </w:r>
      <w:r w:rsidR="0065652A">
        <w:rPr>
          <w:sz w:val="24"/>
          <w:szCs w:val="24"/>
        </w:rPr>
        <w:t xml:space="preserve"> </w:t>
      </w:r>
      <w:r w:rsidR="00377681">
        <w:rPr>
          <w:sz w:val="24"/>
          <w:szCs w:val="24"/>
        </w:rPr>
        <w:t xml:space="preserve">gives a history lesson by explaining how </w:t>
      </w:r>
      <w:r w:rsidR="00377681">
        <w:rPr>
          <w:rFonts w:cstheme="minorHAnsi"/>
          <w:sz w:val="24"/>
          <w:szCs w:val="24"/>
        </w:rPr>
        <w:t>c</w:t>
      </w:r>
      <w:r w:rsidR="00BF5089" w:rsidRPr="00BF5089">
        <w:rPr>
          <w:rFonts w:cstheme="minorHAnsi"/>
          <w:sz w:val="24"/>
          <w:szCs w:val="24"/>
        </w:rPr>
        <w:t>ountries</w:t>
      </w:r>
      <w:r w:rsidR="00377681">
        <w:rPr>
          <w:rFonts w:cstheme="minorHAnsi"/>
          <w:sz w:val="24"/>
          <w:szCs w:val="24"/>
        </w:rPr>
        <w:t xml:space="preserve"> that were</w:t>
      </w:r>
      <w:r w:rsidR="00BF5089" w:rsidRPr="00BF5089">
        <w:rPr>
          <w:rFonts w:cstheme="minorHAnsi"/>
          <w:sz w:val="24"/>
          <w:szCs w:val="24"/>
        </w:rPr>
        <w:t xml:space="preserve"> colonized in the past are now poor</w:t>
      </w:r>
      <w:r w:rsidR="003670F0">
        <w:rPr>
          <w:rFonts w:cstheme="minorHAnsi"/>
          <w:sz w:val="24"/>
          <w:szCs w:val="24"/>
        </w:rPr>
        <w:t>. Th</w:t>
      </w:r>
      <w:r w:rsidR="00F548BF">
        <w:rPr>
          <w:rFonts w:cstheme="minorHAnsi"/>
          <w:sz w:val="24"/>
          <w:szCs w:val="24"/>
        </w:rPr>
        <w:t xml:space="preserve">e authors explain how, as opposed to geographic factors being the cause of this reversal, it was actually due to </w:t>
      </w:r>
      <w:r w:rsidR="001D3C1E">
        <w:rPr>
          <w:rFonts w:cstheme="minorHAnsi"/>
          <w:sz w:val="24"/>
          <w:szCs w:val="24"/>
        </w:rPr>
        <w:t>the</w:t>
      </w:r>
      <w:r w:rsidR="00D8228A">
        <w:rPr>
          <w:rFonts w:cstheme="minorHAnsi"/>
          <w:sz w:val="24"/>
          <w:szCs w:val="24"/>
        </w:rPr>
        <w:t xml:space="preserve"> reversal of</w:t>
      </w:r>
      <w:r w:rsidR="001D3C1E">
        <w:rPr>
          <w:rFonts w:cstheme="minorHAnsi"/>
          <w:sz w:val="24"/>
          <w:szCs w:val="24"/>
        </w:rPr>
        <w:t xml:space="preserve"> </w:t>
      </w:r>
      <w:r w:rsidR="00D8228A">
        <w:rPr>
          <w:rFonts w:cstheme="minorHAnsi"/>
          <w:sz w:val="24"/>
          <w:szCs w:val="24"/>
        </w:rPr>
        <w:t>institutions</w:t>
      </w:r>
      <w:r w:rsidR="001D3C1E">
        <w:rPr>
          <w:rFonts w:cstheme="minorHAnsi"/>
          <w:sz w:val="24"/>
          <w:szCs w:val="24"/>
        </w:rPr>
        <w:t xml:space="preserve"> set up in these countries </w:t>
      </w:r>
      <w:r w:rsidR="00D8228A">
        <w:rPr>
          <w:rFonts w:cstheme="minorHAnsi"/>
          <w:sz w:val="24"/>
          <w:szCs w:val="24"/>
        </w:rPr>
        <w:t>during the 16</w:t>
      </w:r>
      <w:r w:rsidR="00D8228A" w:rsidRPr="00D8228A">
        <w:rPr>
          <w:rFonts w:cstheme="minorHAnsi"/>
          <w:sz w:val="24"/>
          <w:szCs w:val="24"/>
          <w:vertAlign w:val="superscript"/>
        </w:rPr>
        <w:t>th</w:t>
      </w:r>
      <w:r w:rsidR="00D8228A">
        <w:rPr>
          <w:rFonts w:cstheme="minorHAnsi"/>
          <w:sz w:val="24"/>
          <w:szCs w:val="24"/>
        </w:rPr>
        <w:t xml:space="preserve"> century</w:t>
      </w:r>
      <w:r w:rsidR="00CA2D1D">
        <w:rPr>
          <w:rFonts w:cstheme="minorHAnsi"/>
          <w:sz w:val="24"/>
          <w:szCs w:val="24"/>
        </w:rPr>
        <w:t xml:space="preserve"> </w:t>
      </w:r>
      <w:r w:rsidR="00CA2D1D">
        <w:rPr>
          <w:rFonts w:cstheme="minorHAnsi"/>
          <w:sz w:val="24"/>
          <w:szCs w:val="24"/>
        </w:rPr>
        <w:fldChar w:fldCharType="begin"/>
      </w:r>
      <w:r w:rsidR="00CA2D1D">
        <w:rPr>
          <w:rFonts w:cstheme="minorHAnsi"/>
          <w:sz w:val="24"/>
          <w:szCs w:val="24"/>
        </w:rPr>
        <w:instrText xml:space="preserve"> ADDIN ZOTERO_ITEM CSL_CITATION {"citationID":"yZTXc1g5","properties":{"formattedCitation":"(Acemoglu et al., 2002)","plainCitation":"(Acemoglu et al., 2002)","noteIndex":0},"citationItems":[{"id":8,"uris":["http://zotero.org/users/local/zYlQB4ED/items/F2NKEDXJ"],"itemData":{"id":8,"type":"article-journal","abstract":"Among countries colonized by European powers during the past 500 years, those that were relatively rich in 1500 are now relatively poor. We document this reversal using data on urbanization patterns and population density, which, we argue, proxy for economic prosperity. This reversal weighs against a view that links economic development to geographic factors. Instead, we argue that the reversal reflects changes in the institutions resulting from European colonialism. The European intervention appears to have created an “institutional reversal” among these societies, meaning that Europeans were more likely to introduce institutions encouraging investment in regions that were previously poor. This institutional reversal accounts for the reversal in relative incomes. We provide further support for this view by documenting that the reversal in relative incomes took place during the late eighteenth and early nineteenth centuries, and resulted from societies with good institutions taking advantage of the opportunity to industrialize.","container-title":"The Quarterly Journal of Economics","DOI":"10.1162/003355302320935025","ISSN":"0033-5533","issue":"4","journalAbbreviation":"The Quarterly Journal of Economics","page":"1231-1294","source":"Silverchair","title":"Reversal of Fortune: Geography and Institutions in the Making of the Modern World Income Distribution*","title-short":"Reversal of Fortune","volume":"117","author":[{"family":"Acemoglu","given":"Daron"},{"family":"Johnson","given":"Simon"},{"family":"Robinson","given":"James A."}],"issued":{"date-parts":[["2002",11,1]]}}}],"schema":"https://github.com/citation-style-language/schema/raw/master/csl-citation.json"} </w:instrText>
      </w:r>
      <w:r w:rsidR="00CA2D1D">
        <w:rPr>
          <w:rFonts w:cstheme="minorHAnsi"/>
          <w:sz w:val="24"/>
          <w:szCs w:val="24"/>
        </w:rPr>
        <w:fldChar w:fldCharType="separate"/>
      </w:r>
      <w:r w:rsidR="00CA2D1D" w:rsidRPr="00CA2D1D">
        <w:rPr>
          <w:rFonts w:ascii="Calibri" w:hAnsi="Calibri" w:cs="Calibri"/>
          <w:sz w:val="24"/>
        </w:rPr>
        <w:t>(Acemoglu et al., 2002)</w:t>
      </w:r>
      <w:r w:rsidR="00CA2D1D">
        <w:rPr>
          <w:rFonts w:cstheme="minorHAnsi"/>
          <w:sz w:val="24"/>
          <w:szCs w:val="24"/>
        </w:rPr>
        <w:fldChar w:fldCharType="end"/>
      </w:r>
      <w:r w:rsidR="00437CD0">
        <w:rPr>
          <w:rFonts w:cstheme="minorHAnsi"/>
          <w:sz w:val="24"/>
          <w:szCs w:val="24"/>
        </w:rPr>
        <w:t xml:space="preserve">. </w:t>
      </w:r>
      <w:r w:rsidR="004E2A6E">
        <w:rPr>
          <w:sz w:val="24"/>
          <w:szCs w:val="24"/>
        </w:rPr>
        <w:t xml:space="preserve">A </w:t>
      </w:r>
      <w:r w:rsidR="00896002">
        <w:rPr>
          <w:sz w:val="24"/>
          <w:szCs w:val="24"/>
        </w:rPr>
        <w:t xml:space="preserve">journal with a similar topic </w:t>
      </w:r>
      <w:r w:rsidR="006924E1">
        <w:rPr>
          <w:sz w:val="24"/>
          <w:szCs w:val="24"/>
        </w:rPr>
        <w:t xml:space="preserve">investigates the </w:t>
      </w:r>
      <w:r w:rsidR="00806929">
        <w:rPr>
          <w:sz w:val="24"/>
          <w:szCs w:val="24"/>
        </w:rPr>
        <w:t>“association between regional population densities in 1500 AD and current income equality”</w:t>
      </w:r>
      <w:r w:rsidR="00152031">
        <w:rPr>
          <w:sz w:val="24"/>
          <w:szCs w:val="24"/>
        </w:rPr>
        <w:t xml:space="preserve">, </w:t>
      </w:r>
      <w:r w:rsidR="00EB6494">
        <w:rPr>
          <w:sz w:val="24"/>
          <w:szCs w:val="24"/>
        </w:rPr>
        <w:t xml:space="preserve">with the author </w:t>
      </w:r>
      <w:r w:rsidR="00152031">
        <w:rPr>
          <w:sz w:val="24"/>
          <w:szCs w:val="24"/>
        </w:rPr>
        <w:t xml:space="preserve">coming to the </w:t>
      </w:r>
      <w:r w:rsidR="00EB6494">
        <w:rPr>
          <w:sz w:val="24"/>
          <w:szCs w:val="24"/>
        </w:rPr>
        <w:t xml:space="preserve">conclusion that the population densities of the past aren’t associated with </w:t>
      </w:r>
      <w:r w:rsidR="005A542F">
        <w:rPr>
          <w:sz w:val="24"/>
          <w:szCs w:val="24"/>
        </w:rPr>
        <w:t xml:space="preserve">income inequality, and that high </w:t>
      </w:r>
      <w:r w:rsidR="00EC406D">
        <w:rPr>
          <w:sz w:val="24"/>
          <w:szCs w:val="24"/>
        </w:rPr>
        <w:t xml:space="preserve">population density is actually good for the economy of a region </w:t>
      </w:r>
      <w:r w:rsidR="00EC406D">
        <w:rPr>
          <w:sz w:val="24"/>
          <w:szCs w:val="24"/>
        </w:rPr>
        <w:fldChar w:fldCharType="begin"/>
      </w:r>
      <w:r w:rsidR="00EC406D">
        <w:rPr>
          <w:sz w:val="24"/>
          <w:szCs w:val="24"/>
        </w:rPr>
        <w:instrText xml:space="preserve"> ADDIN ZOTERO_ITEM CSL_CITATION {"citationID":"UN11uEj8","properties":{"formattedCitation":"(Sylwester, n.d.)","plainCitation":"(Sylwester, n.d.)","noteIndex":0},"citationItems":[{"id":31,"uris":["http://zotero.org/users/local/zYlQB4ED/items/UNXFQ6TE"],"itemData":{"id":31,"type":"article-journal","abstract":"Using a cross section of countries, this paper examines the association between regional population densities in 1500 AD and current income inequality. After controlling for other regional and historical factors, I find that past population density is negatively associated with income inequality today. Formerly high density regions are predicted to have lower income inequality. These findings support the view that higher density areas were better able to form more diverse and mobile societies that affected the long-run distribution of income.","language":"en","source":"Zotero","title":"INCOME INEQUALITY AND POPULATION DENSITY 1500 AD: A CONNECTION","author":[{"family":"Sylwester","given":"Kevin"}]}}],"schema":"https://github.com/citation-style-language/schema/raw/master/csl-citation.json"} </w:instrText>
      </w:r>
      <w:r w:rsidR="00EC406D">
        <w:rPr>
          <w:sz w:val="24"/>
          <w:szCs w:val="24"/>
        </w:rPr>
        <w:fldChar w:fldCharType="separate"/>
      </w:r>
      <w:r w:rsidR="00EC406D" w:rsidRPr="00EC406D">
        <w:rPr>
          <w:rFonts w:ascii="Calibri" w:hAnsi="Calibri" w:cs="Calibri"/>
          <w:sz w:val="24"/>
        </w:rPr>
        <w:t>(Sylwester</w:t>
      </w:r>
      <w:r w:rsidR="008C5449">
        <w:rPr>
          <w:rFonts w:ascii="Calibri" w:hAnsi="Calibri" w:cs="Calibri"/>
          <w:sz w:val="24"/>
        </w:rPr>
        <w:t>, 2003</w:t>
      </w:r>
      <w:r w:rsidR="00EC406D" w:rsidRPr="00EC406D">
        <w:rPr>
          <w:rFonts w:ascii="Calibri" w:hAnsi="Calibri" w:cs="Calibri"/>
          <w:sz w:val="24"/>
        </w:rPr>
        <w:t>)</w:t>
      </w:r>
      <w:r w:rsidR="00EC406D">
        <w:rPr>
          <w:sz w:val="24"/>
          <w:szCs w:val="24"/>
        </w:rPr>
        <w:fldChar w:fldCharType="end"/>
      </w:r>
      <w:r w:rsidR="008C5449">
        <w:rPr>
          <w:sz w:val="24"/>
          <w:szCs w:val="24"/>
        </w:rPr>
        <w:t xml:space="preserve">. </w:t>
      </w:r>
      <w:r w:rsidR="008B1423">
        <w:rPr>
          <w:sz w:val="24"/>
          <w:szCs w:val="24"/>
        </w:rPr>
        <w:t>The “Socio-economic influences of population density</w:t>
      </w:r>
      <w:r w:rsidR="002B1166">
        <w:rPr>
          <w:sz w:val="24"/>
          <w:szCs w:val="24"/>
        </w:rPr>
        <w:t xml:space="preserve">” is the title of the next paper and discusses how </w:t>
      </w:r>
      <w:r w:rsidR="00C8325E">
        <w:rPr>
          <w:sz w:val="24"/>
          <w:szCs w:val="24"/>
        </w:rPr>
        <w:t xml:space="preserve">population density is important to look at </w:t>
      </w:r>
      <w:r w:rsidR="0058273B">
        <w:rPr>
          <w:sz w:val="24"/>
          <w:szCs w:val="24"/>
        </w:rPr>
        <w:t xml:space="preserve">socially and economically, </w:t>
      </w:r>
      <w:r w:rsidR="00DA093C">
        <w:rPr>
          <w:sz w:val="24"/>
          <w:szCs w:val="24"/>
        </w:rPr>
        <w:t xml:space="preserve">with “individualistic behavior” positively correlated with it </w:t>
      </w:r>
      <w:r w:rsidR="00DA093C">
        <w:rPr>
          <w:sz w:val="24"/>
          <w:szCs w:val="24"/>
        </w:rPr>
        <w:fldChar w:fldCharType="begin"/>
      </w:r>
      <w:r w:rsidR="00DA093C">
        <w:rPr>
          <w:sz w:val="24"/>
          <w:szCs w:val="24"/>
        </w:rPr>
        <w:instrText xml:space="preserve"> ADDIN ZOTERO_ITEM CSL_CITATION {"citationID":"xe3lXb1o","properties":{"formattedCitation":"(Yegorov, 2009)","plainCitation":"(Yegorov, 2009)","noteIndex":0},"citationItems":[{"id":25,"uris":["http://zotero.org/users/local/zYlQB4ED/items/34DXBT5Y"],"itemData":{"id":25,"type":"article-journal","abstract":"While population density represents an important socio-economic parameter, its role is rarely\nstudied in the economic literature (contrary to natural sciences). Population density plays an important role in\nharvesting societies, i.e. those that depend on agriculture and natural resources. With the development of industry\nand services and emergence of urban areas, population density becomes less economically important unless we\nconsider aspects related to pollution. There exists a phase transition between rural and urban area which makes\npopulation density less important in urban area contrary to rural. However, the economic influence of population\ndensity in harvesting societies is also not straight forward. Too high population density decreases the natural\nendowment per capita, but eases the development of infrastructure, leading to existence of an optimal population\ndensity for economic growth. It also influences the demand for a monopolistic product, where too little density\ncan lead to non-survival of a monopoly. Emergence of ethnic communities is based on more cooperative behavior\nin the case of low cultural and physical distances. At the same time, higher probability of large projects (like\ninfrastructure) leads to development of cooperative behavior in the society. Elaboration along these lines leads to\nthe conclusion that population density positively correlates with individualistic (non-cooperative, non-altruistic)\nbehavior, through less time spent in cooperative infrastructure projects and higher frequency of meetings between\nindividuals that with some probability lead to non-cooperative games.","container-title":"Chinese Business Review","journalAbbreviation":"Chinese Business Review","page":"1-12","source":"ResearchGate","title":"Socio-economic influences of population density","volume":"8","author":[{"family":"Yegorov","given":"Yuri"}],"issued":{"date-parts":[["2009",7,1]]}}}],"schema":"https://github.com/citation-style-language/schema/raw/master/csl-citation.json"} </w:instrText>
      </w:r>
      <w:r w:rsidR="00DA093C">
        <w:rPr>
          <w:sz w:val="24"/>
          <w:szCs w:val="24"/>
        </w:rPr>
        <w:fldChar w:fldCharType="separate"/>
      </w:r>
      <w:r w:rsidR="00DA093C" w:rsidRPr="00DA093C">
        <w:rPr>
          <w:rFonts w:ascii="Calibri" w:hAnsi="Calibri" w:cs="Calibri"/>
          <w:sz w:val="24"/>
        </w:rPr>
        <w:t>(Yegorov, 2009)</w:t>
      </w:r>
      <w:r w:rsidR="00DA093C">
        <w:rPr>
          <w:sz w:val="24"/>
          <w:szCs w:val="24"/>
        </w:rPr>
        <w:fldChar w:fldCharType="end"/>
      </w:r>
      <w:r w:rsidR="008160E4">
        <w:rPr>
          <w:sz w:val="24"/>
          <w:szCs w:val="24"/>
        </w:rPr>
        <w:t xml:space="preserve">. </w:t>
      </w:r>
      <w:r w:rsidR="00AC11AD">
        <w:rPr>
          <w:sz w:val="24"/>
          <w:szCs w:val="24"/>
        </w:rPr>
        <w:t xml:space="preserve">Instead of population distribution, the </w:t>
      </w:r>
      <w:r w:rsidR="00FE1A97">
        <w:rPr>
          <w:sz w:val="24"/>
          <w:szCs w:val="24"/>
        </w:rPr>
        <w:t xml:space="preserve">next article talks about the distribution of income in populations at a national level, </w:t>
      </w:r>
      <w:r w:rsidR="004F0F41">
        <w:rPr>
          <w:sz w:val="24"/>
          <w:szCs w:val="24"/>
        </w:rPr>
        <w:t xml:space="preserve">evaluating </w:t>
      </w:r>
      <w:r w:rsidR="003149D1">
        <w:rPr>
          <w:sz w:val="24"/>
          <w:szCs w:val="24"/>
        </w:rPr>
        <w:t xml:space="preserve">multiple </w:t>
      </w:r>
      <w:r w:rsidR="004F0F41">
        <w:rPr>
          <w:sz w:val="24"/>
          <w:szCs w:val="24"/>
        </w:rPr>
        <w:t xml:space="preserve">theories </w:t>
      </w:r>
      <w:r w:rsidR="00304472">
        <w:rPr>
          <w:sz w:val="24"/>
          <w:szCs w:val="24"/>
        </w:rPr>
        <w:t>looking at social and political systems</w:t>
      </w:r>
      <w:r w:rsidR="003A4548">
        <w:rPr>
          <w:sz w:val="24"/>
          <w:szCs w:val="24"/>
        </w:rPr>
        <w:t xml:space="preserve"> </w:t>
      </w:r>
      <w:r w:rsidR="003A4548">
        <w:rPr>
          <w:sz w:val="24"/>
          <w:szCs w:val="24"/>
        </w:rPr>
        <w:fldChar w:fldCharType="begin"/>
      </w:r>
      <w:r w:rsidR="003A4548">
        <w:rPr>
          <w:sz w:val="24"/>
          <w:szCs w:val="24"/>
        </w:rPr>
        <w:instrText xml:space="preserve"> ADDIN ZOTERO_ITEM CSL_CITATION {"citationID":"rBCdJca7","properties":{"formattedCitation":"(Crenshaw &amp; Ameen, 1994)","plainCitation":"(Crenshaw &amp; Ameen, 1994)","noteIndex":0},"citationItems":[{"id":11,"uris":["http://zotero.org/users/local/zYlQB4ED/items/XQMDIMYB"],"itemData":{"id":11,"type":"article-journal","abstract":"In response to recent challenges to modernization theory, this research models variables suggested by three major theories that provide explanations of income distribution across nations: Modernization theory, dependency/world-systems theory, and ecological-evolutionary theory. A base modernization model containing energy consumption per capita, adult literacy, and secondary school enrollment ratios (all circa 1965/1970) is tested against alternative specifications that include the social organization of rural areas, political democracy, export dependency, land inequality, and foreign capital penetration. Strongest support is found for modernization and ecological-evolutionary theories, while the patterns of support for political redistribution and dependency/world-systems theory are more mixed. We conclude that singular claims of theoretical dominance are unwarranted and should be replaced by emphasis on how theories provide complimentary explanations.","container-title":"Social Science Research","DOI":"10.1006/ssre.1994.1001","ISSN":"0049-089X","issue":"1","journalAbbreviation":"Social Science Research","language":"en","page":"1-22","source":"ScienceDirect","title":"The Distribution of Income Across National-Populations: Testing Multiple Paradigms","title-short":"The Distribution of Income Across National-Populations","volume":"23","author":[{"family":"Crenshaw","given":"E."},{"family":"Ameen","given":"A."}],"issued":{"date-parts":[["1994",3,1]]}}}],"schema":"https://github.com/citation-style-language/schema/raw/master/csl-citation.json"} </w:instrText>
      </w:r>
      <w:r w:rsidR="003A4548">
        <w:rPr>
          <w:sz w:val="24"/>
          <w:szCs w:val="24"/>
        </w:rPr>
        <w:fldChar w:fldCharType="separate"/>
      </w:r>
      <w:r w:rsidR="003A4548" w:rsidRPr="003A4548">
        <w:rPr>
          <w:rFonts w:ascii="Calibri" w:hAnsi="Calibri" w:cs="Calibri"/>
          <w:sz w:val="24"/>
        </w:rPr>
        <w:t>(Crenshaw &amp; Ameen, 1994)</w:t>
      </w:r>
      <w:r w:rsidR="003A4548">
        <w:rPr>
          <w:sz w:val="24"/>
          <w:szCs w:val="24"/>
        </w:rPr>
        <w:fldChar w:fldCharType="end"/>
      </w:r>
      <w:r w:rsidR="003A4548">
        <w:rPr>
          <w:sz w:val="24"/>
          <w:szCs w:val="24"/>
        </w:rPr>
        <w:t xml:space="preserve">. </w:t>
      </w:r>
      <w:r w:rsidR="00336FDA">
        <w:rPr>
          <w:sz w:val="24"/>
          <w:szCs w:val="24"/>
        </w:rPr>
        <w:t>A</w:t>
      </w:r>
      <w:r w:rsidR="00983581">
        <w:rPr>
          <w:sz w:val="24"/>
          <w:szCs w:val="24"/>
        </w:rPr>
        <w:t xml:space="preserve"> journal </w:t>
      </w:r>
      <w:r w:rsidR="00514AE4">
        <w:rPr>
          <w:sz w:val="24"/>
          <w:szCs w:val="24"/>
        </w:rPr>
        <w:t xml:space="preserve">on urban economics </w:t>
      </w:r>
      <w:r w:rsidR="00C6478F">
        <w:rPr>
          <w:sz w:val="24"/>
          <w:szCs w:val="24"/>
        </w:rPr>
        <w:t>includes a section</w:t>
      </w:r>
      <w:r w:rsidR="00433614">
        <w:rPr>
          <w:sz w:val="24"/>
          <w:szCs w:val="24"/>
        </w:rPr>
        <w:t xml:space="preserve"> by an author</w:t>
      </w:r>
      <w:r w:rsidR="00C6478F">
        <w:rPr>
          <w:sz w:val="24"/>
          <w:szCs w:val="24"/>
        </w:rPr>
        <w:t xml:space="preserve"> analyzing the relationship between economic geography, fertility, and migration</w:t>
      </w:r>
      <w:r w:rsidR="007D7A28">
        <w:rPr>
          <w:sz w:val="24"/>
          <w:szCs w:val="24"/>
        </w:rPr>
        <w:t xml:space="preserve">. </w:t>
      </w:r>
      <w:r w:rsidR="001855C0">
        <w:rPr>
          <w:sz w:val="24"/>
          <w:szCs w:val="24"/>
        </w:rPr>
        <w:t>It is found that fertility rates aren’t tied to regional population density</w:t>
      </w:r>
      <w:r w:rsidR="008E7BBA">
        <w:rPr>
          <w:sz w:val="24"/>
          <w:szCs w:val="24"/>
        </w:rPr>
        <w:t xml:space="preserve"> and migration from low to high population densities</w:t>
      </w:r>
      <w:r w:rsidR="00743B8C">
        <w:rPr>
          <w:sz w:val="24"/>
          <w:szCs w:val="24"/>
        </w:rPr>
        <w:t xml:space="preserve"> “occurs in an equilibrium” </w:t>
      </w:r>
      <w:r w:rsidR="00743B8C">
        <w:rPr>
          <w:sz w:val="24"/>
          <w:szCs w:val="24"/>
        </w:rPr>
        <w:fldChar w:fldCharType="begin"/>
      </w:r>
      <w:r w:rsidR="00743B8C">
        <w:rPr>
          <w:sz w:val="24"/>
          <w:szCs w:val="24"/>
        </w:rPr>
        <w:instrText xml:space="preserve"> ADDIN ZOTERO_ITEM CSL_CITATION {"citationID":"ADXzJBhV","properties":{"formattedCitation":"(Sato, 2007)","plainCitation":"(Sato, 2007)","noteIndex":0},"citationItems":[{"id":32,"uris":["http://zotero.org/users/local/zYlQB4ED/items/TBNTJ52I"],"itemData":{"id":32,"type":"article-journal","abstract":"This paper analyzes the relationship among economic geography, fertility and migration. The empirical evidence presented reveals that persistent regional variations in fertility exist within a country and that regional total fertility rates are negatively related to regional population density. A two-period overlapping generations model of endogenous fertility, incorporating n-regions, agglomeration economies, and congestion diseconomies is constructed to explain this negative relationship. While agglomeration economies have both positive income and negative substitution effects on fertility, congestion diseconomies have a negative income effect on it. Combined with the mobility of people, interaction among these effects generates the negative relationship as a steady-state equilibrium outcome. It is also shown that net migration from regions with lower population density to regions with higher population density occurs in an equilibrium, which, in turn, maintains the regional variations in fertility.","container-title":"Journal of Urban Economics","DOI":"10.1016/j.jue.2006.08.002","ISSN":"0094-1190","issue":"2","journalAbbreviation":"Journal of Urban Economics","language":"en","page":"372-387","source":"ScienceDirect","title":"Economic geography, fertility and migration","volume":"61","author":[{"family":"Sato","given":"Yasuhiro"}],"issued":{"date-parts":[["2007",3,1]]}}}],"schema":"https://github.com/citation-style-language/schema/raw/master/csl-citation.json"} </w:instrText>
      </w:r>
      <w:r w:rsidR="00743B8C">
        <w:rPr>
          <w:sz w:val="24"/>
          <w:szCs w:val="24"/>
        </w:rPr>
        <w:fldChar w:fldCharType="separate"/>
      </w:r>
      <w:r w:rsidR="00743B8C" w:rsidRPr="00743B8C">
        <w:rPr>
          <w:rFonts w:ascii="Calibri" w:hAnsi="Calibri" w:cs="Calibri"/>
          <w:sz w:val="24"/>
        </w:rPr>
        <w:t>(Sato, 2007)</w:t>
      </w:r>
      <w:r w:rsidR="00743B8C">
        <w:rPr>
          <w:sz w:val="24"/>
          <w:szCs w:val="24"/>
        </w:rPr>
        <w:fldChar w:fldCharType="end"/>
      </w:r>
      <w:r w:rsidR="00743B8C">
        <w:rPr>
          <w:sz w:val="24"/>
          <w:szCs w:val="24"/>
        </w:rPr>
        <w:t xml:space="preserve">. The final </w:t>
      </w:r>
      <w:r w:rsidR="006F5D15">
        <w:rPr>
          <w:sz w:val="24"/>
          <w:szCs w:val="24"/>
        </w:rPr>
        <w:t xml:space="preserve">article </w:t>
      </w:r>
      <w:r w:rsidR="001B7814">
        <w:rPr>
          <w:sz w:val="24"/>
          <w:szCs w:val="24"/>
        </w:rPr>
        <w:t>shows</w:t>
      </w:r>
      <w:r w:rsidR="006F5D15">
        <w:rPr>
          <w:sz w:val="24"/>
          <w:szCs w:val="24"/>
        </w:rPr>
        <w:t xml:space="preserve"> the authors talking about </w:t>
      </w:r>
      <w:r w:rsidR="00C87D82">
        <w:rPr>
          <w:sz w:val="24"/>
          <w:szCs w:val="24"/>
        </w:rPr>
        <w:t>the relation between urban forest cover (in Chicago specifically</w:t>
      </w:r>
      <w:r w:rsidR="006D342D">
        <w:rPr>
          <w:sz w:val="24"/>
          <w:szCs w:val="24"/>
        </w:rPr>
        <w:t xml:space="preserve">) and household density and income. </w:t>
      </w:r>
      <w:r w:rsidR="00E547D9">
        <w:rPr>
          <w:sz w:val="24"/>
          <w:szCs w:val="24"/>
        </w:rPr>
        <w:t xml:space="preserve">Ten land-cover classes were found </w:t>
      </w:r>
      <w:r w:rsidR="00CA5E0D">
        <w:rPr>
          <w:sz w:val="24"/>
          <w:szCs w:val="24"/>
        </w:rPr>
        <w:t xml:space="preserve">for Chicago and based on the data gathered, the </w:t>
      </w:r>
      <w:r w:rsidR="00420BD3">
        <w:rPr>
          <w:sz w:val="24"/>
          <w:szCs w:val="24"/>
        </w:rPr>
        <w:t xml:space="preserve">analysis concluded with household income and density being “strongly related to land covers in the region” </w:t>
      </w:r>
      <w:r w:rsidR="00420BD3">
        <w:rPr>
          <w:sz w:val="24"/>
          <w:szCs w:val="24"/>
        </w:rPr>
        <w:fldChar w:fldCharType="begin"/>
      </w:r>
      <w:r w:rsidR="00420BD3">
        <w:rPr>
          <w:sz w:val="24"/>
          <w:szCs w:val="24"/>
        </w:rPr>
        <w:instrText xml:space="preserve"> ADDIN ZOTERO_ITEM CSL_CITATION {"citationID":"BzBDUX9u","properties":{"formattedCitation":"(Iverson &amp; Cook, 2000)","plainCitation":"(Iverson &amp; Cook, 2000)","noteIndex":0},"citationItems":[{"id":16,"uris":["http://zotero.org/users/local/zYlQB4ED/items/3C2YPN8Z"],"itemData":{"id":16,"type":"article-journal","abstract":"Urban forests and herbaceous open space play a vital role in the environmental and aesthetic “health” of cities, yet they are rarely identified in land-use inventories of urban areas. To provide information on urban forests and other vegetative land cover in Illinois cities, Landsat Thematic Mapper (TM) data from June 27, 1988, were classified for the Chicago metropolitan region (9,717 km2). Ten land-cover classes were identified, including two types of forestland (occupying 5.8% of the total area), residential land with trees (14.6%) or without trees (7.8%), cropland (37.5%), two types of grassland (7.7%), urban with impervious surfaces (23.1%), water (1.6%), and miscellaneous vegetation (2.1%). Correlation analyses indicated that household income and household density are strongly related to land covers in the region, particularly those with tree cover and urbanized land. Population changes for 1980–1985 and 1985–2010 (projected) show a pattern of increasing density in the urbanized zone concurrent with continued urban sprawl, primarily into current cropland.","container-title":"Urban Ecosystems","DOI":"10.1023/A:1011307327314","ISSN":"1573-1642","issue":"2","journalAbbreviation":"Urban Ecosystems","language":"en","page":"105-124","source":"Springer Link","title":"Urban forest cover of the Chicago region and its relation to household density and income","volume":"4","author":[{"family":"Iverson","given":"Louis R."},{"family":"Cook","given":"Elizabeth A."}],"issued":{"date-parts":[["2000",4,1]]}}}],"schema":"https://github.com/citation-style-language/schema/raw/master/csl-citation.json"} </w:instrText>
      </w:r>
      <w:r w:rsidR="00420BD3">
        <w:rPr>
          <w:sz w:val="24"/>
          <w:szCs w:val="24"/>
        </w:rPr>
        <w:fldChar w:fldCharType="separate"/>
      </w:r>
      <w:r w:rsidR="00420BD3" w:rsidRPr="00420BD3">
        <w:rPr>
          <w:rFonts w:ascii="Calibri" w:hAnsi="Calibri" w:cs="Calibri"/>
          <w:sz w:val="24"/>
        </w:rPr>
        <w:t>(Iverson &amp; Cook, 2000)</w:t>
      </w:r>
      <w:r w:rsidR="00420BD3">
        <w:rPr>
          <w:sz w:val="24"/>
          <w:szCs w:val="24"/>
        </w:rPr>
        <w:fldChar w:fldCharType="end"/>
      </w:r>
      <w:r w:rsidR="006437AD">
        <w:rPr>
          <w:sz w:val="24"/>
          <w:szCs w:val="24"/>
        </w:rPr>
        <w:t xml:space="preserve">. </w:t>
      </w:r>
    </w:p>
    <w:p w14:paraId="5122057C" w14:textId="77777777" w:rsidR="00E45B82" w:rsidRPr="00F610D4" w:rsidRDefault="00E45B82" w:rsidP="0006116B">
      <w:pPr>
        <w:rPr>
          <w:sz w:val="24"/>
          <w:szCs w:val="24"/>
        </w:rPr>
      </w:pPr>
    </w:p>
    <w:p w14:paraId="32B98790" w14:textId="181D60F9" w:rsidR="0006116B" w:rsidRPr="0006116B" w:rsidRDefault="0006116B" w:rsidP="00095320">
      <w:pPr>
        <w:jc w:val="center"/>
        <w:rPr>
          <w:sz w:val="24"/>
          <w:szCs w:val="24"/>
          <w:u w:val="single"/>
        </w:rPr>
      </w:pPr>
      <w:r w:rsidRPr="0006116B">
        <w:rPr>
          <w:sz w:val="24"/>
          <w:szCs w:val="24"/>
          <w:u w:val="single"/>
        </w:rPr>
        <w:lastRenderedPageBreak/>
        <w:t>Method</w:t>
      </w:r>
      <w:r w:rsidR="00E45B82">
        <w:rPr>
          <w:sz w:val="24"/>
          <w:szCs w:val="24"/>
          <w:u w:val="single"/>
        </w:rPr>
        <w:t>ology</w:t>
      </w:r>
    </w:p>
    <w:p w14:paraId="0524A4A7" w14:textId="64A39235" w:rsidR="009F196D" w:rsidRDefault="009F196D" w:rsidP="0006116B">
      <w:pPr>
        <w:rPr>
          <w:sz w:val="24"/>
          <w:szCs w:val="24"/>
        </w:rPr>
      </w:pPr>
      <w:r>
        <w:rPr>
          <w:noProof/>
        </w:rPr>
        <w:drawing>
          <wp:inline distT="0" distB="0" distL="0" distR="0" wp14:anchorId="7E7090BA" wp14:editId="5C4949F4">
            <wp:extent cx="6410325" cy="3743325"/>
            <wp:effectExtent l="0" t="0" r="9525" b="9525"/>
            <wp:docPr id="690321642"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21642" name="Picture 1" descr="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8349" cy="3753850"/>
                    </a:xfrm>
                    <a:prstGeom prst="rect">
                      <a:avLst/>
                    </a:prstGeom>
                    <a:noFill/>
                    <a:ln>
                      <a:noFill/>
                    </a:ln>
                  </pic:spPr>
                </pic:pic>
              </a:graphicData>
            </a:graphic>
          </wp:inline>
        </w:drawing>
      </w:r>
    </w:p>
    <w:p w14:paraId="06ED9414" w14:textId="6C6669A3" w:rsidR="009F196D" w:rsidRPr="0036359B" w:rsidRDefault="002F2CB3" w:rsidP="0006116B">
      <w:pPr>
        <w:rPr>
          <w:sz w:val="20"/>
          <w:szCs w:val="20"/>
        </w:rPr>
      </w:pPr>
      <w:r w:rsidRPr="0036359B">
        <w:rPr>
          <w:sz w:val="20"/>
          <w:szCs w:val="20"/>
        </w:rPr>
        <w:t>Diagram</w:t>
      </w:r>
      <w:r w:rsidR="00C10115" w:rsidRPr="0036359B">
        <w:rPr>
          <w:sz w:val="20"/>
          <w:szCs w:val="20"/>
        </w:rPr>
        <w:t xml:space="preserve"> </w:t>
      </w:r>
      <w:r w:rsidR="0049704E" w:rsidRPr="0036359B">
        <w:rPr>
          <w:sz w:val="20"/>
          <w:szCs w:val="20"/>
        </w:rPr>
        <w:t>1</w:t>
      </w:r>
      <w:r w:rsidR="00351454" w:rsidRPr="0036359B">
        <w:rPr>
          <w:sz w:val="20"/>
          <w:szCs w:val="20"/>
        </w:rPr>
        <w:t>.</w:t>
      </w:r>
      <w:r w:rsidR="00776374" w:rsidRPr="0036359B">
        <w:rPr>
          <w:sz w:val="20"/>
          <w:szCs w:val="20"/>
        </w:rPr>
        <w:t xml:space="preserve"> </w:t>
      </w:r>
      <w:r w:rsidR="00C10115" w:rsidRPr="0036359B">
        <w:rPr>
          <w:sz w:val="20"/>
          <w:szCs w:val="20"/>
        </w:rPr>
        <w:t xml:space="preserve">Box diagram illustrating the sequencing </w:t>
      </w:r>
      <w:r w:rsidR="00A27612" w:rsidRPr="0036359B">
        <w:rPr>
          <w:sz w:val="20"/>
          <w:szCs w:val="20"/>
        </w:rPr>
        <w:t xml:space="preserve">of processing steps in creating results. </w:t>
      </w:r>
    </w:p>
    <w:p w14:paraId="13AB8168" w14:textId="25F29E9D" w:rsidR="00A27612" w:rsidRDefault="00A27612" w:rsidP="0006116B">
      <w:pPr>
        <w:rPr>
          <w:sz w:val="24"/>
          <w:szCs w:val="24"/>
        </w:rPr>
      </w:pPr>
      <w:r>
        <w:rPr>
          <w:sz w:val="24"/>
          <w:szCs w:val="24"/>
        </w:rPr>
        <w:tab/>
      </w:r>
      <w:r w:rsidR="00E44914">
        <w:rPr>
          <w:sz w:val="24"/>
          <w:szCs w:val="24"/>
        </w:rPr>
        <w:t xml:space="preserve">The method of </w:t>
      </w:r>
      <w:r w:rsidR="00977115">
        <w:rPr>
          <w:sz w:val="24"/>
          <w:szCs w:val="24"/>
        </w:rPr>
        <w:t xml:space="preserve">acquiring results for the research question involved the use of python </w:t>
      </w:r>
      <w:r w:rsidR="00CB76A6">
        <w:rPr>
          <w:sz w:val="24"/>
          <w:szCs w:val="24"/>
        </w:rPr>
        <w:t xml:space="preserve">code in </w:t>
      </w:r>
      <w:proofErr w:type="spellStart"/>
      <w:r w:rsidR="00CB76A6">
        <w:rPr>
          <w:sz w:val="24"/>
          <w:szCs w:val="24"/>
        </w:rPr>
        <w:t>jupyter</w:t>
      </w:r>
      <w:proofErr w:type="spellEnd"/>
      <w:r w:rsidR="00CB76A6">
        <w:rPr>
          <w:sz w:val="24"/>
          <w:szCs w:val="24"/>
        </w:rPr>
        <w:t xml:space="preserve"> notebook, where all the data was collected and </w:t>
      </w:r>
      <w:r w:rsidR="006F33AA">
        <w:rPr>
          <w:sz w:val="24"/>
          <w:szCs w:val="24"/>
        </w:rPr>
        <w:t xml:space="preserve">processed. </w:t>
      </w:r>
      <w:r w:rsidR="005448D6">
        <w:rPr>
          <w:sz w:val="24"/>
          <w:szCs w:val="24"/>
        </w:rPr>
        <w:t xml:space="preserve">As seen in </w:t>
      </w:r>
      <w:r w:rsidR="00037117">
        <w:rPr>
          <w:sz w:val="24"/>
          <w:szCs w:val="24"/>
        </w:rPr>
        <w:t>D</w:t>
      </w:r>
      <w:r w:rsidR="005448D6">
        <w:rPr>
          <w:sz w:val="24"/>
          <w:szCs w:val="24"/>
        </w:rPr>
        <w:t xml:space="preserve">iagram 1 above, the preprocessing step </w:t>
      </w:r>
      <w:r w:rsidR="008F27AA">
        <w:rPr>
          <w:sz w:val="24"/>
          <w:szCs w:val="24"/>
        </w:rPr>
        <w:t xml:space="preserve">involved </w:t>
      </w:r>
      <w:r w:rsidR="00E04044">
        <w:rPr>
          <w:sz w:val="24"/>
          <w:szCs w:val="24"/>
        </w:rPr>
        <w:t xml:space="preserve">a lot of preparation of the data that was to be worked on. </w:t>
      </w:r>
      <w:r w:rsidR="00A23176">
        <w:rPr>
          <w:sz w:val="24"/>
          <w:szCs w:val="24"/>
        </w:rPr>
        <w:t xml:space="preserve">The national boundaries of </w:t>
      </w:r>
      <w:r w:rsidR="000014D8">
        <w:rPr>
          <w:sz w:val="24"/>
          <w:szCs w:val="24"/>
        </w:rPr>
        <w:t>each country in the world</w:t>
      </w:r>
      <w:r w:rsidR="00BC18BA">
        <w:rPr>
          <w:sz w:val="24"/>
          <w:szCs w:val="24"/>
        </w:rPr>
        <w:t xml:space="preserve"> with a population above 1 million</w:t>
      </w:r>
      <w:r w:rsidR="000014D8">
        <w:rPr>
          <w:sz w:val="24"/>
          <w:szCs w:val="24"/>
        </w:rPr>
        <w:t xml:space="preserve"> were created </w:t>
      </w:r>
      <w:r w:rsidR="00396CB9">
        <w:rPr>
          <w:sz w:val="24"/>
          <w:szCs w:val="24"/>
        </w:rPr>
        <w:t xml:space="preserve">using </w:t>
      </w:r>
      <w:r w:rsidR="008F5F3B">
        <w:rPr>
          <w:sz w:val="24"/>
          <w:szCs w:val="24"/>
        </w:rPr>
        <w:t xml:space="preserve">raw </w:t>
      </w:r>
      <w:r w:rsidR="00396CB9">
        <w:rPr>
          <w:sz w:val="24"/>
          <w:szCs w:val="24"/>
        </w:rPr>
        <w:t>data acquired from</w:t>
      </w:r>
      <w:r w:rsidR="008F5F3B">
        <w:rPr>
          <w:sz w:val="24"/>
          <w:szCs w:val="24"/>
        </w:rPr>
        <w:t xml:space="preserve"> GADM</w:t>
      </w:r>
      <w:r w:rsidR="005547AA">
        <w:rPr>
          <w:sz w:val="24"/>
          <w:szCs w:val="24"/>
        </w:rPr>
        <w:t xml:space="preserve"> and a </w:t>
      </w:r>
      <w:r w:rsidR="009E4751">
        <w:rPr>
          <w:sz w:val="24"/>
          <w:szCs w:val="24"/>
        </w:rPr>
        <w:t>CSV</w:t>
      </w:r>
      <w:r w:rsidR="00394F7E">
        <w:rPr>
          <w:sz w:val="24"/>
          <w:szCs w:val="24"/>
        </w:rPr>
        <w:t xml:space="preserve"> file with country data</w:t>
      </w:r>
      <w:r w:rsidR="007E0E58">
        <w:rPr>
          <w:sz w:val="24"/>
          <w:szCs w:val="24"/>
        </w:rPr>
        <w:t xml:space="preserve"> (</w:t>
      </w:r>
      <w:r w:rsidR="00B804A6">
        <w:rPr>
          <w:sz w:val="24"/>
          <w:szCs w:val="24"/>
        </w:rPr>
        <w:t>population counts, GID regions, income groups, etc.</w:t>
      </w:r>
      <w:r w:rsidR="007E0E58">
        <w:rPr>
          <w:sz w:val="24"/>
          <w:szCs w:val="24"/>
        </w:rPr>
        <w:t>)</w:t>
      </w:r>
      <w:r w:rsidR="00394F7E">
        <w:rPr>
          <w:sz w:val="24"/>
          <w:szCs w:val="24"/>
        </w:rPr>
        <w:t xml:space="preserve"> premade for this analysis</w:t>
      </w:r>
      <w:r w:rsidR="00817787">
        <w:rPr>
          <w:sz w:val="24"/>
          <w:szCs w:val="24"/>
        </w:rPr>
        <w:t xml:space="preserve">. </w:t>
      </w:r>
      <w:r w:rsidR="00114C86">
        <w:rPr>
          <w:sz w:val="24"/>
          <w:szCs w:val="24"/>
        </w:rPr>
        <w:t>These boundaries were also refined</w:t>
      </w:r>
      <w:r w:rsidR="0075616E">
        <w:rPr>
          <w:sz w:val="24"/>
          <w:szCs w:val="24"/>
        </w:rPr>
        <w:t xml:space="preserve"> and simplified</w:t>
      </w:r>
      <w:r w:rsidR="00114C86">
        <w:rPr>
          <w:sz w:val="24"/>
          <w:szCs w:val="24"/>
        </w:rPr>
        <w:t xml:space="preserve"> using premade code that removed any unnecessary </w:t>
      </w:r>
      <w:r w:rsidR="0075616E">
        <w:rPr>
          <w:sz w:val="24"/>
          <w:szCs w:val="24"/>
        </w:rPr>
        <w:t xml:space="preserve">small shapes </w:t>
      </w:r>
      <w:r w:rsidR="000F33B6">
        <w:rPr>
          <w:sz w:val="24"/>
          <w:szCs w:val="24"/>
        </w:rPr>
        <w:t xml:space="preserve">that may have been part of a country’s border from visualization at the end. </w:t>
      </w:r>
      <w:r w:rsidR="009C4A36">
        <w:rPr>
          <w:sz w:val="24"/>
          <w:szCs w:val="24"/>
        </w:rPr>
        <w:t xml:space="preserve">For instance, </w:t>
      </w:r>
      <w:r w:rsidR="009120A7">
        <w:rPr>
          <w:sz w:val="24"/>
          <w:szCs w:val="24"/>
        </w:rPr>
        <w:t xml:space="preserve">countries with small islands that don’t have a significant population or population at all </w:t>
      </w:r>
      <w:r w:rsidR="00DF3966">
        <w:rPr>
          <w:sz w:val="24"/>
          <w:szCs w:val="24"/>
        </w:rPr>
        <w:t xml:space="preserve">are removed from the end result, as there is no need for them to be displayed. </w:t>
      </w:r>
      <w:r w:rsidR="00A55ED0">
        <w:rPr>
          <w:sz w:val="24"/>
          <w:szCs w:val="24"/>
        </w:rPr>
        <w:t xml:space="preserve">The regional boundaries </w:t>
      </w:r>
      <w:r w:rsidR="00570051">
        <w:rPr>
          <w:sz w:val="24"/>
          <w:szCs w:val="24"/>
        </w:rPr>
        <w:t xml:space="preserve">for each country were </w:t>
      </w:r>
      <w:r w:rsidR="000535CE">
        <w:rPr>
          <w:sz w:val="24"/>
          <w:szCs w:val="24"/>
        </w:rPr>
        <w:t>processed after the national ones</w:t>
      </w:r>
      <w:r w:rsidR="0019788E">
        <w:rPr>
          <w:sz w:val="24"/>
          <w:szCs w:val="24"/>
        </w:rPr>
        <w:t xml:space="preserve">, and the shapes of the borders were simplified and made to look better </w:t>
      </w:r>
      <w:r w:rsidR="00576DBA">
        <w:rPr>
          <w:sz w:val="24"/>
          <w:szCs w:val="24"/>
        </w:rPr>
        <w:t xml:space="preserve">when the data </w:t>
      </w:r>
      <w:r w:rsidR="00952633">
        <w:rPr>
          <w:sz w:val="24"/>
          <w:szCs w:val="24"/>
        </w:rPr>
        <w:t>is</w:t>
      </w:r>
      <w:r w:rsidR="00576DBA">
        <w:rPr>
          <w:sz w:val="24"/>
          <w:szCs w:val="24"/>
        </w:rPr>
        <w:t xml:space="preserve"> eventually visualized. </w:t>
      </w:r>
      <w:r w:rsidR="007A4C35">
        <w:rPr>
          <w:sz w:val="24"/>
          <w:szCs w:val="24"/>
        </w:rPr>
        <w:t xml:space="preserve">In the country </w:t>
      </w:r>
      <w:r w:rsidR="009E4751">
        <w:rPr>
          <w:sz w:val="24"/>
          <w:szCs w:val="24"/>
        </w:rPr>
        <w:t>CSV</w:t>
      </w:r>
      <w:r w:rsidR="007A4C35">
        <w:rPr>
          <w:sz w:val="24"/>
          <w:szCs w:val="24"/>
        </w:rPr>
        <w:t xml:space="preserve"> file </w:t>
      </w:r>
      <w:r w:rsidR="00042CA6">
        <w:rPr>
          <w:sz w:val="24"/>
          <w:szCs w:val="24"/>
        </w:rPr>
        <w:t xml:space="preserve">that is used during this process, each country </w:t>
      </w:r>
      <w:r w:rsidR="006E755F">
        <w:rPr>
          <w:sz w:val="24"/>
          <w:szCs w:val="24"/>
        </w:rPr>
        <w:t xml:space="preserve">has a GID level </w:t>
      </w:r>
      <w:r w:rsidR="00301978">
        <w:rPr>
          <w:sz w:val="24"/>
          <w:szCs w:val="24"/>
        </w:rPr>
        <w:t xml:space="preserve">associated with it that determines how complex the regions </w:t>
      </w:r>
      <w:r w:rsidR="005B29AD">
        <w:rPr>
          <w:sz w:val="24"/>
          <w:szCs w:val="24"/>
        </w:rPr>
        <w:t>that exist there are.</w:t>
      </w:r>
      <w:r w:rsidR="008471A1">
        <w:rPr>
          <w:sz w:val="24"/>
          <w:szCs w:val="24"/>
        </w:rPr>
        <w:t xml:space="preserve"> The</w:t>
      </w:r>
      <w:r w:rsidR="00232CA2">
        <w:rPr>
          <w:sz w:val="24"/>
          <w:szCs w:val="24"/>
        </w:rPr>
        <w:t>se levels can range from 0, 1, or 2</w:t>
      </w:r>
      <w:r w:rsidR="00436421">
        <w:rPr>
          <w:sz w:val="24"/>
          <w:szCs w:val="24"/>
        </w:rPr>
        <w:t>, with 0 being the least complex and 2 being the most</w:t>
      </w:r>
      <w:r w:rsidR="009D6235">
        <w:rPr>
          <w:sz w:val="24"/>
          <w:szCs w:val="24"/>
        </w:rPr>
        <w:t xml:space="preserve"> complex. </w:t>
      </w:r>
      <w:r w:rsidR="002F44E2">
        <w:rPr>
          <w:sz w:val="24"/>
          <w:szCs w:val="24"/>
        </w:rPr>
        <w:t xml:space="preserve">After both </w:t>
      </w:r>
      <w:r w:rsidR="009D6235">
        <w:rPr>
          <w:sz w:val="24"/>
          <w:szCs w:val="24"/>
        </w:rPr>
        <w:t xml:space="preserve">the national and regional boundaries are created, </w:t>
      </w:r>
      <w:r w:rsidR="0082194E">
        <w:rPr>
          <w:sz w:val="24"/>
          <w:szCs w:val="24"/>
        </w:rPr>
        <w:t>every region in each country included in the code</w:t>
      </w:r>
      <w:r w:rsidR="007E61D7">
        <w:rPr>
          <w:sz w:val="24"/>
          <w:szCs w:val="24"/>
        </w:rPr>
        <w:t xml:space="preserve"> </w:t>
      </w:r>
      <w:r w:rsidR="00812879">
        <w:rPr>
          <w:sz w:val="24"/>
          <w:szCs w:val="24"/>
        </w:rPr>
        <w:t>is</w:t>
      </w:r>
      <w:r w:rsidR="007E61D7">
        <w:rPr>
          <w:sz w:val="24"/>
          <w:szCs w:val="24"/>
        </w:rPr>
        <w:t xml:space="preserve"> processed and made into TIF files</w:t>
      </w:r>
      <w:r w:rsidR="00752A8E">
        <w:rPr>
          <w:sz w:val="24"/>
          <w:szCs w:val="24"/>
        </w:rPr>
        <w:t>, including population data</w:t>
      </w:r>
      <w:r w:rsidR="00B34A96">
        <w:rPr>
          <w:sz w:val="24"/>
          <w:szCs w:val="24"/>
        </w:rPr>
        <w:t xml:space="preserve"> for each region. </w:t>
      </w:r>
      <w:r w:rsidR="00AC7FDF">
        <w:rPr>
          <w:sz w:val="24"/>
          <w:szCs w:val="24"/>
        </w:rPr>
        <w:t>A global composite shapefile</w:t>
      </w:r>
      <w:r w:rsidR="00B669DB">
        <w:rPr>
          <w:sz w:val="24"/>
          <w:szCs w:val="24"/>
        </w:rPr>
        <w:t xml:space="preserve"> (used in ArcGIS </w:t>
      </w:r>
      <w:r w:rsidR="00B669DB">
        <w:rPr>
          <w:sz w:val="24"/>
          <w:szCs w:val="24"/>
        </w:rPr>
        <w:lastRenderedPageBreak/>
        <w:t>Pro and QGIS applications)</w:t>
      </w:r>
      <w:r w:rsidR="004C542D">
        <w:rPr>
          <w:sz w:val="24"/>
          <w:szCs w:val="24"/>
        </w:rPr>
        <w:t xml:space="preserve"> is also made in the code</w:t>
      </w:r>
      <w:r w:rsidR="00503D5A">
        <w:rPr>
          <w:sz w:val="24"/>
          <w:szCs w:val="24"/>
        </w:rPr>
        <w:t>, combining the boundaries of all regions, so that they can be displayed globally</w:t>
      </w:r>
      <w:r w:rsidR="00B669DB">
        <w:rPr>
          <w:sz w:val="24"/>
          <w:szCs w:val="24"/>
        </w:rPr>
        <w:t>.</w:t>
      </w:r>
    </w:p>
    <w:p w14:paraId="46176AB6" w14:textId="299EBE07" w:rsidR="008C6EF7" w:rsidRDefault="00506554" w:rsidP="0006116B">
      <w:pPr>
        <w:rPr>
          <w:sz w:val="24"/>
          <w:szCs w:val="24"/>
        </w:rPr>
      </w:pPr>
      <w:r>
        <w:rPr>
          <w:sz w:val="24"/>
          <w:szCs w:val="24"/>
        </w:rPr>
        <w:tab/>
        <w:t xml:space="preserve">The final steps </w:t>
      </w:r>
      <w:r w:rsidR="0094500B">
        <w:rPr>
          <w:sz w:val="24"/>
          <w:szCs w:val="24"/>
        </w:rPr>
        <w:t xml:space="preserve">in the methodology to produce the results include the extraction and subsequent visualization of data. </w:t>
      </w:r>
      <w:r w:rsidR="00947433">
        <w:rPr>
          <w:sz w:val="24"/>
          <w:szCs w:val="24"/>
        </w:rPr>
        <w:t xml:space="preserve">After TIF files are created for each region </w:t>
      </w:r>
      <w:r w:rsidR="009E4751">
        <w:rPr>
          <w:sz w:val="24"/>
          <w:szCs w:val="24"/>
        </w:rPr>
        <w:t xml:space="preserve">in each country in the dataset, </w:t>
      </w:r>
      <w:r w:rsidR="00296B5F">
        <w:rPr>
          <w:sz w:val="24"/>
          <w:szCs w:val="24"/>
        </w:rPr>
        <w:t xml:space="preserve">a </w:t>
      </w:r>
      <w:r w:rsidR="004F5455">
        <w:rPr>
          <w:sz w:val="24"/>
          <w:szCs w:val="24"/>
        </w:rPr>
        <w:t>data frame</w:t>
      </w:r>
      <w:r w:rsidR="00296B5F">
        <w:rPr>
          <w:sz w:val="24"/>
          <w:szCs w:val="24"/>
        </w:rPr>
        <w:t xml:space="preserve"> is created</w:t>
      </w:r>
      <w:r w:rsidR="004F5455">
        <w:rPr>
          <w:sz w:val="24"/>
          <w:szCs w:val="24"/>
        </w:rPr>
        <w:t xml:space="preserve"> for each</w:t>
      </w:r>
      <w:r w:rsidR="00296B5F">
        <w:rPr>
          <w:sz w:val="24"/>
          <w:szCs w:val="24"/>
        </w:rPr>
        <w:t xml:space="preserve"> </w:t>
      </w:r>
      <w:r w:rsidR="00465705">
        <w:rPr>
          <w:sz w:val="24"/>
          <w:szCs w:val="24"/>
        </w:rPr>
        <w:t xml:space="preserve">including the </w:t>
      </w:r>
      <w:r w:rsidR="00EF1B7D">
        <w:rPr>
          <w:sz w:val="24"/>
          <w:szCs w:val="24"/>
        </w:rPr>
        <w:t xml:space="preserve">rounded </w:t>
      </w:r>
      <w:r w:rsidR="00465705">
        <w:rPr>
          <w:sz w:val="24"/>
          <w:szCs w:val="24"/>
        </w:rPr>
        <w:t xml:space="preserve">population of each region as well as the </w:t>
      </w:r>
      <w:r w:rsidR="00253273">
        <w:rPr>
          <w:sz w:val="24"/>
          <w:szCs w:val="24"/>
        </w:rPr>
        <w:t>region</w:t>
      </w:r>
      <w:r w:rsidR="00465705">
        <w:rPr>
          <w:sz w:val="24"/>
          <w:szCs w:val="24"/>
        </w:rPr>
        <w:t xml:space="preserve"> identification number, iso3 code, </w:t>
      </w:r>
      <w:r w:rsidR="00EF1B7D">
        <w:rPr>
          <w:sz w:val="24"/>
          <w:szCs w:val="24"/>
        </w:rPr>
        <w:t xml:space="preserve">country name, and income group. This </w:t>
      </w:r>
      <w:r w:rsidR="004F5455">
        <w:rPr>
          <w:sz w:val="24"/>
          <w:szCs w:val="24"/>
        </w:rPr>
        <w:t>data frame</w:t>
      </w:r>
      <w:r w:rsidR="00EF1B7D">
        <w:rPr>
          <w:sz w:val="24"/>
          <w:szCs w:val="24"/>
        </w:rPr>
        <w:t xml:space="preserve"> is</w:t>
      </w:r>
      <w:r w:rsidR="0080297D">
        <w:rPr>
          <w:sz w:val="24"/>
          <w:szCs w:val="24"/>
        </w:rPr>
        <w:t xml:space="preserve"> then </w:t>
      </w:r>
      <w:r w:rsidR="005D6933">
        <w:rPr>
          <w:sz w:val="24"/>
          <w:szCs w:val="24"/>
        </w:rPr>
        <w:t xml:space="preserve">extracted into a CSV file. </w:t>
      </w:r>
      <w:r w:rsidR="00E765F6">
        <w:rPr>
          <w:sz w:val="24"/>
          <w:szCs w:val="24"/>
        </w:rPr>
        <w:t xml:space="preserve">The population data </w:t>
      </w:r>
      <w:r w:rsidR="00741BCB">
        <w:rPr>
          <w:sz w:val="24"/>
          <w:szCs w:val="24"/>
        </w:rPr>
        <w:t xml:space="preserve">files </w:t>
      </w:r>
      <w:r w:rsidR="00E765F6">
        <w:rPr>
          <w:sz w:val="24"/>
          <w:szCs w:val="24"/>
        </w:rPr>
        <w:t xml:space="preserve">extracted for each country </w:t>
      </w:r>
      <w:r w:rsidR="0073358E">
        <w:rPr>
          <w:sz w:val="24"/>
          <w:szCs w:val="24"/>
        </w:rPr>
        <w:t xml:space="preserve">are </w:t>
      </w:r>
      <w:r w:rsidR="00E765F6">
        <w:rPr>
          <w:sz w:val="24"/>
          <w:szCs w:val="24"/>
        </w:rPr>
        <w:t xml:space="preserve">then collected </w:t>
      </w:r>
      <w:r w:rsidR="00D3603E">
        <w:rPr>
          <w:sz w:val="24"/>
          <w:szCs w:val="24"/>
        </w:rPr>
        <w:t xml:space="preserve">into a singular CSV file </w:t>
      </w:r>
      <w:r w:rsidR="00B06AC1">
        <w:rPr>
          <w:sz w:val="24"/>
          <w:szCs w:val="24"/>
        </w:rPr>
        <w:t>to make a global population</w:t>
      </w:r>
      <w:r w:rsidR="006366EF">
        <w:rPr>
          <w:sz w:val="24"/>
          <w:szCs w:val="24"/>
        </w:rPr>
        <w:t xml:space="preserve"> dictionary. </w:t>
      </w:r>
      <w:r w:rsidR="003B36F0">
        <w:rPr>
          <w:sz w:val="24"/>
          <w:szCs w:val="24"/>
        </w:rPr>
        <w:t>Using this file</w:t>
      </w:r>
      <w:r w:rsidR="001C4142">
        <w:rPr>
          <w:sz w:val="24"/>
          <w:szCs w:val="24"/>
        </w:rPr>
        <w:t xml:space="preserve">, the income groups of each country were assessed </w:t>
      </w:r>
      <w:r w:rsidR="00C923C4">
        <w:rPr>
          <w:sz w:val="24"/>
          <w:szCs w:val="24"/>
        </w:rPr>
        <w:t xml:space="preserve">as either being </w:t>
      </w:r>
      <w:r w:rsidR="00605F13">
        <w:rPr>
          <w:sz w:val="24"/>
          <w:szCs w:val="24"/>
        </w:rPr>
        <w:t>low</w:t>
      </w:r>
      <w:r w:rsidR="00E22D21">
        <w:rPr>
          <w:sz w:val="24"/>
          <w:szCs w:val="24"/>
        </w:rPr>
        <w:t>er</w:t>
      </w:r>
      <w:r w:rsidR="00605F13">
        <w:rPr>
          <w:sz w:val="24"/>
          <w:szCs w:val="24"/>
        </w:rPr>
        <w:t>-</w:t>
      </w:r>
      <w:r w:rsidR="00F84EB5">
        <w:rPr>
          <w:sz w:val="24"/>
          <w:szCs w:val="24"/>
        </w:rPr>
        <w:t>middle</w:t>
      </w:r>
      <w:r w:rsidR="00E22D21">
        <w:rPr>
          <w:sz w:val="24"/>
          <w:szCs w:val="24"/>
        </w:rPr>
        <w:t>-</w:t>
      </w:r>
      <w:r w:rsidR="00605F13">
        <w:rPr>
          <w:sz w:val="24"/>
          <w:szCs w:val="24"/>
        </w:rPr>
        <w:t>income (LMC</w:t>
      </w:r>
      <w:r w:rsidR="00E22D21">
        <w:rPr>
          <w:sz w:val="24"/>
          <w:szCs w:val="24"/>
        </w:rPr>
        <w:t>), upper-middle-income (UM</w:t>
      </w:r>
      <w:r w:rsidR="00523BE0">
        <w:rPr>
          <w:sz w:val="24"/>
          <w:szCs w:val="24"/>
        </w:rPr>
        <w:t>C), or high-income (HIC)</w:t>
      </w:r>
      <w:r w:rsidR="00EB41A0">
        <w:rPr>
          <w:sz w:val="24"/>
          <w:szCs w:val="24"/>
        </w:rPr>
        <w:t xml:space="preserve">. </w:t>
      </w:r>
      <w:r w:rsidR="00AC6A92">
        <w:rPr>
          <w:sz w:val="24"/>
          <w:szCs w:val="24"/>
        </w:rPr>
        <w:t xml:space="preserve">The </w:t>
      </w:r>
      <w:r w:rsidR="006C4E3A">
        <w:rPr>
          <w:sz w:val="24"/>
          <w:szCs w:val="24"/>
        </w:rPr>
        <w:t xml:space="preserve">global composite shapefile and the global population CSV file created earlier are then </w:t>
      </w:r>
      <w:r w:rsidR="00C43AB1">
        <w:rPr>
          <w:sz w:val="24"/>
          <w:szCs w:val="24"/>
        </w:rPr>
        <w:t xml:space="preserve">used </w:t>
      </w:r>
      <w:r w:rsidR="008533D4">
        <w:rPr>
          <w:sz w:val="24"/>
          <w:szCs w:val="24"/>
        </w:rPr>
        <w:t xml:space="preserve">to create a global map </w:t>
      </w:r>
      <w:r w:rsidR="0009597D">
        <w:rPr>
          <w:sz w:val="24"/>
          <w:szCs w:val="24"/>
        </w:rPr>
        <w:t>of population density from each region</w:t>
      </w:r>
      <w:r w:rsidR="003F62CE">
        <w:rPr>
          <w:sz w:val="24"/>
          <w:szCs w:val="24"/>
        </w:rPr>
        <w:t xml:space="preserve"> by merging them together in the codebase. </w:t>
      </w:r>
      <w:r w:rsidR="00E7015C">
        <w:rPr>
          <w:sz w:val="24"/>
          <w:szCs w:val="24"/>
        </w:rPr>
        <w:t xml:space="preserve">To show the density of each region </w:t>
      </w:r>
      <w:r w:rsidR="00F929E0">
        <w:rPr>
          <w:sz w:val="24"/>
          <w:szCs w:val="24"/>
        </w:rPr>
        <w:t>better,</w:t>
      </w:r>
      <w:r w:rsidR="00A214A8">
        <w:rPr>
          <w:sz w:val="24"/>
          <w:szCs w:val="24"/>
        </w:rPr>
        <w:t xml:space="preserve"> the </w:t>
      </w:r>
      <w:r w:rsidR="001207BA">
        <w:rPr>
          <w:sz w:val="24"/>
          <w:szCs w:val="24"/>
        </w:rPr>
        <w:t xml:space="preserve">population of the merged file is divided by </w:t>
      </w:r>
      <w:r w:rsidR="00736F8C">
        <w:rPr>
          <w:sz w:val="24"/>
          <w:szCs w:val="24"/>
        </w:rPr>
        <w:t xml:space="preserve">the </w:t>
      </w:r>
      <w:r w:rsidR="007211EA">
        <w:rPr>
          <w:sz w:val="24"/>
          <w:szCs w:val="24"/>
        </w:rPr>
        <w:t xml:space="preserve">area of the region in square kilometers. </w:t>
      </w:r>
      <w:r w:rsidR="00C76E5D">
        <w:rPr>
          <w:sz w:val="24"/>
          <w:szCs w:val="24"/>
        </w:rPr>
        <w:t xml:space="preserve">Bins are then defined in the code </w:t>
      </w:r>
      <w:r w:rsidR="005639AE">
        <w:rPr>
          <w:sz w:val="24"/>
          <w:szCs w:val="24"/>
        </w:rPr>
        <w:t xml:space="preserve">to separate values, ranging from 10 </w:t>
      </w:r>
      <w:r w:rsidR="000174D1">
        <w:rPr>
          <w:sz w:val="24"/>
          <w:szCs w:val="24"/>
        </w:rPr>
        <w:t>kilometers squared to 50, and then increasing by 50</w:t>
      </w:r>
      <w:r w:rsidR="00B56302">
        <w:rPr>
          <w:sz w:val="24"/>
          <w:szCs w:val="24"/>
        </w:rPr>
        <w:t xml:space="preserve"> by each bin until reaching 300 kilometers squared.</w:t>
      </w:r>
      <w:r w:rsidR="00215A0E">
        <w:rPr>
          <w:sz w:val="24"/>
          <w:szCs w:val="24"/>
        </w:rPr>
        <w:t xml:space="preserve"> Using a plot command, a global map</w:t>
      </w:r>
      <w:r w:rsidR="009242F3">
        <w:rPr>
          <w:sz w:val="24"/>
          <w:szCs w:val="24"/>
        </w:rPr>
        <w:t xml:space="preserve"> is created from the data including a legend and a title</w:t>
      </w:r>
      <w:r w:rsidR="00215A0E">
        <w:rPr>
          <w:sz w:val="24"/>
          <w:szCs w:val="24"/>
        </w:rPr>
        <w:t>.</w:t>
      </w:r>
    </w:p>
    <w:p w14:paraId="1C7553FB" w14:textId="77777777" w:rsidR="00D3759B" w:rsidRDefault="00D3759B" w:rsidP="0006116B">
      <w:pPr>
        <w:rPr>
          <w:sz w:val="24"/>
          <w:szCs w:val="24"/>
        </w:rPr>
      </w:pPr>
    </w:p>
    <w:p w14:paraId="5A27E3BE" w14:textId="77777777" w:rsidR="00D3759B" w:rsidRDefault="00D3759B" w:rsidP="0006116B">
      <w:pPr>
        <w:rPr>
          <w:sz w:val="24"/>
          <w:szCs w:val="24"/>
        </w:rPr>
      </w:pPr>
    </w:p>
    <w:p w14:paraId="36EE364F" w14:textId="77777777" w:rsidR="00D3759B" w:rsidRDefault="00D3759B" w:rsidP="0006116B">
      <w:pPr>
        <w:rPr>
          <w:sz w:val="24"/>
          <w:szCs w:val="24"/>
        </w:rPr>
      </w:pPr>
    </w:p>
    <w:p w14:paraId="636B14F8" w14:textId="77777777" w:rsidR="00D3759B" w:rsidRDefault="00D3759B" w:rsidP="0006116B">
      <w:pPr>
        <w:rPr>
          <w:sz w:val="24"/>
          <w:szCs w:val="24"/>
        </w:rPr>
      </w:pPr>
    </w:p>
    <w:p w14:paraId="76B1F34C" w14:textId="77777777" w:rsidR="00D3759B" w:rsidRDefault="00D3759B" w:rsidP="0006116B">
      <w:pPr>
        <w:rPr>
          <w:sz w:val="24"/>
          <w:szCs w:val="24"/>
        </w:rPr>
      </w:pPr>
    </w:p>
    <w:p w14:paraId="6ED35696" w14:textId="77777777" w:rsidR="00D3759B" w:rsidRDefault="00D3759B" w:rsidP="0006116B">
      <w:pPr>
        <w:rPr>
          <w:sz w:val="24"/>
          <w:szCs w:val="24"/>
        </w:rPr>
      </w:pPr>
    </w:p>
    <w:p w14:paraId="6CBC1734" w14:textId="77777777" w:rsidR="00D3759B" w:rsidRDefault="00D3759B" w:rsidP="0006116B">
      <w:pPr>
        <w:rPr>
          <w:sz w:val="24"/>
          <w:szCs w:val="24"/>
        </w:rPr>
      </w:pPr>
    </w:p>
    <w:p w14:paraId="6AB477B5" w14:textId="77777777" w:rsidR="00D3759B" w:rsidRDefault="00D3759B" w:rsidP="0006116B">
      <w:pPr>
        <w:rPr>
          <w:sz w:val="24"/>
          <w:szCs w:val="24"/>
        </w:rPr>
      </w:pPr>
    </w:p>
    <w:p w14:paraId="358D0CFC" w14:textId="77777777" w:rsidR="00D3759B" w:rsidRDefault="00D3759B" w:rsidP="0006116B">
      <w:pPr>
        <w:rPr>
          <w:sz w:val="24"/>
          <w:szCs w:val="24"/>
        </w:rPr>
      </w:pPr>
    </w:p>
    <w:p w14:paraId="201C8B83" w14:textId="77777777" w:rsidR="00D3759B" w:rsidRDefault="00D3759B" w:rsidP="0006116B">
      <w:pPr>
        <w:rPr>
          <w:sz w:val="24"/>
          <w:szCs w:val="24"/>
        </w:rPr>
      </w:pPr>
    </w:p>
    <w:p w14:paraId="426E4B16" w14:textId="77777777" w:rsidR="00D3759B" w:rsidRDefault="00D3759B" w:rsidP="0006116B">
      <w:pPr>
        <w:rPr>
          <w:sz w:val="24"/>
          <w:szCs w:val="24"/>
        </w:rPr>
      </w:pPr>
    </w:p>
    <w:p w14:paraId="60F8E29F" w14:textId="77777777" w:rsidR="00D3759B" w:rsidRDefault="00D3759B" w:rsidP="0006116B">
      <w:pPr>
        <w:rPr>
          <w:sz w:val="24"/>
          <w:szCs w:val="24"/>
        </w:rPr>
      </w:pPr>
    </w:p>
    <w:p w14:paraId="6AC9C0B5" w14:textId="77777777" w:rsidR="00D3759B" w:rsidRDefault="00D3759B" w:rsidP="0006116B">
      <w:pPr>
        <w:rPr>
          <w:sz w:val="24"/>
          <w:szCs w:val="24"/>
        </w:rPr>
      </w:pPr>
    </w:p>
    <w:p w14:paraId="773BFA8C" w14:textId="77777777" w:rsidR="00D3759B" w:rsidRDefault="00D3759B" w:rsidP="0006116B">
      <w:pPr>
        <w:rPr>
          <w:sz w:val="24"/>
          <w:szCs w:val="24"/>
        </w:rPr>
      </w:pPr>
    </w:p>
    <w:p w14:paraId="6989FC37" w14:textId="77777777" w:rsidR="00D3759B" w:rsidRDefault="00D3759B" w:rsidP="0006116B">
      <w:pPr>
        <w:rPr>
          <w:sz w:val="24"/>
          <w:szCs w:val="24"/>
        </w:rPr>
      </w:pPr>
    </w:p>
    <w:p w14:paraId="7D5FAE64" w14:textId="739D1C77" w:rsidR="0006116B" w:rsidRDefault="0006116B" w:rsidP="00095320">
      <w:pPr>
        <w:jc w:val="center"/>
        <w:rPr>
          <w:sz w:val="24"/>
          <w:szCs w:val="24"/>
          <w:u w:val="single"/>
        </w:rPr>
      </w:pPr>
      <w:r w:rsidRPr="0006116B">
        <w:rPr>
          <w:sz w:val="24"/>
          <w:szCs w:val="24"/>
          <w:u w:val="single"/>
        </w:rPr>
        <w:lastRenderedPageBreak/>
        <w:t>Results</w:t>
      </w:r>
    </w:p>
    <w:p w14:paraId="19A050E2" w14:textId="0D744899" w:rsidR="00035922" w:rsidRPr="0006116B" w:rsidRDefault="00035922" w:rsidP="00095320">
      <w:pPr>
        <w:jc w:val="center"/>
        <w:rPr>
          <w:sz w:val="24"/>
          <w:szCs w:val="24"/>
          <w:u w:val="single"/>
        </w:rPr>
      </w:pPr>
      <w:r>
        <w:rPr>
          <w:noProof/>
          <w:sz w:val="24"/>
          <w:szCs w:val="24"/>
          <w:u w:val="single"/>
        </w:rPr>
        <w:drawing>
          <wp:inline distT="0" distB="0" distL="0" distR="0" wp14:anchorId="4111CC5B" wp14:editId="432CFC15">
            <wp:extent cx="6248400" cy="4476750"/>
            <wp:effectExtent l="0" t="0" r="0" b="0"/>
            <wp:docPr id="131693140" name="Picture 1" descr="Chart, map,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3140" name="Picture 1" descr="Chart, map,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48400" cy="4476750"/>
                    </a:xfrm>
                    <a:prstGeom prst="rect">
                      <a:avLst/>
                    </a:prstGeom>
                  </pic:spPr>
                </pic:pic>
              </a:graphicData>
            </a:graphic>
          </wp:inline>
        </w:drawing>
      </w:r>
    </w:p>
    <w:p w14:paraId="30B0D42D" w14:textId="62D345A5" w:rsidR="0006116B" w:rsidRPr="00035922" w:rsidRDefault="00F610D4" w:rsidP="0006116B">
      <w:pPr>
        <w:rPr>
          <w:sz w:val="20"/>
          <w:szCs w:val="20"/>
        </w:rPr>
      </w:pPr>
      <w:r w:rsidRPr="00035922">
        <w:rPr>
          <w:sz w:val="20"/>
          <w:szCs w:val="20"/>
        </w:rPr>
        <w:t xml:space="preserve">Figure </w:t>
      </w:r>
      <w:r w:rsidR="00E3414F" w:rsidRPr="00035922">
        <w:rPr>
          <w:sz w:val="20"/>
          <w:szCs w:val="20"/>
        </w:rPr>
        <w:t>1</w:t>
      </w:r>
      <w:r w:rsidRPr="00035922">
        <w:rPr>
          <w:sz w:val="20"/>
          <w:szCs w:val="20"/>
        </w:rPr>
        <w:t>:</w:t>
      </w:r>
      <w:r w:rsidR="00E3414F" w:rsidRPr="00035922">
        <w:rPr>
          <w:sz w:val="20"/>
          <w:szCs w:val="20"/>
        </w:rPr>
        <w:t xml:space="preserve"> Global population density </w:t>
      </w:r>
      <w:r w:rsidR="00200C26" w:rsidRPr="00035922">
        <w:rPr>
          <w:sz w:val="20"/>
          <w:szCs w:val="20"/>
        </w:rPr>
        <w:t>of each country with a population above 1 million</w:t>
      </w:r>
      <w:r w:rsidR="00035922" w:rsidRPr="00035922">
        <w:rPr>
          <w:sz w:val="20"/>
          <w:szCs w:val="20"/>
        </w:rPr>
        <w:t xml:space="preserve"> by region (per </w:t>
      </w:r>
      <w:proofErr w:type="spellStart"/>
      <w:r w:rsidR="00035922" w:rsidRPr="00035922">
        <w:rPr>
          <w:sz w:val="20"/>
          <w:szCs w:val="20"/>
        </w:rPr>
        <w:t>sqr</w:t>
      </w:r>
      <w:proofErr w:type="spellEnd"/>
      <w:r w:rsidR="00035922" w:rsidRPr="00035922">
        <w:rPr>
          <w:sz w:val="20"/>
          <w:szCs w:val="20"/>
        </w:rPr>
        <w:t xml:space="preserve"> km)</w:t>
      </w:r>
    </w:p>
    <w:p w14:paraId="4BACBFAA" w14:textId="40B8B268" w:rsidR="0006116B" w:rsidRDefault="00035922" w:rsidP="0006116B">
      <w:pPr>
        <w:rPr>
          <w:sz w:val="24"/>
          <w:szCs w:val="24"/>
        </w:rPr>
      </w:pPr>
      <w:r>
        <w:rPr>
          <w:sz w:val="24"/>
          <w:szCs w:val="24"/>
        </w:rPr>
        <w:tab/>
      </w:r>
      <w:r w:rsidR="00117A70">
        <w:rPr>
          <w:sz w:val="24"/>
          <w:szCs w:val="24"/>
        </w:rPr>
        <w:t>The result produced from the extracted data in the code</w:t>
      </w:r>
      <w:r w:rsidR="00D5334C">
        <w:rPr>
          <w:sz w:val="24"/>
          <w:szCs w:val="24"/>
        </w:rPr>
        <w:t xml:space="preserve">, as seen above in Figure 1, </w:t>
      </w:r>
      <w:r w:rsidR="00E55ADB">
        <w:rPr>
          <w:sz w:val="24"/>
          <w:szCs w:val="24"/>
        </w:rPr>
        <w:t>shows how populated some countries are compared to others</w:t>
      </w:r>
      <w:r w:rsidR="00740EAB">
        <w:rPr>
          <w:sz w:val="24"/>
          <w:szCs w:val="24"/>
        </w:rPr>
        <w:t xml:space="preserve">. </w:t>
      </w:r>
      <w:r w:rsidR="005D5D65">
        <w:rPr>
          <w:sz w:val="24"/>
          <w:szCs w:val="24"/>
        </w:rPr>
        <w:t xml:space="preserve">The legend of the map shows </w:t>
      </w:r>
      <w:r w:rsidR="00947079">
        <w:rPr>
          <w:sz w:val="24"/>
          <w:szCs w:val="24"/>
        </w:rPr>
        <w:t>the density of a region in a country by square kilometer</w:t>
      </w:r>
      <w:r w:rsidR="00CC12ED">
        <w:rPr>
          <w:sz w:val="24"/>
          <w:szCs w:val="24"/>
        </w:rPr>
        <w:t>, meaning that 10 km</w:t>
      </w:r>
      <w:r w:rsidR="00606BFB">
        <w:rPr>
          <w:sz w:val="24"/>
          <w:szCs w:val="24"/>
          <w:vertAlign w:val="superscript"/>
        </w:rPr>
        <w:t>2</w:t>
      </w:r>
      <w:r w:rsidR="00CC12ED">
        <w:rPr>
          <w:sz w:val="24"/>
          <w:szCs w:val="24"/>
        </w:rPr>
        <w:t xml:space="preserve"> is the lowest and over 300 km</w:t>
      </w:r>
      <w:r w:rsidR="00606BFB">
        <w:rPr>
          <w:sz w:val="24"/>
          <w:szCs w:val="24"/>
          <w:vertAlign w:val="superscript"/>
        </w:rPr>
        <w:t>2</w:t>
      </w:r>
      <w:r w:rsidR="00CC12ED">
        <w:rPr>
          <w:sz w:val="24"/>
          <w:szCs w:val="24"/>
        </w:rPr>
        <w:t xml:space="preserve"> is the highest. </w:t>
      </w:r>
      <w:r w:rsidR="00832D49">
        <w:rPr>
          <w:sz w:val="24"/>
          <w:szCs w:val="24"/>
        </w:rPr>
        <w:t>Without looking too closely at th</w:t>
      </w:r>
      <w:r w:rsidR="00F9775A">
        <w:rPr>
          <w:sz w:val="24"/>
          <w:szCs w:val="24"/>
        </w:rPr>
        <w:t>e</w:t>
      </w:r>
      <w:r w:rsidR="00832D49">
        <w:rPr>
          <w:sz w:val="24"/>
          <w:szCs w:val="24"/>
        </w:rPr>
        <w:t xml:space="preserve"> map </w:t>
      </w:r>
      <w:r w:rsidR="00AF7C19">
        <w:rPr>
          <w:sz w:val="24"/>
          <w:szCs w:val="24"/>
        </w:rPr>
        <w:t>there</w:t>
      </w:r>
      <w:r w:rsidR="00BA3144">
        <w:rPr>
          <w:sz w:val="24"/>
          <w:szCs w:val="24"/>
        </w:rPr>
        <w:t xml:space="preserve"> is a large patch of yellow (densities higher than 300</w:t>
      </w:r>
      <w:r w:rsidR="00606BFB">
        <w:rPr>
          <w:sz w:val="24"/>
          <w:szCs w:val="24"/>
        </w:rPr>
        <w:t xml:space="preserve"> km</w:t>
      </w:r>
      <w:r w:rsidR="00606BFB">
        <w:rPr>
          <w:sz w:val="24"/>
          <w:szCs w:val="24"/>
          <w:vertAlign w:val="superscript"/>
        </w:rPr>
        <w:t>2</w:t>
      </w:r>
      <w:r w:rsidR="00606BFB">
        <w:rPr>
          <w:sz w:val="24"/>
          <w:szCs w:val="24"/>
        </w:rPr>
        <w:t xml:space="preserve">) </w:t>
      </w:r>
      <w:r w:rsidR="001B1AE9">
        <w:rPr>
          <w:sz w:val="24"/>
          <w:szCs w:val="24"/>
        </w:rPr>
        <w:t>around eastern Asian countries,</w:t>
      </w:r>
      <w:r w:rsidR="0021150E">
        <w:rPr>
          <w:sz w:val="24"/>
          <w:szCs w:val="24"/>
        </w:rPr>
        <w:t xml:space="preserve"> especially</w:t>
      </w:r>
      <w:r w:rsidR="001B1AE9">
        <w:rPr>
          <w:sz w:val="24"/>
          <w:szCs w:val="24"/>
        </w:rPr>
        <w:t xml:space="preserve"> China and India. </w:t>
      </w:r>
      <w:r w:rsidR="00AF7C19">
        <w:rPr>
          <w:sz w:val="24"/>
          <w:szCs w:val="24"/>
        </w:rPr>
        <w:t xml:space="preserve">Both China and India have the largest concentrations of </w:t>
      </w:r>
      <w:r w:rsidR="00E118C7">
        <w:rPr>
          <w:sz w:val="24"/>
          <w:szCs w:val="24"/>
        </w:rPr>
        <w:t>people in them, with over 1 billion in each</w:t>
      </w:r>
      <w:r w:rsidR="0021150E">
        <w:rPr>
          <w:sz w:val="24"/>
          <w:szCs w:val="24"/>
        </w:rPr>
        <w:t xml:space="preserve">, </w:t>
      </w:r>
      <w:r w:rsidR="00E976AE">
        <w:rPr>
          <w:sz w:val="24"/>
          <w:szCs w:val="24"/>
        </w:rPr>
        <w:t xml:space="preserve">so </w:t>
      </w:r>
      <w:r w:rsidR="00322271">
        <w:rPr>
          <w:sz w:val="24"/>
          <w:szCs w:val="24"/>
        </w:rPr>
        <w:t>it makes sense that they woul</w:t>
      </w:r>
      <w:r w:rsidR="00D2692E">
        <w:rPr>
          <w:sz w:val="24"/>
          <w:szCs w:val="24"/>
        </w:rPr>
        <w:t>d be the densest locations seen</w:t>
      </w:r>
      <w:r w:rsidR="00322271">
        <w:rPr>
          <w:sz w:val="24"/>
          <w:szCs w:val="24"/>
        </w:rPr>
        <w:t xml:space="preserve">. </w:t>
      </w:r>
      <w:r w:rsidR="00826956">
        <w:rPr>
          <w:sz w:val="24"/>
          <w:szCs w:val="24"/>
        </w:rPr>
        <w:t xml:space="preserve">Indonesia and the Philippines </w:t>
      </w:r>
      <w:r w:rsidR="00171858">
        <w:rPr>
          <w:sz w:val="24"/>
          <w:szCs w:val="24"/>
        </w:rPr>
        <w:t xml:space="preserve">are also shown to have high population densities. </w:t>
      </w:r>
      <w:r w:rsidR="00404069">
        <w:rPr>
          <w:sz w:val="24"/>
          <w:szCs w:val="24"/>
        </w:rPr>
        <w:t>Eastern Asia isn’t the only part of the world with a high density it seems</w:t>
      </w:r>
      <w:r w:rsidR="002527DF">
        <w:rPr>
          <w:sz w:val="24"/>
          <w:szCs w:val="24"/>
        </w:rPr>
        <w:t xml:space="preserve">. Looking closely, </w:t>
      </w:r>
      <w:r w:rsidR="0039785F">
        <w:rPr>
          <w:sz w:val="24"/>
          <w:szCs w:val="24"/>
        </w:rPr>
        <w:t xml:space="preserve">parts of Africa in countries such as Nigeria and Uganda have </w:t>
      </w:r>
      <w:r w:rsidR="00D2692E">
        <w:rPr>
          <w:sz w:val="24"/>
          <w:szCs w:val="24"/>
        </w:rPr>
        <w:t xml:space="preserve">very high densities. </w:t>
      </w:r>
      <w:r w:rsidR="00AB350E">
        <w:rPr>
          <w:sz w:val="24"/>
          <w:szCs w:val="24"/>
        </w:rPr>
        <w:t>Israel and Egypt in the Middle East also fall into</w:t>
      </w:r>
      <w:r w:rsidR="00B97959">
        <w:rPr>
          <w:sz w:val="24"/>
          <w:szCs w:val="24"/>
        </w:rPr>
        <w:t xml:space="preserve"> the “</w:t>
      </w:r>
      <w:r w:rsidR="00D860C8">
        <w:rPr>
          <w:sz w:val="24"/>
          <w:szCs w:val="24"/>
        </w:rPr>
        <w:t xml:space="preserve">&gt;300” category. </w:t>
      </w:r>
      <w:r w:rsidR="00986E30">
        <w:rPr>
          <w:sz w:val="24"/>
          <w:szCs w:val="24"/>
        </w:rPr>
        <w:t>Certain areas of western Europe, North America, and South America show to have some pockets of high density</w:t>
      </w:r>
      <w:r w:rsidR="00B873DB">
        <w:rPr>
          <w:sz w:val="24"/>
          <w:szCs w:val="24"/>
        </w:rPr>
        <w:t xml:space="preserve">. </w:t>
      </w:r>
      <w:r w:rsidR="00DF3218">
        <w:rPr>
          <w:sz w:val="24"/>
          <w:szCs w:val="24"/>
        </w:rPr>
        <w:t>All</w:t>
      </w:r>
      <w:r w:rsidR="00B873DB">
        <w:rPr>
          <w:sz w:val="24"/>
          <w:szCs w:val="24"/>
        </w:rPr>
        <w:t xml:space="preserve"> these </w:t>
      </w:r>
      <w:r w:rsidR="00071763">
        <w:rPr>
          <w:sz w:val="24"/>
          <w:szCs w:val="24"/>
        </w:rPr>
        <w:t>areas</w:t>
      </w:r>
      <w:r w:rsidR="00B873DB">
        <w:rPr>
          <w:sz w:val="24"/>
          <w:szCs w:val="24"/>
        </w:rPr>
        <w:t xml:space="preserve"> </w:t>
      </w:r>
      <w:r w:rsidR="00A16873">
        <w:rPr>
          <w:sz w:val="24"/>
          <w:szCs w:val="24"/>
        </w:rPr>
        <w:t xml:space="preserve">most likely correspond to the major cities </w:t>
      </w:r>
      <w:r w:rsidR="00071763">
        <w:rPr>
          <w:sz w:val="24"/>
          <w:szCs w:val="24"/>
        </w:rPr>
        <w:t xml:space="preserve">in each country. For instance, </w:t>
      </w:r>
      <w:r w:rsidR="003B0FEF">
        <w:rPr>
          <w:sz w:val="24"/>
          <w:szCs w:val="24"/>
        </w:rPr>
        <w:t xml:space="preserve">the yellow pocket seen in southern Brazil is most likely there due to Rio </w:t>
      </w:r>
      <w:r w:rsidR="000D7374">
        <w:rPr>
          <w:sz w:val="24"/>
          <w:szCs w:val="24"/>
        </w:rPr>
        <w:t>d</w:t>
      </w:r>
      <w:r w:rsidR="003B0FEF">
        <w:rPr>
          <w:sz w:val="24"/>
          <w:szCs w:val="24"/>
        </w:rPr>
        <w:t xml:space="preserve">e Janeiro being there. </w:t>
      </w:r>
      <w:r w:rsidR="00A32564">
        <w:rPr>
          <w:sz w:val="24"/>
          <w:szCs w:val="24"/>
        </w:rPr>
        <w:t xml:space="preserve">In the United Kingdom, the density seen there is likely the cause </w:t>
      </w:r>
      <w:r w:rsidR="00A32564">
        <w:rPr>
          <w:sz w:val="24"/>
          <w:szCs w:val="24"/>
        </w:rPr>
        <w:lastRenderedPageBreak/>
        <w:t>of London</w:t>
      </w:r>
      <w:r w:rsidR="00CB4B00">
        <w:rPr>
          <w:sz w:val="24"/>
          <w:szCs w:val="24"/>
        </w:rPr>
        <w:t xml:space="preserve"> and on the eastern seaboard of the United States, cities like Washington D.C., New York City, and Boston are the most probable cause</w:t>
      </w:r>
      <w:r w:rsidR="00DF3218">
        <w:rPr>
          <w:sz w:val="24"/>
          <w:szCs w:val="24"/>
        </w:rPr>
        <w:t xml:space="preserve"> of the major density.</w:t>
      </w:r>
    </w:p>
    <w:p w14:paraId="5CEC9FA9" w14:textId="20B84EFE" w:rsidR="00DF3218" w:rsidRDefault="00DF3218" w:rsidP="00DF3218">
      <w:pPr>
        <w:jc w:val="center"/>
        <w:rPr>
          <w:sz w:val="24"/>
          <w:szCs w:val="24"/>
        </w:rPr>
      </w:pPr>
      <w:r>
        <w:rPr>
          <w:sz w:val="24"/>
          <w:szCs w:val="24"/>
          <w:u w:val="single"/>
        </w:rPr>
        <w:t>Discussion</w:t>
      </w:r>
    </w:p>
    <w:p w14:paraId="7C027375" w14:textId="47574213" w:rsidR="00DF3218" w:rsidRPr="00DF3218" w:rsidRDefault="00DF3218" w:rsidP="00DF3218">
      <w:pPr>
        <w:rPr>
          <w:sz w:val="24"/>
          <w:szCs w:val="24"/>
        </w:rPr>
      </w:pPr>
      <w:r>
        <w:rPr>
          <w:sz w:val="24"/>
          <w:szCs w:val="24"/>
        </w:rPr>
        <w:tab/>
      </w:r>
      <w:r w:rsidR="002217EB">
        <w:rPr>
          <w:sz w:val="24"/>
          <w:szCs w:val="24"/>
        </w:rPr>
        <w:t xml:space="preserve">The map </w:t>
      </w:r>
      <w:r w:rsidR="006B3420">
        <w:rPr>
          <w:sz w:val="24"/>
          <w:szCs w:val="24"/>
        </w:rPr>
        <w:t xml:space="preserve">produced in Figure 1 clearly shows where the </w:t>
      </w:r>
      <w:r w:rsidR="00D45DE3">
        <w:rPr>
          <w:sz w:val="24"/>
          <w:szCs w:val="24"/>
        </w:rPr>
        <w:t>high-density</w:t>
      </w:r>
      <w:r w:rsidR="006B3420">
        <w:rPr>
          <w:sz w:val="24"/>
          <w:szCs w:val="24"/>
        </w:rPr>
        <w:t xml:space="preserve"> regions of the world are and where they are not. </w:t>
      </w:r>
      <w:r w:rsidR="00D45DE3">
        <w:rPr>
          <w:sz w:val="24"/>
          <w:szCs w:val="24"/>
        </w:rPr>
        <w:t xml:space="preserve">This is </w:t>
      </w:r>
      <w:r w:rsidR="002B6FFF">
        <w:rPr>
          <w:sz w:val="24"/>
          <w:szCs w:val="24"/>
        </w:rPr>
        <w:t xml:space="preserve">the optimal result for the research questions stated </w:t>
      </w:r>
      <w:r w:rsidR="00092E48">
        <w:rPr>
          <w:sz w:val="24"/>
          <w:szCs w:val="24"/>
        </w:rPr>
        <w:t>in the introduction</w:t>
      </w:r>
      <w:r w:rsidR="00376F80">
        <w:rPr>
          <w:sz w:val="24"/>
          <w:szCs w:val="24"/>
        </w:rPr>
        <w:t xml:space="preserve">, since </w:t>
      </w:r>
      <w:r w:rsidR="00F309F5">
        <w:rPr>
          <w:sz w:val="24"/>
          <w:szCs w:val="24"/>
        </w:rPr>
        <w:t xml:space="preserve">a correlation between high population density and the economic </w:t>
      </w:r>
      <w:r w:rsidR="008C679F">
        <w:rPr>
          <w:sz w:val="24"/>
          <w:szCs w:val="24"/>
        </w:rPr>
        <w:t xml:space="preserve">classification of countries can be made. </w:t>
      </w:r>
      <w:r w:rsidR="00BC7CB3">
        <w:rPr>
          <w:sz w:val="24"/>
          <w:szCs w:val="24"/>
        </w:rPr>
        <w:t xml:space="preserve">It can be </w:t>
      </w:r>
      <w:r w:rsidR="00A35AE2">
        <w:rPr>
          <w:sz w:val="24"/>
          <w:szCs w:val="24"/>
        </w:rPr>
        <w:t xml:space="preserve">said that </w:t>
      </w:r>
      <w:r w:rsidR="00113DA8">
        <w:rPr>
          <w:sz w:val="24"/>
          <w:szCs w:val="24"/>
        </w:rPr>
        <w:t xml:space="preserve">it is likely </w:t>
      </w:r>
      <w:r w:rsidR="00A35AE2">
        <w:rPr>
          <w:sz w:val="24"/>
          <w:szCs w:val="24"/>
        </w:rPr>
        <w:t xml:space="preserve">countries that are </w:t>
      </w:r>
      <w:r w:rsidR="00113DA8">
        <w:rPr>
          <w:sz w:val="24"/>
          <w:szCs w:val="24"/>
        </w:rPr>
        <w:t xml:space="preserve">classified as being part of a lower-middle income group </w:t>
      </w:r>
      <w:r w:rsidR="001904B2">
        <w:rPr>
          <w:sz w:val="24"/>
          <w:szCs w:val="24"/>
        </w:rPr>
        <w:t xml:space="preserve">also have a high population density </w:t>
      </w:r>
      <w:r w:rsidR="00253ADF">
        <w:rPr>
          <w:sz w:val="24"/>
          <w:szCs w:val="24"/>
        </w:rPr>
        <w:t xml:space="preserve">in a greater total of regions when compared to </w:t>
      </w:r>
      <w:r w:rsidR="007C2593">
        <w:rPr>
          <w:sz w:val="24"/>
          <w:szCs w:val="24"/>
        </w:rPr>
        <w:t>countries classified as</w:t>
      </w:r>
      <w:r w:rsidR="006D02A3">
        <w:rPr>
          <w:sz w:val="24"/>
          <w:szCs w:val="24"/>
        </w:rPr>
        <w:t xml:space="preserve"> being part of the high-income group. </w:t>
      </w:r>
      <w:r w:rsidR="00273FBC">
        <w:rPr>
          <w:sz w:val="24"/>
          <w:szCs w:val="24"/>
        </w:rPr>
        <w:t xml:space="preserve">Countries that </w:t>
      </w:r>
      <w:r w:rsidR="00B424BF">
        <w:rPr>
          <w:sz w:val="24"/>
          <w:szCs w:val="24"/>
        </w:rPr>
        <w:t xml:space="preserve">have </w:t>
      </w:r>
      <w:r w:rsidR="00815676">
        <w:rPr>
          <w:sz w:val="24"/>
          <w:szCs w:val="24"/>
        </w:rPr>
        <w:t xml:space="preserve">extremely </w:t>
      </w:r>
      <w:r w:rsidR="00B424BF">
        <w:rPr>
          <w:sz w:val="24"/>
          <w:szCs w:val="24"/>
        </w:rPr>
        <w:t xml:space="preserve">high densities </w:t>
      </w:r>
      <w:r w:rsidR="00815676">
        <w:rPr>
          <w:sz w:val="24"/>
          <w:szCs w:val="24"/>
        </w:rPr>
        <w:t xml:space="preserve">in multiple regions </w:t>
      </w:r>
      <w:r w:rsidR="00B424BF">
        <w:rPr>
          <w:sz w:val="24"/>
          <w:szCs w:val="24"/>
        </w:rPr>
        <w:t xml:space="preserve">are subject to overpopulation in the near future if nothing is done to remedy the constantly growing </w:t>
      </w:r>
      <w:r w:rsidR="00857DC5">
        <w:rPr>
          <w:sz w:val="24"/>
          <w:szCs w:val="24"/>
        </w:rPr>
        <w:t xml:space="preserve">population. </w:t>
      </w:r>
      <w:r w:rsidR="003669DF">
        <w:rPr>
          <w:sz w:val="24"/>
          <w:szCs w:val="24"/>
        </w:rPr>
        <w:t xml:space="preserve">If </w:t>
      </w:r>
      <w:r w:rsidR="00E20B67">
        <w:rPr>
          <w:sz w:val="24"/>
          <w:szCs w:val="24"/>
        </w:rPr>
        <w:t xml:space="preserve">a country belongs to an income group on the lower end, </w:t>
      </w:r>
      <w:r w:rsidR="0048737A">
        <w:rPr>
          <w:sz w:val="24"/>
          <w:szCs w:val="24"/>
        </w:rPr>
        <w:t xml:space="preserve">any overcrowding </w:t>
      </w:r>
      <w:r w:rsidR="00340230">
        <w:rPr>
          <w:sz w:val="24"/>
          <w:szCs w:val="24"/>
        </w:rPr>
        <w:t xml:space="preserve">seen could be explained by that, or it happens because of the </w:t>
      </w:r>
      <w:r w:rsidR="00945234">
        <w:rPr>
          <w:sz w:val="24"/>
          <w:szCs w:val="24"/>
        </w:rPr>
        <w:t>fact it is a poor country.</w:t>
      </w:r>
      <w:r w:rsidR="00FD5D84">
        <w:rPr>
          <w:sz w:val="24"/>
          <w:szCs w:val="24"/>
        </w:rPr>
        <w:t xml:space="preserve"> </w:t>
      </w:r>
      <w:r w:rsidR="00432B33">
        <w:rPr>
          <w:sz w:val="24"/>
          <w:szCs w:val="24"/>
        </w:rPr>
        <w:t xml:space="preserve">Some potential areas of future research include the investigation of </w:t>
      </w:r>
      <w:r w:rsidR="00056E9B">
        <w:rPr>
          <w:sz w:val="24"/>
          <w:szCs w:val="24"/>
        </w:rPr>
        <w:t xml:space="preserve">air pollution in countries with high density and what kind of land cover </w:t>
      </w:r>
      <w:r w:rsidR="000E4F0D">
        <w:rPr>
          <w:sz w:val="24"/>
          <w:szCs w:val="24"/>
        </w:rPr>
        <w:t>is seen in third world countries. There we</w:t>
      </w:r>
      <w:r w:rsidR="00CD7AA8">
        <w:rPr>
          <w:sz w:val="24"/>
          <w:szCs w:val="24"/>
        </w:rPr>
        <w:t xml:space="preserve">re </w:t>
      </w:r>
      <w:r w:rsidR="00AB65EC">
        <w:rPr>
          <w:sz w:val="24"/>
          <w:szCs w:val="24"/>
        </w:rPr>
        <w:t>a few</w:t>
      </w:r>
      <w:r w:rsidR="00CD7AA8">
        <w:rPr>
          <w:sz w:val="24"/>
          <w:szCs w:val="24"/>
        </w:rPr>
        <w:t xml:space="preserve"> limitations to this analysis, with the main </w:t>
      </w:r>
      <w:r w:rsidR="0007059A">
        <w:rPr>
          <w:sz w:val="24"/>
          <w:szCs w:val="24"/>
        </w:rPr>
        <w:t>limitation</w:t>
      </w:r>
      <w:r w:rsidR="00CD7AA8">
        <w:rPr>
          <w:sz w:val="24"/>
          <w:szCs w:val="24"/>
        </w:rPr>
        <w:t xml:space="preserve"> being that not all countries were processed</w:t>
      </w:r>
      <w:r w:rsidR="00C674F0">
        <w:rPr>
          <w:sz w:val="24"/>
          <w:szCs w:val="24"/>
        </w:rPr>
        <w:t xml:space="preserve">. Greenland, Iceland, </w:t>
      </w:r>
      <w:r w:rsidR="00527725">
        <w:rPr>
          <w:sz w:val="24"/>
          <w:szCs w:val="24"/>
        </w:rPr>
        <w:t xml:space="preserve">Fiji, and Malta were </w:t>
      </w:r>
      <w:r w:rsidR="0007059A">
        <w:rPr>
          <w:sz w:val="24"/>
          <w:szCs w:val="24"/>
        </w:rPr>
        <w:t xml:space="preserve">some of the ones </w:t>
      </w:r>
      <w:r w:rsidR="00E33EB8">
        <w:rPr>
          <w:sz w:val="24"/>
          <w:szCs w:val="24"/>
        </w:rPr>
        <w:t>excluded from the data, as they didn’t have a large enough population or were too small geographically</w:t>
      </w:r>
      <w:r w:rsidR="00A050EB">
        <w:rPr>
          <w:sz w:val="24"/>
          <w:szCs w:val="24"/>
        </w:rPr>
        <w:t xml:space="preserve"> </w:t>
      </w:r>
      <w:r w:rsidR="00A200DA">
        <w:rPr>
          <w:sz w:val="24"/>
          <w:szCs w:val="24"/>
        </w:rPr>
        <w:t xml:space="preserve">to show up on the global map. </w:t>
      </w:r>
      <w:r w:rsidR="000F29AD">
        <w:rPr>
          <w:sz w:val="24"/>
          <w:szCs w:val="24"/>
        </w:rPr>
        <w:t xml:space="preserve">Another limitation was the </w:t>
      </w:r>
      <w:r w:rsidR="00AE414C">
        <w:rPr>
          <w:sz w:val="24"/>
          <w:szCs w:val="24"/>
        </w:rPr>
        <w:t xml:space="preserve">potential of the data used not displaying correctly or being </w:t>
      </w:r>
      <w:r w:rsidR="00AF3DE0">
        <w:rPr>
          <w:sz w:val="24"/>
          <w:szCs w:val="24"/>
        </w:rPr>
        <w:t xml:space="preserve">slightly off. </w:t>
      </w:r>
    </w:p>
    <w:p w14:paraId="1B85AE96" w14:textId="05A54BCD" w:rsidR="0006116B" w:rsidRPr="0006116B" w:rsidRDefault="0006116B" w:rsidP="00095320">
      <w:pPr>
        <w:jc w:val="center"/>
        <w:rPr>
          <w:sz w:val="24"/>
          <w:szCs w:val="24"/>
          <w:u w:val="single"/>
        </w:rPr>
      </w:pPr>
      <w:r w:rsidRPr="0006116B">
        <w:rPr>
          <w:sz w:val="24"/>
          <w:szCs w:val="24"/>
          <w:u w:val="single"/>
        </w:rPr>
        <w:t>Conclusion</w:t>
      </w:r>
    </w:p>
    <w:p w14:paraId="0288D882" w14:textId="20E10C3D" w:rsidR="0006116B" w:rsidRPr="00095320" w:rsidRDefault="00150BBD" w:rsidP="0006116B">
      <w:pPr>
        <w:rPr>
          <w:sz w:val="24"/>
          <w:szCs w:val="24"/>
        </w:rPr>
      </w:pPr>
      <w:r>
        <w:rPr>
          <w:sz w:val="24"/>
          <w:szCs w:val="24"/>
        </w:rPr>
        <w:tab/>
      </w:r>
      <w:r w:rsidR="00257D62">
        <w:rPr>
          <w:sz w:val="24"/>
          <w:szCs w:val="24"/>
        </w:rPr>
        <w:t>The main goal of th</w:t>
      </w:r>
      <w:r w:rsidR="009F702F">
        <w:rPr>
          <w:sz w:val="24"/>
          <w:szCs w:val="24"/>
        </w:rPr>
        <w:t>e</w:t>
      </w:r>
      <w:r w:rsidR="00257D62">
        <w:rPr>
          <w:sz w:val="24"/>
          <w:szCs w:val="24"/>
        </w:rPr>
        <w:t xml:space="preserve"> </w:t>
      </w:r>
      <w:r w:rsidR="00427EAE">
        <w:rPr>
          <w:sz w:val="24"/>
          <w:szCs w:val="24"/>
        </w:rPr>
        <w:t>analysis</w:t>
      </w:r>
      <w:r w:rsidR="009F702F">
        <w:rPr>
          <w:sz w:val="24"/>
          <w:szCs w:val="24"/>
        </w:rPr>
        <w:t xml:space="preserve"> in this paper</w:t>
      </w:r>
      <w:r w:rsidR="00427EAE">
        <w:rPr>
          <w:sz w:val="24"/>
          <w:szCs w:val="24"/>
        </w:rPr>
        <w:t xml:space="preserve"> is to </w:t>
      </w:r>
      <w:r w:rsidR="0019750C">
        <w:rPr>
          <w:sz w:val="24"/>
          <w:szCs w:val="24"/>
        </w:rPr>
        <w:t xml:space="preserve">investigate </w:t>
      </w:r>
      <w:r w:rsidR="00910F86">
        <w:rPr>
          <w:sz w:val="24"/>
          <w:szCs w:val="24"/>
        </w:rPr>
        <w:t xml:space="preserve">where areas of high population density are in the world </w:t>
      </w:r>
      <w:r w:rsidR="00027674">
        <w:rPr>
          <w:sz w:val="24"/>
          <w:szCs w:val="24"/>
        </w:rPr>
        <w:t>and what income gro</w:t>
      </w:r>
      <w:r w:rsidR="00512DCF">
        <w:rPr>
          <w:sz w:val="24"/>
          <w:szCs w:val="24"/>
        </w:rPr>
        <w:t xml:space="preserve">up </w:t>
      </w:r>
      <w:r w:rsidR="007816E7">
        <w:rPr>
          <w:sz w:val="24"/>
          <w:szCs w:val="24"/>
        </w:rPr>
        <w:t xml:space="preserve">in </w:t>
      </w:r>
      <w:r w:rsidR="00512DCF">
        <w:rPr>
          <w:sz w:val="24"/>
          <w:szCs w:val="24"/>
        </w:rPr>
        <w:t>the countries where it is fo</w:t>
      </w:r>
      <w:r w:rsidR="007816E7">
        <w:rPr>
          <w:sz w:val="24"/>
          <w:szCs w:val="24"/>
        </w:rPr>
        <w:t>und are</w:t>
      </w:r>
      <w:r w:rsidR="007A753C">
        <w:rPr>
          <w:sz w:val="24"/>
          <w:szCs w:val="24"/>
        </w:rPr>
        <w:t xml:space="preserve">. </w:t>
      </w:r>
      <w:r w:rsidR="000D2B0B">
        <w:rPr>
          <w:sz w:val="24"/>
          <w:szCs w:val="24"/>
        </w:rPr>
        <w:t xml:space="preserve">This is to </w:t>
      </w:r>
      <w:r w:rsidR="002C5387">
        <w:rPr>
          <w:sz w:val="24"/>
          <w:szCs w:val="24"/>
        </w:rPr>
        <w:t xml:space="preserve">make aware the problem of overpopulation </w:t>
      </w:r>
      <w:r w:rsidR="00A847DE">
        <w:rPr>
          <w:sz w:val="24"/>
          <w:szCs w:val="24"/>
        </w:rPr>
        <w:t>some countries may face in the next century</w:t>
      </w:r>
      <w:r w:rsidR="006728C7">
        <w:rPr>
          <w:sz w:val="24"/>
          <w:szCs w:val="24"/>
        </w:rPr>
        <w:t xml:space="preserve"> and </w:t>
      </w:r>
      <w:r w:rsidR="004A7059">
        <w:rPr>
          <w:sz w:val="24"/>
          <w:szCs w:val="24"/>
        </w:rPr>
        <w:t>th</w:t>
      </w:r>
      <w:r w:rsidR="00EA2C6E">
        <w:rPr>
          <w:sz w:val="24"/>
          <w:szCs w:val="24"/>
        </w:rPr>
        <w:t xml:space="preserve">e </w:t>
      </w:r>
      <w:r w:rsidR="0046007C">
        <w:rPr>
          <w:sz w:val="24"/>
          <w:szCs w:val="24"/>
        </w:rPr>
        <w:t xml:space="preserve">spatial </w:t>
      </w:r>
      <w:r w:rsidR="00EA2C6E">
        <w:rPr>
          <w:sz w:val="24"/>
          <w:szCs w:val="24"/>
        </w:rPr>
        <w:t>economic disparities that exist</w:t>
      </w:r>
      <w:r w:rsidR="005C2B2C">
        <w:rPr>
          <w:sz w:val="24"/>
          <w:szCs w:val="24"/>
        </w:rPr>
        <w:t xml:space="preserve">. Based on the results, it was found </w:t>
      </w:r>
      <w:r w:rsidR="00F076BF">
        <w:rPr>
          <w:sz w:val="24"/>
          <w:szCs w:val="24"/>
        </w:rPr>
        <w:t>a majority of the high dense regions found on the global map exist</w:t>
      </w:r>
      <w:r w:rsidR="004132E0">
        <w:rPr>
          <w:sz w:val="24"/>
          <w:szCs w:val="24"/>
        </w:rPr>
        <w:t xml:space="preserve"> in eastern Asian countries like China and India</w:t>
      </w:r>
      <w:r w:rsidR="00DB729C">
        <w:rPr>
          <w:sz w:val="24"/>
          <w:szCs w:val="24"/>
        </w:rPr>
        <w:t>. This highlights the population problems these countries have</w:t>
      </w:r>
      <w:r w:rsidR="008624E1">
        <w:rPr>
          <w:sz w:val="24"/>
          <w:szCs w:val="24"/>
        </w:rPr>
        <w:t xml:space="preserve"> in particular. On top of this a majority of the countries found with high densities </w:t>
      </w:r>
      <w:r w:rsidR="00A81E8B">
        <w:rPr>
          <w:sz w:val="24"/>
          <w:szCs w:val="24"/>
        </w:rPr>
        <w:t>were low to upper-middle income countries. High income countries like the United States</w:t>
      </w:r>
      <w:r w:rsidR="00F15D62">
        <w:rPr>
          <w:sz w:val="24"/>
          <w:szCs w:val="24"/>
        </w:rPr>
        <w:t xml:space="preserve"> and the United Kingdom have some </w:t>
      </w:r>
      <w:r w:rsidR="00A95166">
        <w:rPr>
          <w:sz w:val="24"/>
          <w:szCs w:val="24"/>
        </w:rPr>
        <w:t>high-density</w:t>
      </w:r>
      <w:r w:rsidR="00366577">
        <w:rPr>
          <w:sz w:val="24"/>
          <w:szCs w:val="24"/>
        </w:rPr>
        <w:t xml:space="preserve"> </w:t>
      </w:r>
      <w:r w:rsidR="00A9614B">
        <w:rPr>
          <w:sz w:val="24"/>
          <w:szCs w:val="24"/>
        </w:rPr>
        <w:t>regions but</w:t>
      </w:r>
      <w:r w:rsidR="00366577">
        <w:rPr>
          <w:sz w:val="24"/>
          <w:szCs w:val="24"/>
        </w:rPr>
        <w:t xml:space="preserve"> have room to grow and move around</w:t>
      </w:r>
      <w:r w:rsidR="00A9614B">
        <w:rPr>
          <w:sz w:val="24"/>
          <w:szCs w:val="24"/>
        </w:rPr>
        <w:t xml:space="preserve"> as the population is</w:t>
      </w:r>
      <w:r w:rsidR="007B2A6F">
        <w:rPr>
          <w:sz w:val="24"/>
          <w:szCs w:val="24"/>
        </w:rPr>
        <w:t xml:space="preserve"> not</w:t>
      </w:r>
      <w:r w:rsidR="00A9614B">
        <w:rPr>
          <w:sz w:val="24"/>
          <w:szCs w:val="24"/>
        </w:rPr>
        <w:t xml:space="preserve"> too big. </w:t>
      </w:r>
      <w:r w:rsidR="00A95166">
        <w:rPr>
          <w:sz w:val="24"/>
          <w:szCs w:val="24"/>
        </w:rPr>
        <w:t>There is a clear difference between the</w:t>
      </w:r>
      <w:r w:rsidR="0044294A">
        <w:rPr>
          <w:sz w:val="24"/>
          <w:szCs w:val="24"/>
        </w:rPr>
        <w:t xml:space="preserve"> income group of</w:t>
      </w:r>
      <w:r w:rsidR="00A95166">
        <w:rPr>
          <w:sz w:val="24"/>
          <w:szCs w:val="24"/>
        </w:rPr>
        <w:t xml:space="preserve"> </w:t>
      </w:r>
      <w:r w:rsidR="007B2A6F">
        <w:rPr>
          <w:sz w:val="24"/>
          <w:szCs w:val="24"/>
        </w:rPr>
        <w:t>countries that have a lot of dense regions and those that do not</w:t>
      </w:r>
      <w:r w:rsidR="0044294A">
        <w:rPr>
          <w:sz w:val="24"/>
          <w:szCs w:val="24"/>
        </w:rPr>
        <w:t xml:space="preserve">. </w:t>
      </w:r>
    </w:p>
    <w:p w14:paraId="67ECAC34" w14:textId="2DB18456" w:rsidR="0006116B" w:rsidRPr="0006116B" w:rsidRDefault="0006116B" w:rsidP="00095320">
      <w:pPr>
        <w:jc w:val="center"/>
        <w:rPr>
          <w:sz w:val="24"/>
          <w:szCs w:val="24"/>
          <w:u w:val="single"/>
        </w:rPr>
      </w:pPr>
      <w:r w:rsidRPr="0006116B">
        <w:rPr>
          <w:sz w:val="24"/>
          <w:szCs w:val="24"/>
          <w:u w:val="single"/>
        </w:rPr>
        <w:t>Bibliography</w:t>
      </w:r>
    </w:p>
    <w:p w14:paraId="2D07C9F0" w14:textId="2DD66B78" w:rsidR="0006116B" w:rsidRPr="00634DE4" w:rsidRDefault="005F2E9B" w:rsidP="0006116B">
      <w:pPr>
        <w:rPr>
          <w:rFonts w:cstheme="minorHAnsi"/>
          <w:color w:val="222222"/>
          <w:sz w:val="24"/>
          <w:szCs w:val="24"/>
          <w:shd w:val="clear" w:color="auto" w:fill="FFFFFF"/>
        </w:rPr>
      </w:pPr>
      <w:r w:rsidRPr="00634DE4">
        <w:rPr>
          <w:rFonts w:cstheme="minorHAnsi"/>
          <w:color w:val="222222"/>
          <w:sz w:val="24"/>
          <w:szCs w:val="24"/>
          <w:shd w:val="clear" w:color="auto" w:fill="FFFFFF"/>
        </w:rPr>
        <w:t xml:space="preserve">Moos, Nicolai, Carsten </w:t>
      </w:r>
      <w:proofErr w:type="spellStart"/>
      <w:r w:rsidRPr="00634DE4">
        <w:rPr>
          <w:rFonts w:cstheme="minorHAnsi"/>
          <w:color w:val="222222"/>
          <w:sz w:val="24"/>
          <w:szCs w:val="24"/>
          <w:shd w:val="clear" w:color="auto" w:fill="FFFFFF"/>
        </w:rPr>
        <w:t>Juergens</w:t>
      </w:r>
      <w:proofErr w:type="spellEnd"/>
      <w:r w:rsidRPr="00634DE4">
        <w:rPr>
          <w:rFonts w:cstheme="minorHAnsi"/>
          <w:color w:val="222222"/>
          <w:sz w:val="24"/>
          <w:szCs w:val="24"/>
          <w:shd w:val="clear" w:color="auto" w:fill="FFFFFF"/>
        </w:rPr>
        <w:t xml:space="preserve">, and Andreas P. </w:t>
      </w:r>
      <w:proofErr w:type="spellStart"/>
      <w:r w:rsidRPr="00634DE4">
        <w:rPr>
          <w:rFonts w:cstheme="minorHAnsi"/>
          <w:color w:val="222222"/>
          <w:sz w:val="24"/>
          <w:szCs w:val="24"/>
          <w:shd w:val="clear" w:color="auto" w:fill="FFFFFF"/>
        </w:rPr>
        <w:t>Redecker</w:t>
      </w:r>
      <w:proofErr w:type="spellEnd"/>
      <w:r w:rsidRPr="00634DE4">
        <w:rPr>
          <w:rFonts w:cstheme="minorHAnsi"/>
          <w:color w:val="222222"/>
          <w:sz w:val="24"/>
          <w:szCs w:val="24"/>
          <w:shd w:val="clear" w:color="auto" w:fill="FFFFFF"/>
        </w:rPr>
        <w:t>. 2021. "Geo-Spatial Analysis of Population Density and Annual Income to Identify Large-Scale Socio-Demographic Disparities" </w:t>
      </w:r>
      <w:r w:rsidRPr="00634DE4">
        <w:rPr>
          <w:rStyle w:val="Emphasis"/>
          <w:rFonts w:cstheme="minorHAnsi"/>
          <w:color w:val="222222"/>
          <w:sz w:val="24"/>
          <w:szCs w:val="24"/>
          <w:shd w:val="clear" w:color="auto" w:fill="FFFFFF"/>
        </w:rPr>
        <w:t>ISPRS International Journal of Geo-Information</w:t>
      </w:r>
      <w:r w:rsidRPr="00634DE4">
        <w:rPr>
          <w:rFonts w:cstheme="minorHAnsi"/>
          <w:color w:val="222222"/>
          <w:sz w:val="24"/>
          <w:szCs w:val="24"/>
          <w:shd w:val="clear" w:color="auto" w:fill="FFFFFF"/>
        </w:rPr>
        <w:t xml:space="preserve"> 10, no. 7: 432. </w:t>
      </w:r>
      <w:hyperlink r:id="rId9" w:history="1">
        <w:r w:rsidRPr="00634DE4">
          <w:rPr>
            <w:rStyle w:val="Hyperlink"/>
            <w:rFonts w:cstheme="minorHAnsi"/>
            <w:sz w:val="24"/>
            <w:szCs w:val="24"/>
            <w:shd w:val="clear" w:color="auto" w:fill="FFFFFF"/>
          </w:rPr>
          <w:t>https://doi.org/10.3390/ijgi10070432</w:t>
        </w:r>
      </w:hyperlink>
    </w:p>
    <w:p w14:paraId="6C66D241" w14:textId="7CA8E9B8" w:rsidR="00425E76" w:rsidRPr="00634DE4" w:rsidRDefault="002C464B" w:rsidP="00425E76">
      <w:pPr>
        <w:rPr>
          <w:rFonts w:cstheme="minorHAnsi"/>
          <w:sz w:val="24"/>
          <w:szCs w:val="24"/>
        </w:rPr>
      </w:pPr>
      <w:r w:rsidRPr="00634DE4">
        <w:rPr>
          <w:rFonts w:cstheme="minorHAnsi"/>
          <w:color w:val="2A2A2A"/>
          <w:sz w:val="24"/>
          <w:szCs w:val="24"/>
          <w:shd w:val="clear" w:color="auto" w:fill="FFFFFF"/>
        </w:rPr>
        <w:lastRenderedPageBreak/>
        <w:t xml:space="preserve">Doreen </w:t>
      </w:r>
      <w:proofErr w:type="spellStart"/>
      <w:r w:rsidRPr="00634DE4">
        <w:rPr>
          <w:rFonts w:cstheme="minorHAnsi"/>
          <w:color w:val="2A2A2A"/>
          <w:sz w:val="24"/>
          <w:szCs w:val="24"/>
          <w:shd w:val="clear" w:color="auto" w:fill="FFFFFF"/>
        </w:rPr>
        <w:t>Busingye</w:t>
      </w:r>
      <w:proofErr w:type="spellEnd"/>
      <w:r w:rsidRPr="00634DE4">
        <w:rPr>
          <w:rFonts w:cstheme="minorHAnsi"/>
          <w:color w:val="2A2A2A"/>
          <w:sz w:val="24"/>
          <w:szCs w:val="24"/>
          <w:shd w:val="clear" w:color="auto" w:fill="FFFFFF"/>
        </w:rPr>
        <w:t xml:space="preserve">, </w:t>
      </w:r>
      <w:proofErr w:type="spellStart"/>
      <w:r w:rsidRPr="00634DE4">
        <w:rPr>
          <w:rFonts w:cstheme="minorHAnsi"/>
          <w:color w:val="2A2A2A"/>
          <w:sz w:val="24"/>
          <w:szCs w:val="24"/>
          <w:shd w:val="clear" w:color="auto" w:fill="FFFFFF"/>
        </w:rPr>
        <w:t>Simin</w:t>
      </w:r>
      <w:proofErr w:type="spellEnd"/>
      <w:r w:rsidRPr="00634DE4">
        <w:rPr>
          <w:rFonts w:cstheme="minorHAnsi"/>
          <w:color w:val="2A2A2A"/>
          <w:sz w:val="24"/>
          <w:szCs w:val="24"/>
          <w:shd w:val="clear" w:color="auto" w:fill="FFFFFF"/>
        </w:rPr>
        <w:t xml:space="preserve"> </w:t>
      </w:r>
      <w:proofErr w:type="spellStart"/>
      <w:r w:rsidRPr="00634DE4">
        <w:rPr>
          <w:rFonts w:cstheme="minorHAnsi"/>
          <w:color w:val="2A2A2A"/>
          <w:sz w:val="24"/>
          <w:szCs w:val="24"/>
          <w:shd w:val="clear" w:color="auto" w:fill="FFFFFF"/>
        </w:rPr>
        <w:t>Arabshahi</w:t>
      </w:r>
      <w:proofErr w:type="spellEnd"/>
      <w:r w:rsidRPr="00634DE4">
        <w:rPr>
          <w:rFonts w:cstheme="minorHAnsi"/>
          <w:color w:val="2A2A2A"/>
          <w:sz w:val="24"/>
          <w:szCs w:val="24"/>
          <w:shd w:val="clear" w:color="auto" w:fill="FFFFFF"/>
        </w:rPr>
        <w:t xml:space="preserve">, Asvini K </w:t>
      </w:r>
      <w:proofErr w:type="spellStart"/>
      <w:r w:rsidRPr="00634DE4">
        <w:rPr>
          <w:rFonts w:cstheme="minorHAnsi"/>
          <w:color w:val="2A2A2A"/>
          <w:sz w:val="24"/>
          <w:szCs w:val="24"/>
          <w:shd w:val="clear" w:color="auto" w:fill="FFFFFF"/>
        </w:rPr>
        <w:t>Subasinghe</w:t>
      </w:r>
      <w:proofErr w:type="spellEnd"/>
      <w:r w:rsidRPr="00634DE4">
        <w:rPr>
          <w:rFonts w:cstheme="minorHAnsi"/>
          <w:color w:val="2A2A2A"/>
          <w:sz w:val="24"/>
          <w:szCs w:val="24"/>
          <w:shd w:val="clear" w:color="auto" w:fill="FFFFFF"/>
        </w:rPr>
        <w:t>, Roger G Evans, Michaela A Riddell, Amanda G Thrift, Do the socioeconomic and hypertension gradients in rural populations of low- and middle-income countries differ by geographical region? A systematic review and meta-analysis, </w:t>
      </w:r>
      <w:r w:rsidRPr="00634DE4">
        <w:rPr>
          <w:rStyle w:val="Emphasis"/>
          <w:rFonts w:cstheme="minorHAnsi"/>
          <w:color w:val="2A2A2A"/>
          <w:sz w:val="24"/>
          <w:szCs w:val="24"/>
          <w:bdr w:val="none" w:sz="0" w:space="0" w:color="auto" w:frame="1"/>
          <w:shd w:val="clear" w:color="auto" w:fill="FFFFFF"/>
        </w:rPr>
        <w:t>International Journal of Epidemiology</w:t>
      </w:r>
      <w:r w:rsidRPr="00634DE4">
        <w:rPr>
          <w:rFonts w:cstheme="minorHAnsi"/>
          <w:color w:val="2A2A2A"/>
          <w:sz w:val="24"/>
          <w:szCs w:val="24"/>
          <w:shd w:val="clear" w:color="auto" w:fill="FFFFFF"/>
        </w:rPr>
        <w:t>, Volume 43, Issue 5, October 2014, Pages 1563–1577, </w:t>
      </w:r>
      <w:hyperlink r:id="rId10" w:history="1">
        <w:r w:rsidRPr="00634DE4">
          <w:rPr>
            <w:rStyle w:val="Hyperlink"/>
            <w:rFonts w:cstheme="minorHAnsi"/>
            <w:color w:val="006FB7"/>
            <w:sz w:val="24"/>
            <w:szCs w:val="24"/>
            <w:bdr w:val="none" w:sz="0" w:space="0" w:color="auto" w:frame="1"/>
            <w:shd w:val="clear" w:color="auto" w:fill="FFFFFF"/>
          </w:rPr>
          <w:t>https://doi.org/10.1093/ije/dyu112</w:t>
        </w:r>
      </w:hyperlink>
    </w:p>
    <w:p w14:paraId="1B5AED87" w14:textId="60195576" w:rsidR="002C464B" w:rsidRPr="00634DE4" w:rsidRDefault="008D00BF" w:rsidP="00425E76">
      <w:pPr>
        <w:rPr>
          <w:rFonts w:cstheme="minorHAnsi"/>
          <w:sz w:val="24"/>
          <w:szCs w:val="24"/>
        </w:rPr>
      </w:pPr>
      <w:r w:rsidRPr="00634DE4">
        <w:rPr>
          <w:rFonts w:cstheme="minorHAnsi"/>
          <w:color w:val="2A2A2A"/>
          <w:sz w:val="24"/>
          <w:szCs w:val="24"/>
          <w:shd w:val="clear" w:color="auto" w:fill="FFFFFF"/>
        </w:rPr>
        <w:t>Daron Acemoglu, Simon Johnson, James A. Robinson, Reversal of Fortune: Geography and Institutions in the Making of the Modern World Income Distribution, </w:t>
      </w:r>
      <w:r w:rsidRPr="00634DE4">
        <w:rPr>
          <w:rStyle w:val="Emphasis"/>
          <w:rFonts w:cstheme="minorHAnsi"/>
          <w:color w:val="2A2A2A"/>
          <w:sz w:val="24"/>
          <w:szCs w:val="24"/>
          <w:bdr w:val="none" w:sz="0" w:space="0" w:color="auto" w:frame="1"/>
          <w:shd w:val="clear" w:color="auto" w:fill="FFFFFF"/>
        </w:rPr>
        <w:t>The Quarterly Journal of Economics</w:t>
      </w:r>
      <w:r w:rsidRPr="00634DE4">
        <w:rPr>
          <w:rFonts w:cstheme="minorHAnsi"/>
          <w:color w:val="2A2A2A"/>
          <w:sz w:val="24"/>
          <w:szCs w:val="24"/>
          <w:shd w:val="clear" w:color="auto" w:fill="FFFFFF"/>
        </w:rPr>
        <w:t>, Volume 117, Issue 4, November 2002, Pages 1231–1294, </w:t>
      </w:r>
      <w:hyperlink r:id="rId11" w:history="1">
        <w:r w:rsidRPr="00634DE4">
          <w:rPr>
            <w:rStyle w:val="Hyperlink"/>
            <w:rFonts w:cstheme="minorHAnsi"/>
            <w:color w:val="006FB7"/>
            <w:sz w:val="24"/>
            <w:szCs w:val="24"/>
            <w:bdr w:val="none" w:sz="0" w:space="0" w:color="auto" w:frame="1"/>
            <w:shd w:val="clear" w:color="auto" w:fill="FFFFFF"/>
          </w:rPr>
          <w:t>https://doi.org/10.1162/003355302320935025</w:t>
        </w:r>
      </w:hyperlink>
    </w:p>
    <w:p w14:paraId="43EDD48E" w14:textId="3667C8B1" w:rsidR="008D00BF" w:rsidRPr="00634DE4" w:rsidRDefault="00605B22" w:rsidP="00605B22">
      <w:pPr>
        <w:rPr>
          <w:rFonts w:cstheme="minorHAnsi"/>
          <w:sz w:val="24"/>
          <w:szCs w:val="24"/>
          <w:shd w:val="clear" w:color="auto" w:fill="F5F5F5"/>
        </w:rPr>
      </w:pPr>
      <w:r w:rsidRPr="00634DE4">
        <w:rPr>
          <w:rFonts w:cstheme="minorHAnsi"/>
          <w:sz w:val="24"/>
          <w:szCs w:val="24"/>
          <w:shd w:val="clear" w:color="auto" w:fill="F5F5F5"/>
        </w:rPr>
        <w:t xml:space="preserve">E. Crenshaw, A. Ameen, The Distribution of Income Across National-Populations: Testing Multiple Paradigms, Social Science Research, Volume 23, Issue 1, 1994, Pages 1-22, ISSN 0049-089X, </w:t>
      </w:r>
      <w:hyperlink r:id="rId12" w:history="1">
        <w:r w:rsidRPr="00634DE4">
          <w:rPr>
            <w:rStyle w:val="Hyperlink"/>
            <w:rFonts w:cstheme="minorHAnsi"/>
            <w:sz w:val="24"/>
            <w:szCs w:val="24"/>
            <w:shd w:val="clear" w:color="auto" w:fill="F5F5F5"/>
          </w:rPr>
          <w:t>https://doi.org/10.1006/ssre.1994.1001</w:t>
        </w:r>
      </w:hyperlink>
      <w:r w:rsidRPr="00634DE4">
        <w:rPr>
          <w:rFonts w:cstheme="minorHAnsi"/>
          <w:sz w:val="24"/>
          <w:szCs w:val="24"/>
          <w:shd w:val="clear" w:color="auto" w:fill="F5F5F5"/>
        </w:rPr>
        <w:t>.</w:t>
      </w:r>
    </w:p>
    <w:p w14:paraId="50EE59ED" w14:textId="2DBC31D1" w:rsidR="00877043" w:rsidRPr="00634DE4" w:rsidRDefault="00A92889" w:rsidP="00605B22">
      <w:pPr>
        <w:rPr>
          <w:rStyle w:val="Hyperlink"/>
          <w:rFonts w:cstheme="minorHAnsi"/>
          <w:color w:val="006ACC"/>
          <w:sz w:val="24"/>
          <w:szCs w:val="24"/>
          <w:shd w:val="clear" w:color="auto" w:fill="FFFFFF"/>
        </w:rPr>
      </w:pPr>
      <w:r w:rsidRPr="00634DE4">
        <w:rPr>
          <w:rFonts w:cstheme="minorHAnsi"/>
          <w:color w:val="333333"/>
          <w:sz w:val="24"/>
          <w:szCs w:val="24"/>
          <w:shd w:val="clear" w:color="auto" w:fill="FFFFFF"/>
        </w:rPr>
        <w:t>Gallup, J. L., Sachs, J. D., &amp; Mellinger, A. D. (1999). Geography and Economic Development. </w:t>
      </w:r>
      <w:r w:rsidRPr="00634DE4">
        <w:rPr>
          <w:rFonts w:cstheme="minorHAnsi"/>
          <w:i/>
          <w:iCs/>
          <w:color w:val="333333"/>
          <w:sz w:val="24"/>
          <w:szCs w:val="24"/>
          <w:shd w:val="clear" w:color="auto" w:fill="FFFFFF"/>
        </w:rPr>
        <w:t>International Regional Science Review</w:t>
      </w:r>
      <w:r w:rsidRPr="00634DE4">
        <w:rPr>
          <w:rFonts w:cstheme="minorHAnsi"/>
          <w:color w:val="333333"/>
          <w:sz w:val="24"/>
          <w:szCs w:val="24"/>
          <w:shd w:val="clear" w:color="auto" w:fill="FFFFFF"/>
        </w:rPr>
        <w:t>, </w:t>
      </w:r>
      <w:r w:rsidRPr="00634DE4">
        <w:rPr>
          <w:rFonts w:cstheme="minorHAnsi"/>
          <w:i/>
          <w:iCs/>
          <w:color w:val="333333"/>
          <w:sz w:val="24"/>
          <w:szCs w:val="24"/>
          <w:shd w:val="clear" w:color="auto" w:fill="FFFFFF"/>
        </w:rPr>
        <w:t>22</w:t>
      </w:r>
      <w:r w:rsidRPr="00634DE4">
        <w:rPr>
          <w:rFonts w:cstheme="minorHAnsi"/>
          <w:color w:val="333333"/>
          <w:sz w:val="24"/>
          <w:szCs w:val="24"/>
          <w:shd w:val="clear" w:color="auto" w:fill="FFFFFF"/>
        </w:rPr>
        <w:t>(2), 179–232. </w:t>
      </w:r>
      <w:hyperlink r:id="rId13" w:history="1">
        <w:r w:rsidRPr="00634DE4">
          <w:rPr>
            <w:rStyle w:val="Hyperlink"/>
            <w:rFonts w:cstheme="minorHAnsi"/>
            <w:color w:val="006ACC"/>
            <w:sz w:val="24"/>
            <w:szCs w:val="24"/>
            <w:shd w:val="clear" w:color="auto" w:fill="FFFFFF"/>
          </w:rPr>
          <w:t>https://doi.org/10.1177/016001799761012334</w:t>
        </w:r>
      </w:hyperlink>
    </w:p>
    <w:p w14:paraId="16300594" w14:textId="10BFEE60" w:rsidR="003A04A6" w:rsidRPr="00634DE4" w:rsidRDefault="00FF649F" w:rsidP="00605B22">
      <w:pPr>
        <w:rPr>
          <w:rFonts w:cstheme="minorHAnsi"/>
          <w:color w:val="333333"/>
          <w:sz w:val="24"/>
          <w:szCs w:val="24"/>
          <w:shd w:val="clear" w:color="auto" w:fill="FCFCFC"/>
        </w:rPr>
      </w:pPr>
      <w:r w:rsidRPr="00634DE4">
        <w:rPr>
          <w:rFonts w:cstheme="minorHAnsi"/>
          <w:color w:val="222222"/>
          <w:sz w:val="24"/>
          <w:szCs w:val="24"/>
          <w:shd w:val="clear" w:color="auto" w:fill="FFFFFF"/>
        </w:rPr>
        <w:t xml:space="preserve">Iverson, L. R., &amp; Cook, E. A. (2000). Urban forest </w:t>
      </w:r>
      <w:proofErr w:type="gramStart"/>
      <w:r w:rsidRPr="00634DE4">
        <w:rPr>
          <w:rFonts w:cstheme="minorHAnsi"/>
          <w:color w:val="222222"/>
          <w:sz w:val="24"/>
          <w:szCs w:val="24"/>
          <w:shd w:val="clear" w:color="auto" w:fill="FFFFFF"/>
        </w:rPr>
        <w:t>cover of</w:t>
      </w:r>
      <w:proofErr w:type="gramEnd"/>
      <w:r w:rsidRPr="00634DE4">
        <w:rPr>
          <w:rFonts w:cstheme="minorHAnsi"/>
          <w:color w:val="222222"/>
          <w:sz w:val="24"/>
          <w:szCs w:val="24"/>
          <w:shd w:val="clear" w:color="auto" w:fill="FFFFFF"/>
        </w:rPr>
        <w:t xml:space="preserve"> the Chicago region and its relation to household density and income. </w:t>
      </w:r>
      <w:r w:rsidRPr="00634DE4">
        <w:rPr>
          <w:rFonts w:cstheme="minorHAnsi"/>
          <w:i/>
          <w:iCs/>
          <w:color w:val="222222"/>
          <w:sz w:val="24"/>
          <w:szCs w:val="24"/>
          <w:shd w:val="clear" w:color="auto" w:fill="FFFFFF"/>
        </w:rPr>
        <w:t>Urban Ecosystems</w:t>
      </w:r>
      <w:r w:rsidRPr="00634DE4">
        <w:rPr>
          <w:rFonts w:cstheme="minorHAnsi"/>
          <w:color w:val="222222"/>
          <w:sz w:val="24"/>
          <w:szCs w:val="24"/>
          <w:shd w:val="clear" w:color="auto" w:fill="FFFFFF"/>
        </w:rPr>
        <w:t>, </w:t>
      </w:r>
      <w:r w:rsidRPr="00634DE4">
        <w:rPr>
          <w:rFonts w:cstheme="minorHAnsi"/>
          <w:i/>
          <w:iCs/>
          <w:color w:val="222222"/>
          <w:sz w:val="24"/>
          <w:szCs w:val="24"/>
          <w:shd w:val="clear" w:color="auto" w:fill="FFFFFF"/>
        </w:rPr>
        <w:t>4</w:t>
      </w:r>
      <w:r w:rsidRPr="00634DE4">
        <w:rPr>
          <w:rFonts w:cstheme="minorHAnsi"/>
          <w:color w:val="222222"/>
          <w:sz w:val="24"/>
          <w:szCs w:val="24"/>
          <w:shd w:val="clear" w:color="auto" w:fill="FFFFFF"/>
        </w:rPr>
        <w:t>, 105-124.</w:t>
      </w:r>
      <w:r w:rsidR="00685CBC" w:rsidRPr="00634DE4">
        <w:rPr>
          <w:rFonts w:cstheme="minorHAnsi"/>
          <w:color w:val="222222"/>
          <w:sz w:val="24"/>
          <w:szCs w:val="24"/>
          <w:shd w:val="clear" w:color="auto" w:fill="FFFFFF"/>
        </w:rPr>
        <w:t xml:space="preserve"> </w:t>
      </w:r>
      <w:hyperlink r:id="rId14" w:history="1">
        <w:r w:rsidR="00685CBC" w:rsidRPr="00634DE4">
          <w:rPr>
            <w:rStyle w:val="Hyperlink"/>
            <w:rFonts w:cstheme="minorHAnsi"/>
            <w:sz w:val="24"/>
            <w:szCs w:val="24"/>
            <w:shd w:val="clear" w:color="auto" w:fill="FCFCFC"/>
          </w:rPr>
          <w:t>https://doi.org/10.1023/A:1011307327314</w:t>
        </w:r>
      </w:hyperlink>
    </w:p>
    <w:p w14:paraId="173D9D8E" w14:textId="112FF97D" w:rsidR="00187C31" w:rsidRPr="00634DE4" w:rsidRDefault="00FC339A" w:rsidP="00605B22">
      <w:pPr>
        <w:rPr>
          <w:rFonts w:cstheme="minorHAnsi"/>
          <w:color w:val="222222"/>
          <w:sz w:val="24"/>
          <w:szCs w:val="24"/>
          <w:shd w:val="clear" w:color="auto" w:fill="FFFFFF"/>
        </w:rPr>
      </w:pPr>
      <w:proofErr w:type="spellStart"/>
      <w:r w:rsidRPr="00634DE4">
        <w:rPr>
          <w:rFonts w:cstheme="minorHAnsi"/>
          <w:color w:val="222222"/>
          <w:sz w:val="24"/>
          <w:szCs w:val="24"/>
          <w:shd w:val="clear" w:color="auto" w:fill="FFFFFF"/>
        </w:rPr>
        <w:t>Sylwester</w:t>
      </w:r>
      <w:proofErr w:type="spellEnd"/>
      <w:r w:rsidRPr="00634DE4">
        <w:rPr>
          <w:rFonts w:cstheme="minorHAnsi"/>
          <w:color w:val="222222"/>
          <w:sz w:val="24"/>
          <w:szCs w:val="24"/>
          <w:shd w:val="clear" w:color="auto" w:fill="FFFFFF"/>
        </w:rPr>
        <w:t>, K. (2003). Income inequality and population density 1500 AD: a connection. </w:t>
      </w:r>
      <w:r w:rsidRPr="00634DE4">
        <w:rPr>
          <w:rFonts w:cstheme="minorHAnsi"/>
          <w:i/>
          <w:iCs/>
          <w:color w:val="222222"/>
          <w:sz w:val="24"/>
          <w:szCs w:val="24"/>
          <w:shd w:val="clear" w:color="auto" w:fill="FFFFFF"/>
        </w:rPr>
        <w:t>Journal of Economic Development</w:t>
      </w:r>
      <w:r w:rsidRPr="00634DE4">
        <w:rPr>
          <w:rFonts w:cstheme="minorHAnsi"/>
          <w:color w:val="222222"/>
          <w:sz w:val="24"/>
          <w:szCs w:val="24"/>
          <w:shd w:val="clear" w:color="auto" w:fill="FFFFFF"/>
        </w:rPr>
        <w:t>, </w:t>
      </w:r>
      <w:r w:rsidRPr="00634DE4">
        <w:rPr>
          <w:rFonts w:cstheme="minorHAnsi"/>
          <w:i/>
          <w:iCs/>
          <w:color w:val="222222"/>
          <w:sz w:val="24"/>
          <w:szCs w:val="24"/>
          <w:shd w:val="clear" w:color="auto" w:fill="FFFFFF"/>
        </w:rPr>
        <w:t>28</w:t>
      </w:r>
      <w:r w:rsidRPr="00634DE4">
        <w:rPr>
          <w:rFonts w:cstheme="minorHAnsi"/>
          <w:color w:val="222222"/>
          <w:sz w:val="24"/>
          <w:szCs w:val="24"/>
          <w:shd w:val="clear" w:color="auto" w:fill="FFFFFF"/>
        </w:rPr>
        <w:t>(2), 61-82.</w:t>
      </w:r>
      <w:r w:rsidR="00187C31">
        <w:rPr>
          <w:rFonts w:cstheme="minorHAnsi"/>
          <w:color w:val="222222"/>
          <w:sz w:val="24"/>
          <w:szCs w:val="24"/>
          <w:shd w:val="clear" w:color="auto" w:fill="FFFFFF"/>
        </w:rPr>
        <w:t xml:space="preserve"> </w:t>
      </w:r>
      <w:hyperlink r:id="rId15" w:history="1">
        <w:r w:rsidR="00187C31" w:rsidRPr="008A13CC">
          <w:rPr>
            <w:rStyle w:val="Hyperlink"/>
            <w:rFonts w:cstheme="minorHAnsi"/>
            <w:sz w:val="24"/>
            <w:szCs w:val="24"/>
            <w:shd w:val="clear" w:color="auto" w:fill="FFFFFF"/>
          </w:rPr>
          <w:t>https://core.ac.uk/download/pdf/6294577.pdf</w:t>
        </w:r>
      </w:hyperlink>
    </w:p>
    <w:p w14:paraId="56A3EB80" w14:textId="5BB78772" w:rsidR="00FC339A" w:rsidRPr="009702F3" w:rsidRDefault="00013C28" w:rsidP="00605B22">
      <w:pPr>
        <w:rPr>
          <w:rFonts w:cstheme="minorHAnsi"/>
          <w:color w:val="222222"/>
          <w:sz w:val="24"/>
          <w:szCs w:val="24"/>
          <w:shd w:val="clear" w:color="auto" w:fill="FFFFFF"/>
        </w:rPr>
      </w:pPr>
      <w:r w:rsidRPr="009702F3">
        <w:rPr>
          <w:rFonts w:cstheme="minorHAnsi"/>
          <w:color w:val="222222"/>
          <w:sz w:val="24"/>
          <w:szCs w:val="24"/>
          <w:shd w:val="clear" w:color="auto" w:fill="FFFFFF"/>
        </w:rPr>
        <w:t>Sato, Y. (2007). Economic geography, fertility and migration. </w:t>
      </w:r>
      <w:r w:rsidRPr="009702F3">
        <w:rPr>
          <w:rFonts w:cstheme="minorHAnsi"/>
          <w:i/>
          <w:iCs/>
          <w:color w:val="222222"/>
          <w:sz w:val="24"/>
          <w:szCs w:val="24"/>
          <w:shd w:val="clear" w:color="auto" w:fill="FFFFFF"/>
        </w:rPr>
        <w:t>Journal of Urban Economics</w:t>
      </w:r>
      <w:r w:rsidRPr="009702F3">
        <w:rPr>
          <w:rFonts w:cstheme="minorHAnsi"/>
          <w:color w:val="222222"/>
          <w:sz w:val="24"/>
          <w:szCs w:val="24"/>
          <w:shd w:val="clear" w:color="auto" w:fill="FFFFFF"/>
        </w:rPr>
        <w:t>, </w:t>
      </w:r>
      <w:r w:rsidRPr="009702F3">
        <w:rPr>
          <w:rFonts w:cstheme="minorHAnsi"/>
          <w:i/>
          <w:iCs/>
          <w:color w:val="222222"/>
          <w:sz w:val="24"/>
          <w:szCs w:val="24"/>
          <w:shd w:val="clear" w:color="auto" w:fill="FFFFFF"/>
        </w:rPr>
        <w:t>61</w:t>
      </w:r>
      <w:r w:rsidRPr="009702F3">
        <w:rPr>
          <w:rFonts w:cstheme="minorHAnsi"/>
          <w:color w:val="222222"/>
          <w:sz w:val="24"/>
          <w:szCs w:val="24"/>
          <w:shd w:val="clear" w:color="auto" w:fill="FFFFFF"/>
        </w:rPr>
        <w:t>(2), 372-387.</w:t>
      </w:r>
      <w:r w:rsidR="00B0140A" w:rsidRPr="009702F3">
        <w:rPr>
          <w:rFonts w:cstheme="minorHAnsi"/>
          <w:color w:val="222222"/>
          <w:sz w:val="24"/>
          <w:szCs w:val="24"/>
          <w:shd w:val="clear" w:color="auto" w:fill="FFFFFF"/>
        </w:rPr>
        <w:t xml:space="preserve"> </w:t>
      </w:r>
      <w:hyperlink r:id="rId16" w:history="1">
        <w:r w:rsidR="00B0140A" w:rsidRPr="009702F3">
          <w:rPr>
            <w:rStyle w:val="Hyperlink"/>
            <w:rFonts w:cstheme="minorHAnsi"/>
            <w:sz w:val="24"/>
            <w:szCs w:val="24"/>
            <w:shd w:val="clear" w:color="auto" w:fill="FFFFFF"/>
          </w:rPr>
          <w:t>https://doi.org/10.1016/j.jue.2006.08.002</w:t>
        </w:r>
      </w:hyperlink>
    </w:p>
    <w:p w14:paraId="44729FB8" w14:textId="7FC5D283" w:rsidR="00B0140A" w:rsidRPr="009702F3" w:rsidRDefault="005F5008" w:rsidP="00605B22">
      <w:pPr>
        <w:rPr>
          <w:rFonts w:cstheme="minorHAnsi"/>
          <w:color w:val="222222"/>
          <w:sz w:val="24"/>
          <w:szCs w:val="24"/>
          <w:shd w:val="clear" w:color="auto" w:fill="FFFFFF"/>
        </w:rPr>
      </w:pPr>
      <w:r w:rsidRPr="009702F3">
        <w:rPr>
          <w:rFonts w:cstheme="minorHAnsi"/>
          <w:color w:val="222222"/>
          <w:sz w:val="24"/>
          <w:szCs w:val="24"/>
          <w:shd w:val="clear" w:color="auto" w:fill="FFFFFF"/>
        </w:rPr>
        <w:t xml:space="preserve">Nieves, J. J., Stevens, F. R., </w:t>
      </w:r>
      <w:proofErr w:type="spellStart"/>
      <w:r w:rsidRPr="009702F3">
        <w:rPr>
          <w:rFonts w:cstheme="minorHAnsi"/>
          <w:color w:val="222222"/>
          <w:sz w:val="24"/>
          <w:szCs w:val="24"/>
          <w:shd w:val="clear" w:color="auto" w:fill="FFFFFF"/>
        </w:rPr>
        <w:t>Gaughan</w:t>
      </w:r>
      <w:proofErr w:type="spellEnd"/>
      <w:r w:rsidRPr="009702F3">
        <w:rPr>
          <w:rFonts w:cstheme="minorHAnsi"/>
          <w:color w:val="222222"/>
          <w:sz w:val="24"/>
          <w:szCs w:val="24"/>
          <w:shd w:val="clear" w:color="auto" w:fill="FFFFFF"/>
        </w:rPr>
        <w:t xml:space="preserve">, A. E., </w:t>
      </w:r>
      <w:proofErr w:type="spellStart"/>
      <w:r w:rsidRPr="009702F3">
        <w:rPr>
          <w:rFonts w:cstheme="minorHAnsi"/>
          <w:color w:val="222222"/>
          <w:sz w:val="24"/>
          <w:szCs w:val="24"/>
          <w:shd w:val="clear" w:color="auto" w:fill="FFFFFF"/>
        </w:rPr>
        <w:t>Linard</w:t>
      </w:r>
      <w:proofErr w:type="spellEnd"/>
      <w:r w:rsidRPr="009702F3">
        <w:rPr>
          <w:rFonts w:cstheme="minorHAnsi"/>
          <w:color w:val="222222"/>
          <w:sz w:val="24"/>
          <w:szCs w:val="24"/>
          <w:shd w:val="clear" w:color="auto" w:fill="FFFFFF"/>
        </w:rPr>
        <w:t xml:space="preserve">, C., </w:t>
      </w:r>
      <w:proofErr w:type="spellStart"/>
      <w:r w:rsidRPr="009702F3">
        <w:rPr>
          <w:rFonts w:cstheme="minorHAnsi"/>
          <w:color w:val="222222"/>
          <w:sz w:val="24"/>
          <w:szCs w:val="24"/>
          <w:shd w:val="clear" w:color="auto" w:fill="FFFFFF"/>
        </w:rPr>
        <w:t>Sorichetta</w:t>
      </w:r>
      <w:proofErr w:type="spellEnd"/>
      <w:r w:rsidRPr="009702F3">
        <w:rPr>
          <w:rFonts w:cstheme="minorHAnsi"/>
          <w:color w:val="222222"/>
          <w:sz w:val="24"/>
          <w:szCs w:val="24"/>
          <w:shd w:val="clear" w:color="auto" w:fill="FFFFFF"/>
        </w:rPr>
        <w:t xml:space="preserve">, A., Hornby, G., ... &amp; </w:t>
      </w:r>
      <w:proofErr w:type="spellStart"/>
      <w:r w:rsidRPr="009702F3">
        <w:rPr>
          <w:rFonts w:cstheme="minorHAnsi"/>
          <w:color w:val="222222"/>
          <w:sz w:val="24"/>
          <w:szCs w:val="24"/>
          <w:shd w:val="clear" w:color="auto" w:fill="FFFFFF"/>
        </w:rPr>
        <w:t>Tatem</w:t>
      </w:r>
      <w:proofErr w:type="spellEnd"/>
      <w:r w:rsidRPr="009702F3">
        <w:rPr>
          <w:rFonts w:cstheme="minorHAnsi"/>
          <w:color w:val="222222"/>
          <w:sz w:val="24"/>
          <w:szCs w:val="24"/>
          <w:shd w:val="clear" w:color="auto" w:fill="FFFFFF"/>
        </w:rPr>
        <w:t>, A. J. (2017). Examining the correlates and drivers of human population distributions across low-and middle-income countries. </w:t>
      </w:r>
      <w:r w:rsidRPr="009702F3">
        <w:rPr>
          <w:rFonts w:cstheme="minorHAnsi"/>
          <w:i/>
          <w:iCs/>
          <w:color w:val="222222"/>
          <w:sz w:val="24"/>
          <w:szCs w:val="24"/>
          <w:shd w:val="clear" w:color="auto" w:fill="FFFFFF"/>
        </w:rPr>
        <w:t>Journal of the Royal Society interface</w:t>
      </w:r>
      <w:r w:rsidRPr="009702F3">
        <w:rPr>
          <w:rFonts w:cstheme="minorHAnsi"/>
          <w:color w:val="222222"/>
          <w:sz w:val="24"/>
          <w:szCs w:val="24"/>
          <w:shd w:val="clear" w:color="auto" w:fill="FFFFFF"/>
        </w:rPr>
        <w:t>, </w:t>
      </w:r>
      <w:r w:rsidRPr="009702F3">
        <w:rPr>
          <w:rFonts w:cstheme="minorHAnsi"/>
          <w:i/>
          <w:iCs/>
          <w:color w:val="222222"/>
          <w:sz w:val="24"/>
          <w:szCs w:val="24"/>
          <w:shd w:val="clear" w:color="auto" w:fill="FFFFFF"/>
        </w:rPr>
        <w:t>14</w:t>
      </w:r>
      <w:r w:rsidRPr="009702F3">
        <w:rPr>
          <w:rFonts w:cstheme="minorHAnsi"/>
          <w:color w:val="222222"/>
          <w:sz w:val="24"/>
          <w:szCs w:val="24"/>
          <w:shd w:val="clear" w:color="auto" w:fill="FFFFFF"/>
        </w:rPr>
        <w:t>(137), 20170401.</w:t>
      </w:r>
      <w:r w:rsidR="0035193B" w:rsidRPr="009702F3">
        <w:rPr>
          <w:rFonts w:cstheme="minorHAnsi"/>
          <w:color w:val="222222"/>
          <w:sz w:val="24"/>
          <w:szCs w:val="24"/>
          <w:shd w:val="clear" w:color="auto" w:fill="FFFFFF"/>
        </w:rPr>
        <w:t xml:space="preserve"> </w:t>
      </w:r>
      <w:hyperlink r:id="rId17" w:history="1">
        <w:r w:rsidR="0035193B" w:rsidRPr="009702F3">
          <w:rPr>
            <w:rStyle w:val="Hyperlink"/>
            <w:rFonts w:cstheme="minorHAnsi"/>
            <w:sz w:val="24"/>
            <w:szCs w:val="24"/>
            <w:shd w:val="clear" w:color="auto" w:fill="FFFFFF"/>
          </w:rPr>
          <w:t>https://doi.org/10.1098/rsif.2017.0401</w:t>
        </w:r>
      </w:hyperlink>
    </w:p>
    <w:p w14:paraId="6A94C749" w14:textId="7A14AA8A" w:rsidR="0035193B" w:rsidRPr="009702F3" w:rsidRDefault="00643CB1" w:rsidP="00605B22">
      <w:pPr>
        <w:rPr>
          <w:rFonts w:cstheme="minorHAnsi"/>
          <w:color w:val="222222"/>
          <w:sz w:val="24"/>
          <w:szCs w:val="24"/>
          <w:shd w:val="clear" w:color="auto" w:fill="FFFFFF"/>
        </w:rPr>
      </w:pPr>
      <w:r w:rsidRPr="009702F3">
        <w:rPr>
          <w:rFonts w:cstheme="minorHAnsi"/>
          <w:color w:val="222222"/>
          <w:sz w:val="24"/>
          <w:szCs w:val="24"/>
          <w:shd w:val="clear" w:color="auto" w:fill="FFFFFF"/>
        </w:rPr>
        <w:t>Yegorov, Y. (2009). Socio-economic influences of population density. </w:t>
      </w:r>
      <w:r w:rsidRPr="009702F3">
        <w:rPr>
          <w:rFonts w:cstheme="minorHAnsi"/>
          <w:i/>
          <w:iCs/>
          <w:color w:val="222222"/>
          <w:sz w:val="24"/>
          <w:szCs w:val="24"/>
          <w:shd w:val="clear" w:color="auto" w:fill="FFFFFF"/>
        </w:rPr>
        <w:t>Chinese Business Review</w:t>
      </w:r>
      <w:r w:rsidRPr="009702F3">
        <w:rPr>
          <w:rFonts w:cstheme="minorHAnsi"/>
          <w:color w:val="222222"/>
          <w:sz w:val="24"/>
          <w:szCs w:val="24"/>
          <w:shd w:val="clear" w:color="auto" w:fill="FFFFFF"/>
        </w:rPr>
        <w:t>, </w:t>
      </w:r>
      <w:r w:rsidRPr="009702F3">
        <w:rPr>
          <w:rFonts w:cstheme="minorHAnsi"/>
          <w:i/>
          <w:iCs/>
          <w:color w:val="222222"/>
          <w:sz w:val="24"/>
          <w:szCs w:val="24"/>
          <w:shd w:val="clear" w:color="auto" w:fill="FFFFFF"/>
        </w:rPr>
        <w:t>8</w:t>
      </w:r>
      <w:r w:rsidRPr="009702F3">
        <w:rPr>
          <w:rFonts w:cstheme="minorHAnsi"/>
          <w:color w:val="222222"/>
          <w:sz w:val="24"/>
          <w:szCs w:val="24"/>
          <w:shd w:val="clear" w:color="auto" w:fill="FFFFFF"/>
        </w:rPr>
        <w:t xml:space="preserve">(7), 1-12. </w:t>
      </w:r>
      <w:hyperlink r:id="rId18" w:history="1">
        <w:r w:rsidR="009702F3" w:rsidRPr="009702F3">
          <w:rPr>
            <w:rStyle w:val="Hyperlink"/>
            <w:rFonts w:cstheme="minorHAnsi"/>
            <w:sz w:val="24"/>
            <w:szCs w:val="24"/>
            <w:shd w:val="clear" w:color="auto" w:fill="FFFFFF"/>
          </w:rPr>
          <w:t>https://www.researchgate.net/profile/Yuri-Yegorov/publication/271497718_Socio-economic_influences_of_population_density/links/56716ccd08aececfd5553152/Socio-economic-influences-of-population-density.pdf</w:t>
        </w:r>
      </w:hyperlink>
    </w:p>
    <w:p w14:paraId="78648C54" w14:textId="77777777" w:rsidR="009702F3" w:rsidRPr="009702F3" w:rsidRDefault="009702F3" w:rsidP="00605B22">
      <w:pPr>
        <w:rPr>
          <w:rFonts w:cstheme="minorHAnsi"/>
          <w:sz w:val="24"/>
          <w:szCs w:val="24"/>
          <w:shd w:val="clear" w:color="auto" w:fill="F5F5F5"/>
        </w:rPr>
      </w:pPr>
    </w:p>
    <w:p w14:paraId="6079F021" w14:textId="77777777" w:rsidR="00605B22" w:rsidRPr="00425E76" w:rsidRDefault="00605B22" w:rsidP="00605B22">
      <w:pPr>
        <w:rPr>
          <w:rFonts w:ascii="Helvetica" w:hAnsi="Helvetica" w:cs="Helvetica"/>
          <w:sz w:val="20"/>
          <w:szCs w:val="20"/>
          <w:shd w:val="clear" w:color="auto" w:fill="F5F5F5"/>
        </w:rPr>
      </w:pPr>
    </w:p>
    <w:p w14:paraId="08A03530" w14:textId="77777777" w:rsidR="00425E76" w:rsidRDefault="00425E76" w:rsidP="0006116B">
      <w:pPr>
        <w:rPr>
          <w:sz w:val="24"/>
          <w:szCs w:val="24"/>
        </w:rPr>
      </w:pPr>
    </w:p>
    <w:p w14:paraId="47FEEE01" w14:textId="77777777" w:rsidR="0006116B" w:rsidRPr="0006116B" w:rsidRDefault="0006116B" w:rsidP="0006116B">
      <w:pPr>
        <w:rPr>
          <w:sz w:val="24"/>
          <w:szCs w:val="24"/>
        </w:rPr>
      </w:pPr>
    </w:p>
    <w:sectPr w:rsidR="0006116B" w:rsidRPr="0006116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BA956" w14:textId="77777777" w:rsidR="0031148B" w:rsidRDefault="0031148B" w:rsidP="0006116B">
      <w:pPr>
        <w:spacing w:after="0" w:line="240" w:lineRule="auto"/>
      </w:pPr>
      <w:r>
        <w:separator/>
      </w:r>
    </w:p>
  </w:endnote>
  <w:endnote w:type="continuationSeparator" w:id="0">
    <w:p w14:paraId="448D7371" w14:textId="77777777" w:rsidR="0031148B" w:rsidRDefault="0031148B" w:rsidP="0006116B">
      <w:pPr>
        <w:spacing w:after="0" w:line="240" w:lineRule="auto"/>
      </w:pPr>
      <w:r>
        <w:continuationSeparator/>
      </w:r>
    </w:p>
  </w:endnote>
  <w:endnote w:type="continuationNotice" w:id="1">
    <w:p w14:paraId="70A6987A" w14:textId="77777777" w:rsidR="0031148B" w:rsidRDefault="003114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0F9D9" w14:textId="77777777" w:rsidR="0031148B" w:rsidRDefault="0031148B" w:rsidP="0006116B">
      <w:pPr>
        <w:spacing w:after="0" w:line="240" w:lineRule="auto"/>
      </w:pPr>
      <w:r>
        <w:separator/>
      </w:r>
    </w:p>
  </w:footnote>
  <w:footnote w:type="continuationSeparator" w:id="0">
    <w:p w14:paraId="4826E92C" w14:textId="77777777" w:rsidR="0031148B" w:rsidRDefault="0031148B" w:rsidP="0006116B">
      <w:pPr>
        <w:spacing w:after="0" w:line="240" w:lineRule="auto"/>
      </w:pPr>
      <w:r>
        <w:continuationSeparator/>
      </w:r>
    </w:p>
  </w:footnote>
  <w:footnote w:type="continuationNotice" w:id="1">
    <w:p w14:paraId="0A02006F" w14:textId="77777777" w:rsidR="0031148B" w:rsidRDefault="003114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D6509" w14:textId="56E9932B" w:rsidR="0006116B" w:rsidRPr="0006116B" w:rsidRDefault="009E3D08" w:rsidP="009E3D08">
    <w:pPr>
      <w:pStyle w:val="Header"/>
      <w:tabs>
        <w:tab w:val="clear" w:pos="4680"/>
        <w:tab w:val="left" w:pos="510"/>
      </w:tabs>
      <w:rPr>
        <w:sz w:val="24"/>
        <w:szCs w:val="24"/>
      </w:rPr>
    </w:pPr>
    <w:r>
      <w:rPr>
        <w:sz w:val="24"/>
        <w:szCs w:val="24"/>
      </w:rPr>
      <w:tab/>
    </w:r>
    <w:r>
      <w:rPr>
        <w:sz w:val="24"/>
        <w:szCs w:val="24"/>
      </w:rPr>
      <w:tab/>
    </w:r>
    <w:r w:rsidR="0006116B" w:rsidRPr="0006116B">
      <w:rPr>
        <w:sz w:val="24"/>
        <w:szCs w:val="24"/>
      </w:rPr>
      <w:t xml:space="preserve">Abbott </w:t>
    </w:r>
    <w:r w:rsidR="0006116B" w:rsidRPr="0006116B">
      <w:rPr>
        <w:sz w:val="24"/>
        <w:szCs w:val="24"/>
      </w:rPr>
      <w:fldChar w:fldCharType="begin"/>
    </w:r>
    <w:r w:rsidR="0006116B" w:rsidRPr="0006116B">
      <w:rPr>
        <w:sz w:val="24"/>
        <w:szCs w:val="24"/>
      </w:rPr>
      <w:instrText xml:space="preserve"> PAGE   \* MERGEFORMAT </w:instrText>
    </w:r>
    <w:r w:rsidR="0006116B" w:rsidRPr="0006116B">
      <w:rPr>
        <w:sz w:val="24"/>
        <w:szCs w:val="24"/>
      </w:rPr>
      <w:fldChar w:fldCharType="separate"/>
    </w:r>
    <w:r w:rsidR="0006116B" w:rsidRPr="0006116B">
      <w:rPr>
        <w:noProof/>
        <w:sz w:val="24"/>
        <w:szCs w:val="24"/>
      </w:rPr>
      <w:t>2</w:t>
    </w:r>
    <w:r w:rsidR="0006116B" w:rsidRPr="0006116B">
      <w:rPr>
        <w:sz w:val="24"/>
        <w:szCs w:val="24"/>
      </w:rPr>
      <w:fldChar w:fldCharType="end"/>
    </w:r>
  </w:p>
  <w:p w14:paraId="3069C2EB" w14:textId="77777777" w:rsidR="0006116B" w:rsidRDefault="000611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027C"/>
    <w:multiLevelType w:val="hybridMultilevel"/>
    <w:tmpl w:val="0A72368A"/>
    <w:lvl w:ilvl="0" w:tplc="A1945380">
      <w:start w:val="1"/>
      <w:numFmt w:val="bullet"/>
      <w:lvlText w:val="•"/>
      <w:lvlJc w:val="left"/>
      <w:pPr>
        <w:tabs>
          <w:tab w:val="num" w:pos="720"/>
        </w:tabs>
        <w:ind w:left="720" w:hanging="360"/>
      </w:pPr>
      <w:rPr>
        <w:rFonts w:ascii="Arial" w:hAnsi="Arial" w:hint="default"/>
      </w:rPr>
    </w:lvl>
    <w:lvl w:ilvl="1" w:tplc="E07C9396">
      <w:numFmt w:val="bullet"/>
      <w:lvlText w:val="•"/>
      <w:lvlJc w:val="left"/>
      <w:pPr>
        <w:tabs>
          <w:tab w:val="num" w:pos="1440"/>
        </w:tabs>
        <w:ind w:left="1440" w:hanging="360"/>
      </w:pPr>
      <w:rPr>
        <w:rFonts w:ascii="Arial" w:hAnsi="Arial" w:hint="default"/>
      </w:rPr>
    </w:lvl>
    <w:lvl w:ilvl="2" w:tplc="606C74DA" w:tentative="1">
      <w:start w:val="1"/>
      <w:numFmt w:val="bullet"/>
      <w:lvlText w:val="•"/>
      <w:lvlJc w:val="left"/>
      <w:pPr>
        <w:tabs>
          <w:tab w:val="num" w:pos="2160"/>
        </w:tabs>
        <w:ind w:left="2160" w:hanging="360"/>
      </w:pPr>
      <w:rPr>
        <w:rFonts w:ascii="Arial" w:hAnsi="Arial" w:hint="default"/>
      </w:rPr>
    </w:lvl>
    <w:lvl w:ilvl="3" w:tplc="570AA89A" w:tentative="1">
      <w:start w:val="1"/>
      <w:numFmt w:val="bullet"/>
      <w:lvlText w:val="•"/>
      <w:lvlJc w:val="left"/>
      <w:pPr>
        <w:tabs>
          <w:tab w:val="num" w:pos="2880"/>
        </w:tabs>
        <w:ind w:left="2880" w:hanging="360"/>
      </w:pPr>
      <w:rPr>
        <w:rFonts w:ascii="Arial" w:hAnsi="Arial" w:hint="default"/>
      </w:rPr>
    </w:lvl>
    <w:lvl w:ilvl="4" w:tplc="C8BC6E04" w:tentative="1">
      <w:start w:val="1"/>
      <w:numFmt w:val="bullet"/>
      <w:lvlText w:val="•"/>
      <w:lvlJc w:val="left"/>
      <w:pPr>
        <w:tabs>
          <w:tab w:val="num" w:pos="3600"/>
        </w:tabs>
        <w:ind w:left="3600" w:hanging="360"/>
      </w:pPr>
      <w:rPr>
        <w:rFonts w:ascii="Arial" w:hAnsi="Arial" w:hint="default"/>
      </w:rPr>
    </w:lvl>
    <w:lvl w:ilvl="5" w:tplc="0302BB82" w:tentative="1">
      <w:start w:val="1"/>
      <w:numFmt w:val="bullet"/>
      <w:lvlText w:val="•"/>
      <w:lvlJc w:val="left"/>
      <w:pPr>
        <w:tabs>
          <w:tab w:val="num" w:pos="4320"/>
        </w:tabs>
        <w:ind w:left="4320" w:hanging="360"/>
      </w:pPr>
      <w:rPr>
        <w:rFonts w:ascii="Arial" w:hAnsi="Arial" w:hint="default"/>
      </w:rPr>
    </w:lvl>
    <w:lvl w:ilvl="6" w:tplc="20E6A07C" w:tentative="1">
      <w:start w:val="1"/>
      <w:numFmt w:val="bullet"/>
      <w:lvlText w:val="•"/>
      <w:lvlJc w:val="left"/>
      <w:pPr>
        <w:tabs>
          <w:tab w:val="num" w:pos="5040"/>
        </w:tabs>
        <w:ind w:left="5040" w:hanging="360"/>
      </w:pPr>
      <w:rPr>
        <w:rFonts w:ascii="Arial" w:hAnsi="Arial" w:hint="default"/>
      </w:rPr>
    </w:lvl>
    <w:lvl w:ilvl="7" w:tplc="51E66B22" w:tentative="1">
      <w:start w:val="1"/>
      <w:numFmt w:val="bullet"/>
      <w:lvlText w:val="•"/>
      <w:lvlJc w:val="left"/>
      <w:pPr>
        <w:tabs>
          <w:tab w:val="num" w:pos="5760"/>
        </w:tabs>
        <w:ind w:left="5760" w:hanging="360"/>
      </w:pPr>
      <w:rPr>
        <w:rFonts w:ascii="Arial" w:hAnsi="Arial" w:hint="default"/>
      </w:rPr>
    </w:lvl>
    <w:lvl w:ilvl="8" w:tplc="7180C6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C47E93"/>
    <w:multiLevelType w:val="hybridMultilevel"/>
    <w:tmpl w:val="2BFE3632"/>
    <w:lvl w:ilvl="0" w:tplc="98821836">
      <w:start w:val="1"/>
      <w:numFmt w:val="bullet"/>
      <w:lvlText w:val="•"/>
      <w:lvlJc w:val="left"/>
      <w:pPr>
        <w:tabs>
          <w:tab w:val="num" w:pos="720"/>
        </w:tabs>
        <w:ind w:left="720" w:hanging="360"/>
      </w:pPr>
      <w:rPr>
        <w:rFonts w:ascii="Arial" w:hAnsi="Arial" w:hint="default"/>
      </w:rPr>
    </w:lvl>
    <w:lvl w:ilvl="1" w:tplc="3FF85E64">
      <w:start w:val="1"/>
      <w:numFmt w:val="bullet"/>
      <w:lvlText w:val="•"/>
      <w:lvlJc w:val="left"/>
      <w:pPr>
        <w:tabs>
          <w:tab w:val="num" w:pos="1440"/>
        </w:tabs>
        <w:ind w:left="1440" w:hanging="360"/>
      </w:pPr>
      <w:rPr>
        <w:rFonts w:ascii="Arial" w:hAnsi="Arial" w:hint="default"/>
      </w:rPr>
    </w:lvl>
    <w:lvl w:ilvl="2" w:tplc="C05E85D6" w:tentative="1">
      <w:start w:val="1"/>
      <w:numFmt w:val="bullet"/>
      <w:lvlText w:val="•"/>
      <w:lvlJc w:val="left"/>
      <w:pPr>
        <w:tabs>
          <w:tab w:val="num" w:pos="2160"/>
        </w:tabs>
        <w:ind w:left="2160" w:hanging="360"/>
      </w:pPr>
      <w:rPr>
        <w:rFonts w:ascii="Arial" w:hAnsi="Arial" w:hint="default"/>
      </w:rPr>
    </w:lvl>
    <w:lvl w:ilvl="3" w:tplc="01406B7C" w:tentative="1">
      <w:start w:val="1"/>
      <w:numFmt w:val="bullet"/>
      <w:lvlText w:val="•"/>
      <w:lvlJc w:val="left"/>
      <w:pPr>
        <w:tabs>
          <w:tab w:val="num" w:pos="2880"/>
        </w:tabs>
        <w:ind w:left="2880" w:hanging="360"/>
      </w:pPr>
      <w:rPr>
        <w:rFonts w:ascii="Arial" w:hAnsi="Arial" w:hint="default"/>
      </w:rPr>
    </w:lvl>
    <w:lvl w:ilvl="4" w:tplc="E924B8D6" w:tentative="1">
      <w:start w:val="1"/>
      <w:numFmt w:val="bullet"/>
      <w:lvlText w:val="•"/>
      <w:lvlJc w:val="left"/>
      <w:pPr>
        <w:tabs>
          <w:tab w:val="num" w:pos="3600"/>
        </w:tabs>
        <w:ind w:left="3600" w:hanging="360"/>
      </w:pPr>
      <w:rPr>
        <w:rFonts w:ascii="Arial" w:hAnsi="Arial" w:hint="default"/>
      </w:rPr>
    </w:lvl>
    <w:lvl w:ilvl="5" w:tplc="62720976" w:tentative="1">
      <w:start w:val="1"/>
      <w:numFmt w:val="bullet"/>
      <w:lvlText w:val="•"/>
      <w:lvlJc w:val="left"/>
      <w:pPr>
        <w:tabs>
          <w:tab w:val="num" w:pos="4320"/>
        </w:tabs>
        <w:ind w:left="4320" w:hanging="360"/>
      </w:pPr>
      <w:rPr>
        <w:rFonts w:ascii="Arial" w:hAnsi="Arial" w:hint="default"/>
      </w:rPr>
    </w:lvl>
    <w:lvl w:ilvl="6" w:tplc="38DCDA48" w:tentative="1">
      <w:start w:val="1"/>
      <w:numFmt w:val="bullet"/>
      <w:lvlText w:val="•"/>
      <w:lvlJc w:val="left"/>
      <w:pPr>
        <w:tabs>
          <w:tab w:val="num" w:pos="5040"/>
        </w:tabs>
        <w:ind w:left="5040" w:hanging="360"/>
      </w:pPr>
      <w:rPr>
        <w:rFonts w:ascii="Arial" w:hAnsi="Arial" w:hint="default"/>
      </w:rPr>
    </w:lvl>
    <w:lvl w:ilvl="7" w:tplc="8FDEE28C" w:tentative="1">
      <w:start w:val="1"/>
      <w:numFmt w:val="bullet"/>
      <w:lvlText w:val="•"/>
      <w:lvlJc w:val="left"/>
      <w:pPr>
        <w:tabs>
          <w:tab w:val="num" w:pos="5760"/>
        </w:tabs>
        <w:ind w:left="5760" w:hanging="360"/>
      </w:pPr>
      <w:rPr>
        <w:rFonts w:ascii="Arial" w:hAnsi="Arial" w:hint="default"/>
      </w:rPr>
    </w:lvl>
    <w:lvl w:ilvl="8" w:tplc="A01867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79A443F"/>
    <w:multiLevelType w:val="hybridMultilevel"/>
    <w:tmpl w:val="B1FA3CB2"/>
    <w:lvl w:ilvl="0" w:tplc="E2C0A4A6">
      <w:start w:val="1"/>
      <w:numFmt w:val="bullet"/>
      <w:lvlText w:val="•"/>
      <w:lvlJc w:val="left"/>
      <w:pPr>
        <w:tabs>
          <w:tab w:val="num" w:pos="720"/>
        </w:tabs>
        <w:ind w:left="720" w:hanging="360"/>
      </w:pPr>
      <w:rPr>
        <w:rFonts w:ascii="Arial" w:hAnsi="Arial" w:hint="default"/>
      </w:rPr>
    </w:lvl>
    <w:lvl w:ilvl="1" w:tplc="E424FAF2">
      <w:numFmt w:val="bullet"/>
      <w:lvlText w:val="•"/>
      <w:lvlJc w:val="left"/>
      <w:pPr>
        <w:tabs>
          <w:tab w:val="num" w:pos="1440"/>
        </w:tabs>
        <w:ind w:left="1440" w:hanging="360"/>
      </w:pPr>
      <w:rPr>
        <w:rFonts w:ascii="Arial" w:hAnsi="Arial" w:hint="default"/>
      </w:rPr>
    </w:lvl>
    <w:lvl w:ilvl="2" w:tplc="A16C2FD8" w:tentative="1">
      <w:start w:val="1"/>
      <w:numFmt w:val="bullet"/>
      <w:lvlText w:val="•"/>
      <w:lvlJc w:val="left"/>
      <w:pPr>
        <w:tabs>
          <w:tab w:val="num" w:pos="2160"/>
        </w:tabs>
        <w:ind w:left="2160" w:hanging="360"/>
      </w:pPr>
      <w:rPr>
        <w:rFonts w:ascii="Arial" w:hAnsi="Arial" w:hint="default"/>
      </w:rPr>
    </w:lvl>
    <w:lvl w:ilvl="3" w:tplc="E4123B66" w:tentative="1">
      <w:start w:val="1"/>
      <w:numFmt w:val="bullet"/>
      <w:lvlText w:val="•"/>
      <w:lvlJc w:val="left"/>
      <w:pPr>
        <w:tabs>
          <w:tab w:val="num" w:pos="2880"/>
        </w:tabs>
        <w:ind w:left="2880" w:hanging="360"/>
      </w:pPr>
      <w:rPr>
        <w:rFonts w:ascii="Arial" w:hAnsi="Arial" w:hint="default"/>
      </w:rPr>
    </w:lvl>
    <w:lvl w:ilvl="4" w:tplc="0388DD2A" w:tentative="1">
      <w:start w:val="1"/>
      <w:numFmt w:val="bullet"/>
      <w:lvlText w:val="•"/>
      <w:lvlJc w:val="left"/>
      <w:pPr>
        <w:tabs>
          <w:tab w:val="num" w:pos="3600"/>
        </w:tabs>
        <w:ind w:left="3600" w:hanging="360"/>
      </w:pPr>
      <w:rPr>
        <w:rFonts w:ascii="Arial" w:hAnsi="Arial" w:hint="default"/>
      </w:rPr>
    </w:lvl>
    <w:lvl w:ilvl="5" w:tplc="3CACDD78" w:tentative="1">
      <w:start w:val="1"/>
      <w:numFmt w:val="bullet"/>
      <w:lvlText w:val="•"/>
      <w:lvlJc w:val="left"/>
      <w:pPr>
        <w:tabs>
          <w:tab w:val="num" w:pos="4320"/>
        </w:tabs>
        <w:ind w:left="4320" w:hanging="360"/>
      </w:pPr>
      <w:rPr>
        <w:rFonts w:ascii="Arial" w:hAnsi="Arial" w:hint="default"/>
      </w:rPr>
    </w:lvl>
    <w:lvl w:ilvl="6" w:tplc="EB6AFD36" w:tentative="1">
      <w:start w:val="1"/>
      <w:numFmt w:val="bullet"/>
      <w:lvlText w:val="•"/>
      <w:lvlJc w:val="left"/>
      <w:pPr>
        <w:tabs>
          <w:tab w:val="num" w:pos="5040"/>
        </w:tabs>
        <w:ind w:left="5040" w:hanging="360"/>
      </w:pPr>
      <w:rPr>
        <w:rFonts w:ascii="Arial" w:hAnsi="Arial" w:hint="default"/>
      </w:rPr>
    </w:lvl>
    <w:lvl w:ilvl="7" w:tplc="C27CA2FA" w:tentative="1">
      <w:start w:val="1"/>
      <w:numFmt w:val="bullet"/>
      <w:lvlText w:val="•"/>
      <w:lvlJc w:val="left"/>
      <w:pPr>
        <w:tabs>
          <w:tab w:val="num" w:pos="5760"/>
        </w:tabs>
        <w:ind w:left="5760" w:hanging="360"/>
      </w:pPr>
      <w:rPr>
        <w:rFonts w:ascii="Arial" w:hAnsi="Arial" w:hint="default"/>
      </w:rPr>
    </w:lvl>
    <w:lvl w:ilvl="8" w:tplc="CF801FE0" w:tentative="1">
      <w:start w:val="1"/>
      <w:numFmt w:val="bullet"/>
      <w:lvlText w:val="•"/>
      <w:lvlJc w:val="left"/>
      <w:pPr>
        <w:tabs>
          <w:tab w:val="num" w:pos="6480"/>
        </w:tabs>
        <w:ind w:left="6480" w:hanging="360"/>
      </w:pPr>
      <w:rPr>
        <w:rFonts w:ascii="Arial" w:hAnsi="Arial" w:hint="default"/>
      </w:rPr>
    </w:lvl>
  </w:abstractNum>
  <w:num w:numId="1" w16cid:durableId="1988506473">
    <w:abstractNumId w:val="1"/>
  </w:num>
  <w:num w:numId="2" w16cid:durableId="346059085">
    <w:abstractNumId w:val="0"/>
  </w:num>
  <w:num w:numId="3" w16cid:durableId="294792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6B"/>
    <w:rsid w:val="000014D8"/>
    <w:rsid w:val="00013C28"/>
    <w:rsid w:val="000174D1"/>
    <w:rsid w:val="0002663D"/>
    <w:rsid w:val="00027674"/>
    <w:rsid w:val="00035922"/>
    <w:rsid w:val="00037117"/>
    <w:rsid w:val="00042CA6"/>
    <w:rsid w:val="0004471C"/>
    <w:rsid w:val="00045AD0"/>
    <w:rsid w:val="000471FC"/>
    <w:rsid w:val="000507D7"/>
    <w:rsid w:val="00051721"/>
    <w:rsid w:val="000535CE"/>
    <w:rsid w:val="00056E9B"/>
    <w:rsid w:val="0006116B"/>
    <w:rsid w:val="000665F7"/>
    <w:rsid w:val="0007059A"/>
    <w:rsid w:val="00071763"/>
    <w:rsid w:val="00074C6C"/>
    <w:rsid w:val="00085EE9"/>
    <w:rsid w:val="00092E48"/>
    <w:rsid w:val="00095320"/>
    <w:rsid w:val="0009597D"/>
    <w:rsid w:val="000D24A1"/>
    <w:rsid w:val="000D27DB"/>
    <w:rsid w:val="000D2B0B"/>
    <w:rsid w:val="000D2C8E"/>
    <w:rsid w:val="000D7374"/>
    <w:rsid w:val="000E4E77"/>
    <w:rsid w:val="000E4F0D"/>
    <w:rsid w:val="000E77D0"/>
    <w:rsid w:val="000F29AD"/>
    <w:rsid w:val="000F33B6"/>
    <w:rsid w:val="00103159"/>
    <w:rsid w:val="0010318A"/>
    <w:rsid w:val="00113DA8"/>
    <w:rsid w:val="00114C86"/>
    <w:rsid w:val="00117A70"/>
    <w:rsid w:val="001207BA"/>
    <w:rsid w:val="001238AD"/>
    <w:rsid w:val="0015048B"/>
    <w:rsid w:val="00150BBD"/>
    <w:rsid w:val="00152031"/>
    <w:rsid w:val="00153775"/>
    <w:rsid w:val="001711E4"/>
    <w:rsid w:val="00171858"/>
    <w:rsid w:val="001721BB"/>
    <w:rsid w:val="00184C82"/>
    <w:rsid w:val="00184ED9"/>
    <w:rsid w:val="001855C0"/>
    <w:rsid w:val="00186DCC"/>
    <w:rsid w:val="00187C31"/>
    <w:rsid w:val="001904B2"/>
    <w:rsid w:val="0019750C"/>
    <w:rsid w:val="0019788E"/>
    <w:rsid w:val="001A020D"/>
    <w:rsid w:val="001A3F5B"/>
    <w:rsid w:val="001B1AE9"/>
    <w:rsid w:val="001B7814"/>
    <w:rsid w:val="001C3DB1"/>
    <w:rsid w:val="001C4142"/>
    <w:rsid w:val="001C563E"/>
    <w:rsid w:val="001D2542"/>
    <w:rsid w:val="001D3C1E"/>
    <w:rsid w:val="001D7711"/>
    <w:rsid w:val="001E365C"/>
    <w:rsid w:val="00200C26"/>
    <w:rsid w:val="0021150E"/>
    <w:rsid w:val="0021543E"/>
    <w:rsid w:val="00215A0E"/>
    <w:rsid w:val="002205BC"/>
    <w:rsid w:val="002217EB"/>
    <w:rsid w:val="00232CA2"/>
    <w:rsid w:val="002527DF"/>
    <w:rsid w:val="00253273"/>
    <w:rsid w:val="00253ADF"/>
    <w:rsid w:val="00257D62"/>
    <w:rsid w:val="00261F80"/>
    <w:rsid w:val="00262E8B"/>
    <w:rsid w:val="00273FBC"/>
    <w:rsid w:val="00283AE6"/>
    <w:rsid w:val="0029103F"/>
    <w:rsid w:val="0029356B"/>
    <w:rsid w:val="00296B5F"/>
    <w:rsid w:val="002A38CB"/>
    <w:rsid w:val="002B1166"/>
    <w:rsid w:val="002B6FFF"/>
    <w:rsid w:val="002C464B"/>
    <w:rsid w:val="002C5191"/>
    <w:rsid w:val="002C5387"/>
    <w:rsid w:val="002D1757"/>
    <w:rsid w:val="002E3854"/>
    <w:rsid w:val="002E3ABD"/>
    <w:rsid w:val="002F2CB3"/>
    <w:rsid w:val="002F44E2"/>
    <w:rsid w:val="00301978"/>
    <w:rsid w:val="00304472"/>
    <w:rsid w:val="0031148B"/>
    <w:rsid w:val="003149D1"/>
    <w:rsid w:val="00322271"/>
    <w:rsid w:val="00325441"/>
    <w:rsid w:val="00336C88"/>
    <w:rsid w:val="00336FDA"/>
    <w:rsid w:val="00340230"/>
    <w:rsid w:val="003408B8"/>
    <w:rsid w:val="00341A60"/>
    <w:rsid w:val="00346495"/>
    <w:rsid w:val="00351454"/>
    <w:rsid w:val="0035193B"/>
    <w:rsid w:val="0036359B"/>
    <w:rsid w:val="00366577"/>
    <w:rsid w:val="003669DF"/>
    <w:rsid w:val="003670F0"/>
    <w:rsid w:val="00376F80"/>
    <w:rsid w:val="00377681"/>
    <w:rsid w:val="003812D9"/>
    <w:rsid w:val="00392613"/>
    <w:rsid w:val="00394F7E"/>
    <w:rsid w:val="00396CB9"/>
    <w:rsid w:val="0039785F"/>
    <w:rsid w:val="003A04A6"/>
    <w:rsid w:val="003A4548"/>
    <w:rsid w:val="003A75D8"/>
    <w:rsid w:val="003B0538"/>
    <w:rsid w:val="003B0FEF"/>
    <w:rsid w:val="003B36F0"/>
    <w:rsid w:val="003B4164"/>
    <w:rsid w:val="003C3EA4"/>
    <w:rsid w:val="003D19C9"/>
    <w:rsid w:val="003E1ED9"/>
    <w:rsid w:val="003E5BB6"/>
    <w:rsid w:val="003F1DD9"/>
    <w:rsid w:val="003F45C3"/>
    <w:rsid w:val="003F62CE"/>
    <w:rsid w:val="0040365D"/>
    <w:rsid w:val="00404069"/>
    <w:rsid w:val="004132E0"/>
    <w:rsid w:val="00420BD3"/>
    <w:rsid w:val="00421FC1"/>
    <w:rsid w:val="00423F6F"/>
    <w:rsid w:val="00425E76"/>
    <w:rsid w:val="00427EAE"/>
    <w:rsid w:val="00432B33"/>
    <w:rsid w:val="00433614"/>
    <w:rsid w:val="004341FD"/>
    <w:rsid w:val="00435D80"/>
    <w:rsid w:val="00436421"/>
    <w:rsid w:val="00437CD0"/>
    <w:rsid w:val="0044294A"/>
    <w:rsid w:val="0044433D"/>
    <w:rsid w:val="00450271"/>
    <w:rsid w:val="00454DD3"/>
    <w:rsid w:val="0046007C"/>
    <w:rsid w:val="00464AB2"/>
    <w:rsid w:val="00465541"/>
    <w:rsid w:val="00465705"/>
    <w:rsid w:val="00467F57"/>
    <w:rsid w:val="00481CDD"/>
    <w:rsid w:val="0048737A"/>
    <w:rsid w:val="00490799"/>
    <w:rsid w:val="0049704E"/>
    <w:rsid w:val="004A2B8B"/>
    <w:rsid w:val="004A2C2D"/>
    <w:rsid w:val="004A7059"/>
    <w:rsid w:val="004B5604"/>
    <w:rsid w:val="004C4AC0"/>
    <w:rsid w:val="004C542D"/>
    <w:rsid w:val="004D7C09"/>
    <w:rsid w:val="004E2A6E"/>
    <w:rsid w:val="004F0F41"/>
    <w:rsid w:val="004F5455"/>
    <w:rsid w:val="00503D5A"/>
    <w:rsid w:val="0050487A"/>
    <w:rsid w:val="00505089"/>
    <w:rsid w:val="00506554"/>
    <w:rsid w:val="00512DCF"/>
    <w:rsid w:val="00514AE4"/>
    <w:rsid w:val="00514E21"/>
    <w:rsid w:val="00515052"/>
    <w:rsid w:val="00523BE0"/>
    <w:rsid w:val="00525AB8"/>
    <w:rsid w:val="00527725"/>
    <w:rsid w:val="00541A6C"/>
    <w:rsid w:val="00542189"/>
    <w:rsid w:val="00542E9F"/>
    <w:rsid w:val="005448D6"/>
    <w:rsid w:val="005547AA"/>
    <w:rsid w:val="005639AE"/>
    <w:rsid w:val="00570051"/>
    <w:rsid w:val="00575C4E"/>
    <w:rsid w:val="00576DBA"/>
    <w:rsid w:val="0058273B"/>
    <w:rsid w:val="005857D9"/>
    <w:rsid w:val="00586564"/>
    <w:rsid w:val="00592189"/>
    <w:rsid w:val="005A1212"/>
    <w:rsid w:val="005A542F"/>
    <w:rsid w:val="005B29AD"/>
    <w:rsid w:val="005C2B2C"/>
    <w:rsid w:val="005C4198"/>
    <w:rsid w:val="005C7DA1"/>
    <w:rsid w:val="005D2C84"/>
    <w:rsid w:val="005D5D65"/>
    <w:rsid w:val="005D6933"/>
    <w:rsid w:val="005E426F"/>
    <w:rsid w:val="005F2E9B"/>
    <w:rsid w:val="005F5008"/>
    <w:rsid w:val="00601181"/>
    <w:rsid w:val="00605506"/>
    <w:rsid w:val="00605941"/>
    <w:rsid w:val="00605B22"/>
    <w:rsid w:val="00605F13"/>
    <w:rsid w:val="00606BFB"/>
    <w:rsid w:val="0060741B"/>
    <w:rsid w:val="0061440C"/>
    <w:rsid w:val="00615E9B"/>
    <w:rsid w:val="0062342E"/>
    <w:rsid w:val="00626431"/>
    <w:rsid w:val="006333EC"/>
    <w:rsid w:val="00634387"/>
    <w:rsid w:val="00634DE4"/>
    <w:rsid w:val="006366EF"/>
    <w:rsid w:val="00641AD3"/>
    <w:rsid w:val="006437AD"/>
    <w:rsid w:val="00643CB1"/>
    <w:rsid w:val="0064747B"/>
    <w:rsid w:val="00647965"/>
    <w:rsid w:val="00652214"/>
    <w:rsid w:val="00652E89"/>
    <w:rsid w:val="0065652A"/>
    <w:rsid w:val="00656DE4"/>
    <w:rsid w:val="00664E4D"/>
    <w:rsid w:val="0066566D"/>
    <w:rsid w:val="006678F7"/>
    <w:rsid w:val="00667BAB"/>
    <w:rsid w:val="006728C7"/>
    <w:rsid w:val="006741A0"/>
    <w:rsid w:val="00674D40"/>
    <w:rsid w:val="00685CBC"/>
    <w:rsid w:val="006924E1"/>
    <w:rsid w:val="0069465B"/>
    <w:rsid w:val="006A5D22"/>
    <w:rsid w:val="006B1169"/>
    <w:rsid w:val="006B3420"/>
    <w:rsid w:val="006B3838"/>
    <w:rsid w:val="006B4689"/>
    <w:rsid w:val="006C4DAE"/>
    <w:rsid w:val="006C4E3A"/>
    <w:rsid w:val="006D02A3"/>
    <w:rsid w:val="006D3371"/>
    <w:rsid w:val="006D342D"/>
    <w:rsid w:val="006D5239"/>
    <w:rsid w:val="006E755F"/>
    <w:rsid w:val="006F33AA"/>
    <w:rsid w:val="006F3CE3"/>
    <w:rsid w:val="006F4197"/>
    <w:rsid w:val="006F5D15"/>
    <w:rsid w:val="006F63CB"/>
    <w:rsid w:val="00704173"/>
    <w:rsid w:val="00706959"/>
    <w:rsid w:val="00712497"/>
    <w:rsid w:val="007211EA"/>
    <w:rsid w:val="00730EEC"/>
    <w:rsid w:val="0073358E"/>
    <w:rsid w:val="00736F8C"/>
    <w:rsid w:val="00740EAB"/>
    <w:rsid w:val="00741BCB"/>
    <w:rsid w:val="00743B8C"/>
    <w:rsid w:val="00744AE4"/>
    <w:rsid w:val="00746968"/>
    <w:rsid w:val="00752A8E"/>
    <w:rsid w:val="0075616E"/>
    <w:rsid w:val="007643CA"/>
    <w:rsid w:val="0076649A"/>
    <w:rsid w:val="00767CAD"/>
    <w:rsid w:val="00776374"/>
    <w:rsid w:val="007816E7"/>
    <w:rsid w:val="007823DB"/>
    <w:rsid w:val="00783E49"/>
    <w:rsid w:val="00796569"/>
    <w:rsid w:val="007A41FA"/>
    <w:rsid w:val="007A4C35"/>
    <w:rsid w:val="007A612D"/>
    <w:rsid w:val="007A753C"/>
    <w:rsid w:val="007B15D0"/>
    <w:rsid w:val="007B2A6F"/>
    <w:rsid w:val="007C2593"/>
    <w:rsid w:val="007D7A28"/>
    <w:rsid w:val="007E0E58"/>
    <w:rsid w:val="007E4521"/>
    <w:rsid w:val="007E61D7"/>
    <w:rsid w:val="007E7523"/>
    <w:rsid w:val="007F2626"/>
    <w:rsid w:val="007F349A"/>
    <w:rsid w:val="0080297D"/>
    <w:rsid w:val="00806929"/>
    <w:rsid w:val="008072D6"/>
    <w:rsid w:val="00812879"/>
    <w:rsid w:val="00815162"/>
    <w:rsid w:val="00815676"/>
    <w:rsid w:val="008160E4"/>
    <w:rsid w:val="00817787"/>
    <w:rsid w:val="0082194E"/>
    <w:rsid w:val="008246F8"/>
    <w:rsid w:val="00826956"/>
    <w:rsid w:val="00832856"/>
    <w:rsid w:val="00832D49"/>
    <w:rsid w:val="00844876"/>
    <w:rsid w:val="008471A1"/>
    <w:rsid w:val="00852B77"/>
    <w:rsid w:val="008533D4"/>
    <w:rsid w:val="00857DC5"/>
    <w:rsid w:val="00860754"/>
    <w:rsid w:val="008624E1"/>
    <w:rsid w:val="00862F9C"/>
    <w:rsid w:val="00877043"/>
    <w:rsid w:val="008772C8"/>
    <w:rsid w:val="0087757B"/>
    <w:rsid w:val="008911F2"/>
    <w:rsid w:val="00896002"/>
    <w:rsid w:val="008A0A02"/>
    <w:rsid w:val="008A3175"/>
    <w:rsid w:val="008B1423"/>
    <w:rsid w:val="008C2CF6"/>
    <w:rsid w:val="008C5449"/>
    <w:rsid w:val="008C679F"/>
    <w:rsid w:val="008C6EF7"/>
    <w:rsid w:val="008D00BF"/>
    <w:rsid w:val="008D0945"/>
    <w:rsid w:val="008D42B7"/>
    <w:rsid w:val="008E7BBA"/>
    <w:rsid w:val="008F27AA"/>
    <w:rsid w:val="008F5F3B"/>
    <w:rsid w:val="00910F86"/>
    <w:rsid w:val="009120A7"/>
    <w:rsid w:val="00912D07"/>
    <w:rsid w:val="00920E86"/>
    <w:rsid w:val="00920F8B"/>
    <w:rsid w:val="00922778"/>
    <w:rsid w:val="009242F3"/>
    <w:rsid w:val="00932B6F"/>
    <w:rsid w:val="0094500B"/>
    <w:rsid w:val="00945234"/>
    <w:rsid w:val="00947079"/>
    <w:rsid w:val="00947433"/>
    <w:rsid w:val="00952633"/>
    <w:rsid w:val="009568DC"/>
    <w:rsid w:val="0095701E"/>
    <w:rsid w:val="00961127"/>
    <w:rsid w:val="009646A2"/>
    <w:rsid w:val="00965939"/>
    <w:rsid w:val="009702F3"/>
    <w:rsid w:val="00977115"/>
    <w:rsid w:val="00983581"/>
    <w:rsid w:val="00984523"/>
    <w:rsid w:val="00986E30"/>
    <w:rsid w:val="00997325"/>
    <w:rsid w:val="009B0638"/>
    <w:rsid w:val="009B1A83"/>
    <w:rsid w:val="009C4A36"/>
    <w:rsid w:val="009D6235"/>
    <w:rsid w:val="009E0E57"/>
    <w:rsid w:val="009E3D08"/>
    <w:rsid w:val="009E4751"/>
    <w:rsid w:val="009F196D"/>
    <w:rsid w:val="009F702F"/>
    <w:rsid w:val="00A050EB"/>
    <w:rsid w:val="00A16873"/>
    <w:rsid w:val="00A200DA"/>
    <w:rsid w:val="00A214A8"/>
    <w:rsid w:val="00A23176"/>
    <w:rsid w:val="00A26C9C"/>
    <w:rsid w:val="00A27612"/>
    <w:rsid w:val="00A32564"/>
    <w:rsid w:val="00A35AE2"/>
    <w:rsid w:val="00A55ED0"/>
    <w:rsid w:val="00A71709"/>
    <w:rsid w:val="00A7389E"/>
    <w:rsid w:val="00A75C89"/>
    <w:rsid w:val="00A7662F"/>
    <w:rsid w:val="00A81E8B"/>
    <w:rsid w:val="00A847DE"/>
    <w:rsid w:val="00A865EC"/>
    <w:rsid w:val="00A92889"/>
    <w:rsid w:val="00A95166"/>
    <w:rsid w:val="00A9614B"/>
    <w:rsid w:val="00AB350E"/>
    <w:rsid w:val="00AB3FF0"/>
    <w:rsid w:val="00AB4253"/>
    <w:rsid w:val="00AB5FD1"/>
    <w:rsid w:val="00AB65EC"/>
    <w:rsid w:val="00AC11AD"/>
    <w:rsid w:val="00AC6A92"/>
    <w:rsid w:val="00AC6B95"/>
    <w:rsid w:val="00AC7FDF"/>
    <w:rsid w:val="00AD734B"/>
    <w:rsid w:val="00AE2D64"/>
    <w:rsid w:val="00AE301F"/>
    <w:rsid w:val="00AE3AC6"/>
    <w:rsid w:val="00AE414C"/>
    <w:rsid w:val="00AE501A"/>
    <w:rsid w:val="00AF3399"/>
    <w:rsid w:val="00AF3DE0"/>
    <w:rsid w:val="00AF7C19"/>
    <w:rsid w:val="00B0140A"/>
    <w:rsid w:val="00B06AC1"/>
    <w:rsid w:val="00B107C1"/>
    <w:rsid w:val="00B1490D"/>
    <w:rsid w:val="00B15B46"/>
    <w:rsid w:val="00B27B1C"/>
    <w:rsid w:val="00B34A96"/>
    <w:rsid w:val="00B424BF"/>
    <w:rsid w:val="00B51543"/>
    <w:rsid w:val="00B51BF6"/>
    <w:rsid w:val="00B56302"/>
    <w:rsid w:val="00B6242A"/>
    <w:rsid w:val="00B63703"/>
    <w:rsid w:val="00B669DB"/>
    <w:rsid w:val="00B72A75"/>
    <w:rsid w:val="00B73A3E"/>
    <w:rsid w:val="00B804A6"/>
    <w:rsid w:val="00B873DB"/>
    <w:rsid w:val="00B92F18"/>
    <w:rsid w:val="00B97959"/>
    <w:rsid w:val="00B979DD"/>
    <w:rsid w:val="00BA3144"/>
    <w:rsid w:val="00BB40A3"/>
    <w:rsid w:val="00BB5EAF"/>
    <w:rsid w:val="00BC18BA"/>
    <w:rsid w:val="00BC3BEF"/>
    <w:rsid w:val="00BC7CB3"/>
    <w:rsid w:val="00BD3AB3"/>
    <w:rsid w:val="00BD4F84"/>
    <w:rsid w:val="00BF373F"/>
    <w:rsid w:val="00BF5089"/>
    <w:rsid w:val="00BF51A9"/>
    <w:rsid w:val="00BF52AF"/>
    <w:rsid w:val="00C022EC"/>
    <w:rsid w:val="00C053E5"/>
    <w:rsid w:val="00C10115"/>
    <w:rsid w:val="00C11BEF"/>
    <w:rsid w:val="00C22D67"/>
    <w:rsid w:val="00C24281"/>
    <w:rsid w:val="00C3202A"/>
    <w:rsid w:val="00C43AB1"/>
    <w:rsid w:val="00C6142D"/>
    <w:rsid w:val="00C6478F"/>
    <w:rsid w:val="00C66706"/>
    <w:rsid w:val="00C674F0"/>
    <w:rsid w:val="00C71225"/>
    <w:rsid w:val="00C72FDC"/>
    <w:rsid w:val="00C7642D"/>
    <w:rsid w:val="00C76E5D"/>
    <w:rsid w:val="00C771C4"/>
    <w:rsid w:val="00C80597"/>
    <w:rsid w:val="00C8235B"/>
    <w:rsid w:val="00C8325E"/>
    <w:rsid w:val="00C87D82"/>
    <w:rsid w:val="00C923C4"/>
    <w:rsid w:val="00C9296D"/>
    <w:rsid w:val="00CA24EA"/>
    <w:rsid w:val="00CA2D1D"/>
    <w:rsid w:val="00CA424D"/>
    <w:rsid w:val="00CA5E0D"/>
    <w:rsid w:val="00CB4B00"/>
    <w:rsid w:val="00CB76A6"/>
    <w:rsid w:val="00CC12ED"/>
    <w:rsid w:val="00CC2687"/>
    <w:rsid w:val="00CC67C2"/>
    <w:rsid w:val="00CC7CB9"/>
    <w:rsid w:val="00CD212A"/>
    <w:rsid w:val="00CD3BFB"/>
    <w:rsid w:val="00CD72B3"/>
    <w:rsid w:val="00CD7AA8"/>
    <w:rsid w:val="00CE6894"/>
    <w:rsid w:val="00CF6B0B"/>
    <w:rsid w:val="00D03FEC"/>
    <w:rsid w:val="00D11440"/>
    <w:rsid w:val="00D16D31"/>
    <w:rsid w:val="00D2692E"/>
    <w:rsid w:val="00D3603E"/>
    <w:rsid w:val="00D3759B"/>
    <w:rsid w:val="00D41ECC"/>
    <w:rsid w:val="00D45DE3"/>
    <w:rsid w:val="00D5334C"/>
    <w:rsid w:val="00D727D1"/>
    <w:rsid w:val="00D746ED"/>
    <w:rsid w:val="00D74BB9"/>
    <w:rsid w:val="00D8228A"/>
    <w:rsid w:val="00D860C8"/>
    <w:rsid w:val="00D933E6"/>
    <w:rsid w:val="00D936FE"/>
    <w:rsid w:val="00DA093C"/>
    <w:rsid w:val="00DB3FA0"/>
    <w:rsid w:val="00DB729C"/>
    <w:rsid w:val="00DD5C9D"/>
    <w:rsid w:val="00DF3218"/>
    <w:rsid w:val="00DF3966"/>
    <w:rsid w:val="00E00BC3"/>
    <w:rsid w:val="00E04044"/>
    <w:rsid w:val="00E06619"/>
    <w:rsid w:val="00E118C7"/>
    <w:rsid w:val="00E122F3"/>
    <w:rsid w:val="00E13130"/>
    <w:rsid w:val="00E1370A"/>
    <w:rsid w:val="00E20B67"/>
    <w:rsid w:val="00E21534"/>
    <w:rsid w:val="00E22D21"/>
    <w:rsid w:val="00E30B41"/>
    <w:rsid w:val="00E33EB8"/>
    <w:rsid w:val="00E3414F"/>
    <w:rsid w:val="00E3695D"/>
    <w:rsid w:val="00E40F41"/>
    <w:rsid w:val="00E40FAA"/>
    <w:rsid w:val="00E42A52"/>
    <w:rsid w:val="00E44914"/>
    <w:rsid w:val="00E45B82"/>
    <w:rsid w:val="00E53A8F"/>
    <w:rsid w:val="00E547D9"/>
    <w:rsid w:val="00E55ADB"/>
    <w:rsid w:val="00E61AFF"/>
    <w:rsid w:val="00E7015C"/>
    <w:rsid w:val="00E765F6"/>
    <w:rsid w:val="00E976AE"/>
    <w:rsid w:val="00EA2C6E"/>
    <w:rsid w:val="00EB41A0"/>
    <w:rsid w:val="00EB6494"/>
    <w:rsid w:val="00EC406D"/>
    <w:rsid w:val="00EE1A10"/>
    <w:rsid w:val="00EF087D"/>
    <w:rsid w:val="00EF1B7D"/>
    <w:rsid w:val="00F02438"/>
    <w:rsid w:val="00F05EC2"/>
    <w:rsid w:val="00F076BF"/>
    <w:rsid w:val="00F11394"/>
    <w:rsid w:val="00F15D62"/>
    <w:rsid w:val="00F170C4"/>
    <w:rsid w:val="00F301A7"/>
    <w:rsid w:val="00F309F5"/>
    <w:rsid w:val="00F33BBC"/>
    <w:rsid w:val="00F37214"/>
    <w:rsid w:val="00F42518"/>
    <w:rsid w:val="00F50FD9"/>
    <w:rsid w:val="00F548BF"/>
    <w:rsid w:val="00F57D0B"/>
    <w:rsid w:val="00F610D4"/>
    <w:rsid w:val="00F67F6E"/>
    <w:rsid w:val="00F71B14"/>
    <w:rsid w:val="00F74123"/>
    <w:rsid w:val="00F776FA"/>
    <w:rsid w:val="00F84345"/>
    <w:rsid w:val="00F84EB5"/>
    <w:rsid w:val="00F929E0"/>
    <w:rsid w:val="00F9775A"/>
    <w:rsid w:val="00F97A7F"/>
    <w:rsid w:val="00FA0DF9"/>
    <w:rsid w:val="00FA440A"/>
    <w:rsid w:val="00FB5EED"/>
    <w:rsid w:val="00FC0DB3"/>
    <w:rsid w:val="00FC339A"/>
    <w:rsid w:val="00FD5D84"/>
    <w:rsid w:val="00FE1A97"/>
    <w:rsid w:val="00FE229C"/>
    <w:rsid w:val="00FF566B"/>
    <w:rsid w:val="00FF649F"/>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EF8B"/>
  <w15:chartTrackingRefBased/>
  <w15:docId w15:val="{156451DB-D831-4574-B7EC-3B971669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16B"/>
  </w:style>
  <w:style w:type="paragraph" w:styleId="Footer">
    <w:name w:val="footer"/>
    <w:basedOn w:val="Normal"/>
    <w:link w:val="FooterChar"/>
    <w:uiPriority w:val="99"/>
    <w:unhideWhenUsed/>
    <w:rsid w:val="00061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16B"/>
  </w:style>
  <w:style w:type="character" w:styleId="Emphasis">
    <w:name w:val="Emphasis"/>
    <w:basedOn w:val="DefaultParagraphFont"/>
    <w:uiPriority w:val="20"/>
    <w:qFormat/>
    <w:rsid w:val="005F2E9B"/>
    <w:rPr>
      <w:i/>
      <w:iCs/>
    </w:rPr>
  </w:style>
  <w:style w:type="character" w:styleId="Hyperlink">
    <w:name w:val="Hyperlink"/>
    <w:basedOn w:val="DefaultParagraphFont"/>
    <w:uiPriority w:val="99"/>
    <w:unhideWhenUsed/>
    <w:rsid w:val="005F2E9B"/>
    <w:rPr>
      <w:color w:val="0563C1" w:themeColor="hyperlink"/>
      <w:u w:val="single"/>
    </w:rPr>
  </w:style>
  <w:style w:type="character" w:styleId="UnresolvedMention">
    <w:name w:val="Unresolved Mention"/>
    <w:basedOn w:val="DefaultParagraphFont"/>
    <w:uiPriority w:val="99"/>
    <w:semiHidden/>
    <w:unhideWhenUsed/>
    <w:rsid w:val="005F2E9B"/>
    <w:rPr>
      <w:color w:val="605E5C"/>
      <w:shd w:val="clear" w:color="auto" w:fill="E1DFDD"/>
    </w:rPr>
  </w:style>
  <w:style w:type="character" w:styleId="FollowedHyperlink">
    <w:name w:val="FollowedHyperlink"/>
    <w:basedOn w:val="DefaultParagraphFont"/>
    <w:uiPriority w:val="99"/>
    <w:semiHidden/>
    <w:unhideWhenUsed/>
    <w:rsid w:val="005921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23741">
      <w:bodyDiv w:val="1"/>
      <w:marLeft w:val="0"/>
      <w:marRight w:val="0"/>
      <w:marTop w:val="0"/>
      <w:marBottom w:val="0"/>
      <w:divBdr>
        <w:top w:val="none" w:sz="0" w:space="0" w:color="auto"/>
        <w:left w:val="none" w:sz="0" w:space="0" w:color="auto"/>
        <w:bottom w:val="none" w:sz="0" w:space="0" w:color="auto"/>
        <w:right w:val="none" w:sz="0" w:space="0" w:color="auto"/>
      </w:divBdr>
      <w:divsChild>
        <w:div w:id="1631596913">
          <w:marLeft w:val="1267"/>
          <w:marRight w:val="0"/>
          <w:marTop w:val="0"/>
          <w:marBottom w:val="0"/>
          <w:divBdr>
            <w:top w:val="none" w:sz="0" w:space="0" w:color="auto"/>
            <w:left w:val="none" w:sz="0" w:space="0" w:color="auto"/>
            <w:bottom w:val="none" w:sz="0" w:space="0" w:color="auto"/>
            <w:right w:val="none" w:sz="0" w:space="0" w:color="auto"/>
          </w:divBdr>
        </w:div>
      </w:divsChild>
    </w:div>
    <w:div w:id="1278096425">
      <w:bodyDiv w:val="1"/>
      <w:marLeft w:val="0"/>
      <w:marRight w:val="0"/>
      <w:marTop w:val="0"/>
      <w:marBottom w:val="0"/>
      <w:divBdr>
        <w:top w:val="none" w:sz="0" w:space="0" w:color="auto"/>
        <w:left w:val="none" w:sz="0" w:space="0" w:color="auto"/>
        <w:bottom w:val="none" w:sz="0" w:space="0" w:color="auto"/>
        <w:right w:val="none" w:sz="0" w:space="0" w:color="auto"/>
      </w:divBdr>
    </w:div>
    <w:div w:id="1419668734">
      <w:bodyDiv w:val="1"/>
      <w:marLeft w:val="0"/>
      <w:marRight w:val="0"/>
      <w:marTop w:val="0"/>
      <w:marBottom w:val="0"/>
      <w:divBdr>
        <w:top w:val="none" w:sz="0" w:space="0" w:color="auto"/>
        <w:left w:val="none" w:sz="0" w:space="0" w:color="auto"/>
        <w:bottom w:val="none" w:sz="0" w:space="0" w:color="auto"/>
        <w:right w:val="none" w:sz="0" w:space="0" w:color="auto"/>
      </w:divBdr>
      <w:divsChild>
        <w:div w:id="1863932489">
          <w:marLeft w:val="432"/>
          <w:marRight w:val="0"/>
          <w:marTop w:val="360"/>
          <w:marBottom w:val="0"/>
          <w:divBdr>
            <w:top w:val="none" w:sz="0" w:space="0" w:color="auto"/>
            <w:left w:val="none" w:sz="0" w:space="0" w:color="auto"/>
            <w:bottom w:val="none" w:sz="0" w:space="0" w:color="auto"/>
            <w:right w:val="none" w:sz="0" w:space="0" w:color="auto"/>
          </w:divBdr>
        </w:div>
        <w:div w:id="293144828">
          <w:marLeft w:val="792"/>
          <w:marRight w:val="0"/>
          <w:marTop w:val="120"/>
          <w:marBottom w:val="0"/>
          <w:divBdr>
            <w:top w:val="none" w:sz="0" w:space="0" w:color="auto"/>
            <w:left w:val="none" w:sz="0" w:space="0" w:color="auto"/>
            <w:bottom w:val="none" w:sz="0" w:space="0" w:color="auto"/>
            <w:right w:val="none" w:sz="0" w:space="0" w:color="auto"/>
          </w:divBdr>
        </w:div>
        <w:div w:id="1758475220">
          <w:marLeft w:val="792"/>
          <w:marRight w:val="0"/>
          <w:marTop w:val="120"/>
          <w:marBottom w:val="0"/>
          <w:divBdr>
            <w:top w:val="none" w:sz="0" w:space="0" w:color="auto"/>
            <w:left w:val="none" w:sz="0" w:space="0" w:color="auto"/>
            <w:bottom w:val="none" w:sz="0" w:space="0" w:color="auto"/>
            <w:right w:val="none" w:sz="0" w:space="0" w:color="auto"/>
          </w:divBdr>
        </w:div>
        <w:div w:id="1776944586">
          <w:marLeft w:val="432"/>
          <w:marRight w:val="0"/>
          <w:marTop w:val="360"/>
          <w:marBottom w:val="0"/>
          <w:divBdr>
            <w:top w:val="none" w:sz="0" w:space="0" w:color="auto"/>
            <w:left w:val="none" w:sz="0" w:space="0" w:color="auto"/>
            <w:bottom w:val="none" w:sz="0" w:space="0" w:color="auto"/>
            <w:right w:val="none" w:sz="0" w:space="0" w:color="auto"/>
          </w:divBdr>
        </w:div>
        <w:div w:id="1186943607">
          <w:marLeft w:val="792"/>
          <w:marRight w:val="0"/>
          <w:marTop w:val="120"/>
          <w:marBottom w:val="0"/>
          <w:divBdr>
            <w:top w:val="none" w:sz="0" w:space="0" w:color="auto"/>
            <w:left w:val="none" w:sz="0" w:space="0" w:color="auto"/>
            <w:bottom w:val="none" w:sz="0" w:space="0" w:color="auto"/>
            <w:right w:val="none" w:sz="0" w:space="0" w:color="auto"/>
          </w:divBdr>
        </w:div>
        <w:div w:id="1800300596">
          <w:marLeft w:val="792"/>
          <w:marRight w:val="0"/>
          <w:marTop w:val="120"/>
          <w:marBottom w:val="0"/>
          <w:divBdr>
            <w:top w:val="none" w:sz="0" w:space="0" w:color="auto"/>
            <w:left w:val="none" w:sz="0" w:space="0" w:color="auto"/>
            <w:bottom w:val="none" w:sz="0" w:space="0" w:color="auto"/>
            <w:right w:val="none" w:sz="0" w:space="0" w:color="auto"/>
          </w:divBdr>
        </w:div>
        <w:div w:id="1988968541">
          <w:marLeft w:val="432"/>
          <w:marRight w:val="0"/>
          <w:marTop w:val="360"/>
          <w:marBottom w:val="0"/>
          <w:divBdr>
            <w:top w:val="none" w:sz="0" w:space="0" w:color="auto"/>
            <w:left w:val="none" w:sz="0" w:space="0" w:color="auto"/>
            <w:bottom w:val="none" w:sz="0" w:space="0" w:color="auto"/>
            <w:right w:val="none" w:sz="0" w:space="0" w:color="auto"/>
          </w:divBdr>
        </w:div>
        <w:div w:id="101921124">
          <w:marLeft w:val="792"/>
          <w:marRight w:val="0"/>
          <w:marTop w:val="120"/>
          <w:marBottom w:val="0"/>
          <w:divBdr>
            <w:top w:val="none" w:sz="0" w:space="0" w:color="auto"/>
            <w:left w:val="none" w:sz="0" w:space="0" w:color="auto"/>
            <w:bottom w:val="none" w:sz="0" w:space="0" w:color="auto"/>
            <w:right w:val="none" w:sz="0" w:space="0" w:color="auto"/>
          </w:divBdr>
        </w:div>
        <w:div w:id="2007394914">
          <w:marLeft w:val="792"/>
          <w:marRight w:val="0"/>
          <w:marTop w:val="120"/>
          <w:marBottom w:val="0"/>
          <w:divBdr>
            <w:top w:val="none" w:sz="0" w:space="0" w:color="auto"/>
            <w:left w:val="none" w:sz="0" w:space="0" w:color="auto"/>
            <w:bottom w:val="none" w:sz="0" w:space="0" w:color="auto"/>
            <w:right w:val="none" w:sz="0" w:space="0" w:color="auto"/>
          </w:divBdr>
        </w:div>
      </w:divsChild>
    </w:div>
    <w:div w:id="1505241728">
      <w:bodyDiv w:val="1"/>
      <w:marLeft w:val="0"/>
      <w:marRight w:val="0"/>
      <w:marTop w:val="0"/>
      <w:marBottom w:val="0"/>
      <w:divBdr>
        <w:top w:val="none" w:sz="0" w:space="0" w:color="auto"/>
        <w:left w:val="none" w:sz="0" w:space="0" w:color="auto"/>
        <w:bottom w:val="none" w:sz="0" w:space="0" w:color="auto"/>
        <w:right w:val="none" w:sz="0" w:space="0" w:color="auto"/>
      </w:divBdr>
      <w:divsChild>
        <w:div w:id="2069528283">
          <w:marLeft w:val="547"/>
          <w:marRight w:val="0"/>
          <w:marTop w:val="0"/>
          <w:marBottom w:val="0"/>
          <w:divBdr>
            <w:top w:val="none" w:sz="0" w:space="0" w:color="auto"/>
            <w:left w:val="none" w:sz="0" w:space="0" w:color="auto"/>
            <w:bottom w:val="none" w:sz="0" w:space="0" w:color="auto"/>
            <w:right w:val="none" w:sz="0" w:space="0" w:color="auto"/>
          </w:divBdr>
        </w:div>
        <w:div w:id="224530823">
          <w:marLeft w:val="1267"/>
          <w:marRight w:val="0"/>
          <w:marTop w:val="0"/>
          <w:marBottom w:val="0"/>
          <w:divBdr>
            <w:top w:val="none" w:sz="0" w:space="0" w:color="auto"/>
            <w:left w:val="none" w:sz="0" w:space="0" w:color="auto"/>
            <w:bottom w:val="none" w:sz="0" w:space="0" w:color="auto"/>
            <w:right w:val="none" w:sz="0" w:space="0" w:color="auto"/>
          </w:divBdr>
        </w:div>
        <w:div w:id="50813503">
          <w:marLeft w:val="547"/>
          <w:marRight w:val="0"/>
          <w:marTop w:val="0"/>
          <w:marBottom w:val="0"/>
          <w:divBdr>
            <w:top w:val="none" w:sz="0" w:space="0" w:color="auto"/>
            <w:left w:val="none" w:sz="0" w:space="0" w:color="auto"/>
            <w:bottom w:val="none" w:sz="0" w:space="0" w:color="auto"/>
            <w:right w:val="none" w:sz="0" w:space="0" w:color="auto"/>
          </w:divBdr>
        </w:div>
        <w:div w:id="491677944">
          <w:marLeft w:val="1267"/>
          <w:marRight w:val="0"/>
          <w:marTop w:val="0"/>
          <w:marBottom w:val="0"/>
          <w:divBdr>
            <w:top w:val="none" w:sz="0" w:space="0" w:color="auto"/>
            <w:left w:val="none" w:sz="0" w:space="0" w:color="auto"/>
            <w:bottom w:val="none" w:sz="0" w:space="0" w:color="auto"/>
            <w:right w:val="none" w:sz="0" w:space="0" w:color="auto"/>
          </w:divBdr>
        </w:div>
        <w:div w:id="2038657867">
          <w:marLeft w:val="547"/>
          <w:marRight w:val="0"/>
          <w:marTop w:val="0"/>
          <w:marBottom w:val="0"/>
          <w:divBdr>
            <w:top w:val="none" w:sz="0" w:space="0" w:color="auto"/>
            <w:left w:val="none" w:sz="0" w:space="0" w:color="auto"/>
            <w:bottom w:val="none" w:sz="0" w:space="0" w:color="auto"/>
            <w:right w:val="none" w:sz="0" w:space="0" w:color="auto"/>
          </w:divBdr>
        </w:div>
        <w:div w:id="1904295114">
          <w:marLeft w:val="1267"/>
          <w:marRight w:val="0"/>
          <w:marTop w:val="0"/>
          <w:marBottom w:val="0"/>
          <w:divBdr>
            <w:top w:val="none" w:sz="0" w:space="0" w:color="auto"/>
            <w:left w:val="none" w:sz="0" w:space="0" w:color="auto"/>
            <w:bottom w:val="none" w:sz="0" w:space="0" w:color="auto"/>
            <w:right w:val="none" w:sz="0" w:space="0" w:color="auto"/>
          </w:divBdr>
        </w:div>
        <w:div w:id="1679966281">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77/016001799761012334" TargetMode="External"/><Relationship Id="rId18" Type="http://schemas.openxmlformats.org/officeDocument/2006/relationships/hyperlink" Target="https://www.researchgate.net/profile/Yuri-Yegorov/publication/271497718_Socio-economic_influences_of_population_density/links/56716ccd08aececfd5553152/Socio-economic-influences-of-population-density.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006/ssre.1994.1001" TargetMode="External"/><Relationship Id="rId17" Type="http://schemas.openxmlformats.org/officeDocument/2006/relationships/hyperlink" Target="https://doi.org/10.1098/rsif.2017.0401" TargetMode="External"/><Relationship Id="rId2" Type="http://schemas.openxmlformats.org/officeDocument/2006/relationships/styles" Target="styles.xml"/><Relationship Id="rId16" Type="http://schemas.openxmlformats.org/officeDocument/2006/relationships/hyperlink" Target="https://doi.org/10.1016/j.jue.2006.08.00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62/003355302320935025" TargetMode="External"/><Relationship Id="rId5" Type="http://schemas.openxmlformats.org/officeDocument/2006/relationships/footnotes" Target="footnotes.xml"/><Relationship Id="rId15" Type="http://schemas.openxmlformats.org/officeDocument/2006/relationships/hyperlink" Target="https://core.ac.uk/download/pdf/6294577.pdf" TargetMode="External"/><Relationship Id="rId10" Type="http://schemas.openxmlformats.org/officeDocument/2006/relationships/hyperlink" Target="https://doi.org/10.1093/ije/dyu112"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3390/ijgi10070432" TargetMode="External"/><Relationship Id="rId14" Type="http://schemas.openxmlformats.org/officeDocument/2006/relationships/hyperlink" Target="https://doi.org/10.1023/A:1011307327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1721</TotalTime>
  <Pages>8</Pages>
  <Words>5753</Words>
  <Characters>32797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dc:creator>
  <cp:keywords/>
  <dc:description/>
  <cp:lastModifiedBy>Josh •w•</cp:lastModifiedBy>
  <cp:revision>559</cp:revision>
  <dcterms:created xsi:type="dcterms:W3CDTF">2023-04-10T21:39:00Z</dcterms:created>
  <dcterms:modified xsi:type="dcterms:W3CDTF">2023-05-05T22:45:00Z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id="NRenTpjv"/&gt;&lt;style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