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51E13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  <w:rPr>
          <w:rFonts w:hint="eastAsia" w:ascii="宋体" w:hAnsi="宋体" w:eastAsia="宋体" w:cs="宋体"/>
          <w:b/>
          <w:bCs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</w:p>
    <w:p w14:paraId="55A0B70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发电负荷预测与统一管理</w:t>
      </w:r>
    </w:p>
    <w:p w14:paraId="416EAB2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需求分析文档</w:t>
      </w:r>
    </w:p>
    <w:p w14:paraId="4DA7DE9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3C140DC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6861052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版本：V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0.1</w:t>
      </w:r>
    </w:p>
    <w:p w14:paraId="6D0F60B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01FD30A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693F718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41F2DDC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1D32D95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42C87B0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2023A92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131C5A0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41B6FF8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软件构造开发团队</w:t>
      </w:r>
    </w:p>
    <w:p w14:paraId="2476E73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00901F4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160" w:line="480" w:lineRule="auto"/>
        <w:textAlignment w:val="auto"/>
        <w:rPr>
          <w:rFonts w:hint="eastAsia" w:ascii="宋体" w:hAnsi="宋体" w:eastAsia="宋体" w:cs="宋体"/>
          <w:bCs/>
          <w:sz w:val="24"/>
          <w:szCs w:val="24"/>
        </w:rPr>
        <w:sectPr>
          <w:pgSz w:w="11906" w:h="16838"/>
          <w:pgMar w:top="1418" w:right="1418" w:bottom="1191" w:left="1418" w:header="851" w:footer="992" w:gutter="284"/>
          <w:cols w:space="425" w:num="1"/>
          <w:docGrid w:type="lines" w:linePitch="312" w:charSpace="0"/>
        </w:sectPr>
      </w:pPr>
    </w:p>
    <w:p w14:paraId="340C2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文档修订记录</w:t>
      </w:r>
    </w:p>
    <w:tbl>
      <w:tblPr>
        <w:tblStyle w:val="31"/>
        <w:tblW w:w="91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840"/>
        <w:gridCol w:w="2160"/>
        <w:gridCol w:w="1320"/>
        <w:gridCol w:w="960"/>
        <w:gridCol w:w="1320"/>
        <w:gridCol w:w="960"/>
      </w:tblGrid>
      <w:tr w14:paraId="7BCA3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48" w:type="dxa"/>
            <w:shd w:val="clear" w:color="auto" w:fill="E6E6E6"/>
            <w:vAlign w:val="center"/>
          </w:tcPr>
          <w:p w14:paraId="521C97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版本编号或者更改记录编号</w:t>
            </w:r>
          </w:p>
        </w:tc>
        <w:tc>
          <w:tcPr>
            <w:tcW w:w="840" w:type="dxa"/>
            <w:shd w:val="clear" w:color="auto" w:fill="E6E6E6"/>
            <w:vAlign w:val="center"/>
          </w:tcPr>
          <w:p w14:paraId="2DF8ED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*变化</w:t>
            </w:r>
          </w:p>
          <w:p w14:paraId="41B85A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状态</w:t>
            </w:r>
          </w:p>
        </w:tc>
        <w:tc>
          <w:tcPr>
            <w:tcW w:w="2160" w:type="dxa"/>
            <w:shd w:val="clear" w:color="auto" w:fill="E6E6E6"/>
            <w:vAlign w:val="center"/>
          </w:tcPr>
          <w:p w14:paraId="587BFC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简要说明（变更内容和变更范围）</w:t>
            </w:r>
          </w:p>
        </w:tc>
        <w:tc>
          <w:tcPr>
            <w:tcW w:w="1320" w:type="dxa"/>
            <w:shd w:val="clear" w:color="auto" w:fill="E6E6E6"/>
            <w:vAlign w:val="center"/>
          </w:tcPr>
          <w:p w14:paraId="279AA5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日期</w:t>
            </w:r>
          </w:p>
        </w:tc>
        <w:tc>
          <w:tcPr>
            <w:tcW w:w="960" w:type="dxa"/>
            <w:shd w:val="clear" w:color="auto" w:fill="E6E6E6"/>
            <w:vAlign w:val="center"/>
          </w:tcPr>
          <w:p w14:paraId="72D512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变更人</w:t>
            </w:r>
          </w:p>
        </w:tc>
        <w:tc>
          <w:tcPr>
            <w:tcW w:w="1320" w:type="dxa"/>
            <w:shd w:val="clear" w:color="auto" w:fill="E6E6E6"/>
            <w:vAlign w:val="center"/>
          </w:tcPr>
          <w:p w14:paraId="73301C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批准日期</w:t>
            </w:r>
          </w:p>
        </w:tc>
        <w:tc>
          <w:tcPr>
            <w:tcW w:w="960" w:type="dxa"/>
            <w:shd w:val="clear" w:color="auto" w:fill="E6E6E6"/>
            <w:vAlign w:val="center"/>
          </w:tcPr>
          <w:p w14:paraId="17BAFE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批准人</w:t>
            </w:r>
          </w:p>
        </w:tc>
      </w:tr>
      <w:tr w14:paraId="16043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48" w:type="dxa"/>
            <w:vAlign w:val="center"/>
          </w:tcPr>
          <w:p w14:paraId="2B24E0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V0.1</w:t>
            </w:r>
          </w:p>
        </w:tc>
        <w:tc>
          <w:tcPr>
            <w:tcW w:w="840" w:type="dxa"/>
            <w:vAlign w:val="center"/>
          </w:tcPr>
          <w:p w14:paraId="40B951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A</w:t>
            </w:r>
          </w:p>
        </w:tc>
        <w:tc>
          <w:tcPr>
            <w:tcW w:w="2160" w:type="dxa"/>
            <w:vAlign w:val="center"/>
          </w:tcPr>
          <w:p w14:paraId="2075A1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建档</w:t>
            </w:r>
          </w:p>
        </w:tc>
        <w:tc>
          <w:tcPr>
            <w:tcW w:w="1320" w:type="dxa"/>
            <w:vAlign w:val="center"/>
          </w:tcPr>
          <w:p w14:paraId="5BB17E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2026.5.8</w:t>
            </w:r>
          </w:p>
        </w:tc>
        <w:tc>
          <w:tcPr>
            <w:tcW w:w="960" w:type="dxa"/>
            <w:vAlign w:val="center"/>
          </w:tcPr>
          <w:p w14:paraId="4348B6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林齐灿 盛兆煜</w:t>
            </w:r>
          </w:p>
        </w:tc>
        <w:tc>
          <w:tcPr>
            <w:tcW w:w="1320" w:type="dxa"/>
            <w:vAlign w:val="center"/>
          </w:tcPr>
          <w:p w14:paraId="577C36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2026.5.8</w:t>
            </w:r>
          </w:p>
        </w:tc>
        <w:tc>
          <w:tcPr>
            <w:tcW w:w="960" w:type="dxa"/>
            <w:vAlign w:val="center"/>
          </w:tcPr>
          <w:p w14:paraId="533E3F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41A30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48" w:type="dxa"/>
            <w:vAlign w:val="center"/>
          </w:tcPr>
          <w:p w14:paraId="3BA0D8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840" w:type="dxa"/>
            <w:vAlign w:val="center"/>
          </w:tcPr>
          <w:p w14:paraId="24A873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2160" w:type="dxa"/>
            <w:vAlign w:val="center"/>
          </w:tcPr>
          <w:p w14:paraId="6D704E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20" w:type="dxa"/>
            <w:vAlign w:val="center"/>
          </w:tcPr>
          <w:p w14:paraId="0879BC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960" w:type="dxa"/>
            <w:vAlign w:val="center"/>
          </w:tcPr>
          <w:p w14:paraId="414E53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20" w:type="dxa"/>
            <w:vAlign w:val="center"/>
          </w:tcPr>
          <w:p w14:paraId="74D8F1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960" w:type="dxa"/>
            <w:vAlign w:val="center"/>
          </w:tcPr>
          <w:p w14:paraId="41AA69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74E76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48" w:type="dxa"/>
            <w:vAlign w:val="center"/>
          </w:tcPr>
          <w:p w14:paraId="25E51A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840" w:type="dxa"/>
            <w:vAlign w:val="center"/>
          </w:tcPr>
          <w:p w14:paraId="61236D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2160" w:type="dxa"/>
            <w:vAlign w:val="center"/>
          </w:tcPr>
          <w:p w14:paraId="27290E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20" w:type="dxa"/>
            <w:vAlign w:val="center"/>
          </w:tcPr>
          <w:p w14:paraId="6D2B22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960" w:type="dxa"/>
            <w:vAlign w:val="center"/>
          </w:tcPr>
          <w:p w14:paraId="2ADF09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20" w:type="dxa"/>
            <w:vAlign w:val="center"/>
          </w:tcPr>
          <w:p w14:paraId="49819F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960" w:type="dxa"/>
            <w:vAlign w:val="center"/>
          </w:tcPr>
          <w:p w14:paraId="0CD225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3D93A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48" w:type="dxa"/>
            <w:vAlign w:val="center"/>
          </w:tcPr>
          <w:p w14:paraId="6C2B5C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840" w:type="dxa"/>
            <w:vAlign w:val="center"/>
          </w:tcPr>
          <w:p w14:paraId="568C04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2160" w:type="dxa"/>
            <w:vAlign w:val="center"/>
          </w:tcPr>
          <w:p w14:paraId="5484D9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20" w:type="dxa"/>
            <w:vAlign w:val="center"/>
          </w:tcPr>
          <w:p w14:paraId="07A11D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960" w:type="dxa"/>
            <w:vAlign w:val="center"/>
          </w:tcPr>
          <w:p w14:paraId="4AFB06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20" w:type="dxa"/>
            <w:vAlign w:val="center"/>
          </w:tcPr>
          <w:p w14:paraId="1B335C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960" w:type="dxa"/>
            <w:vAlign w:val="center"/>
          </w:tcPr>
          <w:p w14:paraId="1C7E8A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60412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48" w:type="dxa"/>
            <w:vAlign w:val="center"/>
          </w:tcPr>
          <w:p w14:paraId="65B092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840" w:type="dxa"/>
            <w:vAlign w:val="center"/>
          </w:tcPr>
          <w:p w14:paraId="41DE98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2160" w:type="dxa"/>
            <w:vAlign w:val="center"/>
          </w:tcPr>
          <w:p w14:paraId="137BA9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20" w:type="dxa"/>
            <w:vAlign w:val="center"/>
          </w:tcPr>
          <w:p w14:paraId="0A2BF6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960" w:type="dxa"/>
            <w:vAlign w:val="center"/>
          </w:tcPr>
          <w:p w14:paraId="53A51E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20" w:type="dxa"/>
            <w:vAlign w:val="center"/>
          </w:tcPr>
          <w:p w14:paraId="008E1C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960" w:type="dxa"/>
            <w:vAlign w:val="center"/>
          </w:tcPr>
          <w:p w14:paraId="66EE55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</w:tbl>
    <w:p w14:paraId="3F36CA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>*变化状态：A——增加，M——修改，D——删除，N——正式发布</w:t>
      </w:r>
    </w:p>
    <w:p w14:paraId="34061A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bCs/>
          <w:sz w:val="24"/>
          <w:szCs w:val="24"/>
        </w:rPr>
      </w:pPr>
    </w:p>
    <w:p w14:paraId="693879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文档审阅信息</w:t>
      </w:r>
    </w:p>
    <w:tbl>
      <w:tblPr>
        <w:tblStyle w:val="31"/>
        <w:tblW w:w="93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1320"/>
        <w:gridCol w:w="1916"/>
        <w:gridCol w:w="1800"/>
        <w:gridCol w:w="1800"/>
        <w:gridCol w:w="1680"/>
      </w:tblGrid>
      <w:tr w14:paraId="3C96D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dxa"/>
            <w:shd w:val="clear" w:color="auto" w:fill="E6E6E6"/>
            <w:vAlign w:val="center"/>
          </w:tcPr>
          <w:p w14:paraId="3691ED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序号</w:t>
            </w:r>
          </w:p>
        </w:tc>
        <w:tc>
          <w:tcPr>
            <w:tcW w:w="1320" w:type="dxa"/>
            <w:shd w:val="clear" w:color="auto" w:fill="E6E6E6"/>
            <w:vAlign w:val="center"/>
          </w:tcPr>
          <w:p w14:paraId="175D2D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审阅人</w:t>
            </w:r>
          </w:p>
        </w:tc>
        <w:tc>
          <w:tcPr>
            <w:tcW w:w="1916" w:type="dxa"/>
            <w:shd w:val="clear" w:color="auto" w:fill="E6E6E6"/>
            <w:vAlign w:val="center"/>
          </w:tcPr>
          <w:p w14:paraId="6CB72C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角色</w:t>
            </w:r>
          </w:p>
        </w:tc>
        <w:tc>
          <w:tcPr>
            <w:tcW w:w="1800" w:type="dxa"/>
            <w:shd w:val="clear" w:color="auto" w:fill="E6E6E6"/>
            <w:vAlign w:val="center"/>
          </w:tcPr>
          <w:p w14:paraId="4A2C16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审阅日期</w:t>
            </w:r>
          </w:p>
        </w:tc>
        <w:tc>
          <w:tcPr>
            <w:tcW w:w="1800" w:type="dxa"/>
            <w:shd w:val="clear" w:color="auto" w:fill="E6E6E6"/>
            <w:vAlign w:val="center"/>
          </w:tcPr>
          <w:p w14:paraId="185925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签字</w:t>
            </w:r>
          </w:p>
        </w:tc>
        <w:tc>
          <w:tcPr>
            <w:tcW w:w="1680" w:type="dxa"/>
            <w:shd w:val="clear" w:color="auto" w:fill="E6E6E6"/>
            <w:vAlign w:val="center"/>
          </w:tcPr>
          <w:p w14:paraId="2F03B7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备注</w:t>
            </w:r>
          </w:p>
        </w:tc>
      </w:tr>
      <w:tr w14:paraId="0B651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28" w:type="dxa"/>
            <w:vAlign w:val="center"/>
          </w:tcPr>
          <w:p w14:paraId="01E910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20" w:type="dxa"/>
            <w:vAlign w:val="center"/>
          </w:tcPr>
          <w:p w14:paraId="652247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916" w:type="dxa"/>
            <w:vAlign w:val="center"/>
          </w:tcPr>
          <w:p w14:paraId="6F2E9B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6A0AC2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39CFF8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7A82EA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1DCAB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28" w:type="dxa"/>
            <w:vAlign w:val="center"/>
          </w:tcPr>
          <w:p w14:paraId="412377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20" w:type="dxa"/>
            <w:vAlign w:val="center"/>
          </w:tcPr>
          <w:p w14:paraId="08B34F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916" w:type="dxa"/>
            <w:vAlign w:val="center"/>
          </w:tcPr>
          <w:p w14:paraId="6204E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714468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685FE7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423246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064DF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28" w:type="dxa"/>
            <w:vAlign w:val="center"/>
          </w:tcPr>
          <w:p w14:paraId="04C4FD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20" w:type="dxa"/>
            <w:vAlign w:val="center"/>
          </w:tcPr>
          <w:p w14:paraId="142F1E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916" w:type="dxa"/>
            <w:vAlign w:val="center"/>
          </w:tcPr>
          <w:p w14:paraId="6E9E9F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564765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0C0ABB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12CAB9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09B72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28" w:type="dxa"/>
            <w:vAlign w:val="center"/>
          </w:tcPr>
          <w:p w14:paraId="7760FA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20" w:type="dxa"/>
            <w:vAlign w:val="center"/>
          </w:tcPr>
          <w:p w14:paraId="5E64B0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916" w:type="dxa"/>
            <w:vAlign w:val="center"/>
          </w:tcPr>
          <w:p w14:paraId="57D766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7D8F87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063D3A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75F316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0EFCB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28" w:type="dxa"/>
            <w:vAlign w:val="center"/>
          </w:tcPr>
          <w:p w14:paraId="52A146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20" w:type="dxa"/>
            <w:vAlign w:val="center"/>
          </w:tcPr>
          <w:p w14:paraId="101C5B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916" w:type="dxa"/>
            <w:vAlign w:val="center"/>
          </w:tcPr>
          <w:p w14:paraId="2AFA93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69F4A3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693C55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4A969C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363C7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28" w:type="dxa"/>
            <w:vAlign w:val="center"/>
          </w:tcPr>
          <w:p w14:paraId="0FED6F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20" w:type="dxa"/>
            <w:vAlign w:val="center"/>
          </w:tcPr>
          <w:p w14:paraId="22DA2C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916" w:type="dxa"/>
            <w:vAlign w:val="center"/>
          </w:tcPr>
          <w:p w14:paraId="26E375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7F16C1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270408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60BFB9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0CE31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28" w:type="dxa"/>
            <w:vAlign w:val="center"/>
          </w:tcPr>
          <w:p w14:paraId="49DD33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20" w:type="dxa"/>
            <w:vAlign w:val="center"/>
          </w:tcPr>
          <w:p w14:paraId="45FEDF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916" w:type="dxa"/>
            <w:vAlign w:val="center"/>
          </w:tcPr>
          <w:p w14:paraId="5DD187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4A5083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0DD551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80" w:type="dxa"/>
            <w:vAlign w:val="center"/>
          </w:tcPr>
          <w:p w14:paraId="4BAB7C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</w:tbl>
    <w:p w14:paraId="52FC88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  <w:sectPr>
          <w:headerReference r:id="rId3" w:type="default"/>
          <w:footerReference r:id="rId4" w:type="default"/>
          <w:pgSz w:w="11906" w:h="16838"/>
          <w:pgMar w:top="1418" w:right="1418" w:bottom="1191" w:left="1418" w:header="851" w:footer="992" w:gutter="284"/>
          <w:pgNumType w:fmt="upperRoman"/>
          <w:cols w:space="425" w:num="1"/>
          <w:docGrid w:type="lines" w:linePitch="312" w:charSpace="0"/>
        </w:sectPr>
      </w:pPr>
    </w:p>
    <w:p w14:paraId="3F665EF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目 录</w:t>
      </w:r>
    </w:p>
    <w:p w14:paraId="0793091A">
      <w:pPr>
        <w:pStyle w:val="23"/>
        <w:tabs>
          <w:tab w:val="right" w:leader="dot" w:pos="8786"/>
        </w:tabs>
      </w:pPr>
      <w:r>
        <w:rPr>
          <w:rFonts w:hint="eastAsia" w:ascii="宋体" w:hAnsi="宋体" w:eastAsia="宋体" w:cs="宋体"/>
          <w:kern w:val="0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TOC \o "1-3" \h \u </w:instrText>
      </w:r>
      <w:r>
        <w:rPr>
          <w:rFonts w:hint="eastAsia" w:ascii="宋体" w:hAnsi="宋体" w:eastAsia="宋体" w:cs="宋体"/>
          <w:kern w:val="0"/>
          <w:sz w:val="24"/>
          <w:szCs w:val="24"/>
        </w:rPr>
        <w:fldChar w:fldCharType="separate"/>
      </w:r>
      <w:r>
        <w:rPr>
          <w:rFonts w:hint="eastAsia" w:ascii="宋体" w:hAnsi="宋体" w:eastAsia="宋体" w:cs="宋体"/>
          <w:kern w:val="0"/>
          <w:szCs w:val="24"/>
        </w:rPr>
        <w:fldChar w:fldCharType="begin"/>
      </w:r>
      <w:r>
        <w:rPr>
          <w:rFonts w:hint="eastAsia" w:ascii="宋体" w:hAnsi="宋体" w:eastAsia="宋体" w:cs="宋体"/>
          <w:kern w:val="0"/>
          <w:szCs w:val="24"/>
        </w:rPr>
        <w:instrText xml:space="preserve"> HYPERLINK \l _Toc7263 </w:instrText>
      </w:r>
      <w:r>
        <w:rPr>
          <w:rFonts w:hint="eastAsia" w:ascii="宋体" w:hAnsi="宋体" w:eastAsia="宋体" w:cs="宋体"/>
          <w:kern w:val="0"/>
          <w:szCs w:val="24"/>
        </w:rPr>
        <w:fldChar w:fldCharType="separate"/>
      </w:r>
      <w:r>
        <w:rPr>
          <w:rFonts w:hint="default" w:ascii="宋体" w:hAnsi="宋体" w:eastAsia="宋体" w:cs="宋体"/>
          <w:szCs w:val="44"/>
        </w:rPr>
        <w:t xml:space="preserve">1 </w:t>
      </w:r>
      <w:r>
        <w:rPr>
          <w:rFonts w:hint="eastAsia" w:ascii="宋体" w:hAnsi="宋体" w:eastAsia="宋体" w:cs="宋体"/>
          <w:szCs w:val="44"/>
        </w:rPr>
        <w:t>项目背景</w:t>
      </w:r>
      <w:r>
        <w:tab/>
      </w:r>
      <w:r>
        <w:fldChar w:fldCharType="begin"/>
      </w:r>
      <w:r>
        <w:instrText xml:space="preserve"> PAGEREF _Toc7263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eastAsia="宋体" w:cs="宋体"/>
          <w:kern w:val="0"/>
          <w:szCs w:val="24"/>
        </w:rPr>
        <w:fldChar w:fldCharType="end"/>
      </w:r>
    </w:p>
    <w:p w14:paraId="2A9C6898">
      <w:pPr>
        <w:pStyle w:val="23"/>
        <w:tabs>
          <w:tab w:val="right" w:leader="dot" w:pos="8786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_Toc21737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szCs w:val="44"/>
        </w:rPr>
        <w:t xml:space="preserve">2 </w:t>
      </w:r>
      <w:r>
        <w:rPr>
          <w:rFonts w:hint="eastAsia" w:ascii="宋体" w:hAnsi="宋体" w:eastAsia="宋体" w:cs="宋体"/>
          <w:szCs w:val="44"/>
        </w:rPr>
        <w:t>业务目标</w:t>
      </w:r>
      <w:r>
        <w:tab/>
      </w:r>
      <w:r>
        <w:fldChar w:fldCharType="begin"/>
      </w:r>
      <w:r>
        <w:instrText xml:space="preserve"> PAGEREF _Toc21737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448D37E4">
      <w:pPr>
        <w:pStyle w:val="23"/>
        <w:tabs>
          <w:tab w:val="right" w:leader="dot" w:pos="8786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_Toc16166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szCs w:val="44"/>
        </w:rPr>
        <w:t xml:space="preserve">3 </w:t>
      </w:r>
      <w:r>
        <w:rPr>
          <w:rFonts w:hint="eastAsia" w:ascii="宋体" w:hAnsi="宋体" w:eastAsia="宋体" w:cs="宋体"/>
          <w:szCs w:val="24"/>
        </w:rPr>
        <w:t>业务问题澄清（需求说明原文复现）</w:t>
      </w:r>
      <w:r>
        <w:tab/>
      </w:r>
      <w:r>
        <w:fldChar w:fldCharType="begin"/>
      </w:r>
      <w:r>
        <w:instrText xml:space="preserve"> PAGEREF _Toc16166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66725EDA">
      <w:pPr>
        <w:pStyle w:val="23"/>
        <w:tabs>
          <w:tab w:val="right" w:leader="dot" w:pos="8786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_Toc31568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szCs w:val="44"/>
        </w:rPr>
        <w:t xml:space="preserve">4 </w:t>
      </w:r>
      <w:r>
        <w:rPr>
          <w:rFonts w:hint="eastAsia" w:ascii="宋体" w:hAnsi="宋体" w:eastAsia="宋体" w:cs="宋体"/>
          <w:szCs w:val="24"/>
        </w:rPr>
        <w:t>数据需求</w:t>
      </w:r>
      <w:r>
        <w:tab/>
      </w:r>
      <w:r>
        <w:fldChar w:fldCharType="begin"/>
      </w:r>
      <w:r>
        <w:instrText xml:space="preserve"> PAGEREF _Toc31568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60F1F289">
      <w:pPr>
        <w:pStyle w:val="26"/>
        <w:tabs>
          <w:tab w:val="right" w:leader="dot" w:pos="8786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_Toc29412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i w:val="0"/>
          <w:iCs w:val="0"/>
          <w:caps w:val="0"/>
          <w:smallCaps w:val="0"/>
          <w:vanish w:val="0"/>
          <w:spacing w:val="0"/>
          <w:position w:val="0"/>
          <w:szCs w:val="28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4.1 </w:t>
      </w:r>
      <w:r>
        <w:rPr>
          <w:rFonts w:hint="eastAsia" w:ascii="宋体" w:hAnsi="宋体" w:eastAsia="宋体" w:cs="宋体"/>
          <w:szCs w:val="24"/>
        </w:rPr>
        <w:t>数据源说明</w:t>
      </w:r>
      <w:r>
        <w:tab/>
      </w:r>
      <w:r>
        <w:fldChar w:fldCharType="begin"/>
      </w:r>
      <w:r>
        <w:instrText xml:space="preserve"> PAGEREF _Toc29412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7DE17CD2">
      <w:pPr>
        <w:pStyle w:val="26"/>
        <w:tabs>
          <w:tab w:val="right" w:leader="dot" w:pos="8786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_Toc29155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i w:val="0"/>
          <w:iCs w:val="0"/>
          <w:caps w:val="0"/>
          <w:smallCaps w:val="0"/>
          <w:vanish w:val="0"/>
          <w:spacing w:val="0"/>
          <w:position w:val="0"/>
          <w:szCs w:val="28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4.2 </w:t>
      </w:r>
      <w:r>
        <w:rPr>
          <w:rFonts w:hint="eastAsia" w:ascii="宋体" w:hAnsi="宋体" w:eastAsia="宋体" w:cs="宋体"/>
          <w:szCs w:val="24"/>
        </w:rPr>
        <w:t>数据量预估</w:t>
      </w:r>
      <w:r>
        <w:tab/>
      </w:r>
      <w:r>
        <w:fldChar w:fldCharType="begin"/>
      </w:r>
      <w:r>
        <w:instrText xml:space="preserve"> PAGEREF _Toc29155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224041E0">
      <w:pPr>
        <w:pStyle w:val="26"/>
        <w:tabs>
          <w:tab w:val="right" w:leader="dot" w:pos="8786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_Toc17892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i w:val="0"/>
          <w:iCs w:val="0"/>
          <w:caps w:val="0"/>
          <w:smallCaps w:val="0"/>
          <w:vanish w:val="0"/>
          <w:spacing w:val="0"/>
          <w:position w:val="0"/>
          <w:szCs w:val="28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4.3 </w:t>
      </w:r>
      <w:r>
        <w:rPr>
          <w:rFonts w:hint="eastAsia" w:ascii="宋体" w:hAnsi="宋体" w:eastAsia="宋体" w:cs="宋体"/>
          <w:szCs w:val="24"/>
        </w:rPr>
        <w:t>数据质量要求</w:t>
      </w:r>
      <w:r>
        <w:tab/>
      </w:r>
      <w:r>
        <w:fldChar w:fldCharType="begin"/>
      </w:r>
      <w:r>
        <w:instrText xml:space="preserve"> PAGEREF _Toc17892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36A1996C">
      <w:pPr>
        <w:pStyle w:val="23"/>
        <w:tabs>
          <w:tab w:val="right" w:leader="dot" w:pos="8786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_Toc4179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szCs w:val="44"/>
        </w:rPr>
        <w:t xml:space="preserve">5 </w:t>
      </w:r>
      <w:r>
        <w:rPr>
          <w:rFonts w:hint="eastAsia" w:ascii="宋体" w:hAnsi="宋体" w:eastAsia="宋体" w:cs="宋体"/>
          <w:szCs w:val="24"/>
        </w:rPr>
        <w:t>数据分析与处理流程（依据《数据分析业务流程.pdf》）</w:t>
      </w:r>
      <w:r>
        <w:tab/>
      </w:r>
      <w:r>
        <w:fldChar w:fldCharType="begin"/>
      </w:r>
      <w:r>
        <w:instrText xml:space="preserve"> PAGEREF _Toc4179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4413529A">
      <w:pPr>
        <w:pStyle w:val="26"/>
        <w:tabs>
          <w:tab w:val="right" w:leader="dot" w:pos="8786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_Toc29026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i w:val="0"/>
          <w:iCs w:val="0"/>
          <w:caps w:val="0"/>
          <w:smallCaps w:val="0"/>
          <w:vanish w:val="0"/>
          <w:spacing w:val="0"/>
          <w:position w:val="0"/>
          <w:szCs w:val="28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5.1 </w:t>
      </w:r>
      <w:r>
        <w:rPr>
          <w:rFonts w:hint="eastAsia" w:ascii="宋体" w:hAnsi="宋体" w:eastAsia="宋体" w:cs="宋体"/>
          <w:szCs w:val="24"/>
        </w:rPr>
        <w:t>数据预处理</w:t>
      </w:r>
      <w:r>
        <w:tab/>
      </w:r>
      <w:r>
        <w:fldChar w:fldCharType="begin"/>
      </w:r>
      <w:r>
        <w:instrText xml:space="preserve"> PAGEREF _Toc29026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4686A3BD">
      <w:pPr>
        <w:pStyle w:val="26"/>
        <w:tabs>
          <w:tab w:val="right" w:leader="dot" w:pos="8786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_Toc4623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i w:val="0"/>
          <w:iCs w:val="0"/>
          <w:caps w:val="0"/>
          <w:smallCaps w:val="0"/>
          <w:vanish w:val="0"/>
          <w:spacing w:val="0"/>
          <w:position w:val="0"/>
          <w:szCs w:val="28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5.2 </w:t>
      </w:r>
      <w:r>
        <w:rPr>
          <w:rFonts w:hint="eastAsia" w:ascii="宋体" w:hAnsi="宋体" w:eastAsia="宋体" w:cs="宋体"/>
          <w:szCs w:val="24"/>
        </w:rPr>
        <w:t>特征工程</w:t>
      </w:r>
      <w:r>
        <w:tab/>
      </w:r>
      <w:r>
        <w:fldChar w:fldCharType="begin"/>
      </w:r>
      <w:r>
        <w:instrText xml:space="preserve"> PAGEREF _Toc4623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4881C713">
      <w:pPr>
        <w:pStyle w:val="17"/>
        <w:tabs>
          <w:tab w:val="right" w:leader="dot" w:pos="8786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_Toc5545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bCs w:val="0"/>
          <w:szCs w:val="24"/>
        </w:rPr>
        <w:t xml:space="preserve">5.2.1 </w:t>
      </w:r>
      <w:r>
        <w:rPr>
          <w:rFonts w:hint="eastAsia" w:ascii="宋体" w:hAnsi="宋体" w:eastAsia="宋体" w:cs="宋体"/>
          <w:bCs w:val="0"/>
          <w:szCs w:val="24"/>
        </w:rPr>
        <w:t>初步特征集</w:t>
      </w:r>
      <w:r>
        <w:tab/>
      </w:r>
      <w:r>
        <w:fldChar w:fldCharType="begin"/>
      </w:r>
      <w:r>
        <w:instrText xml:space="preserve"> PAGEREF _Toc5545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4FD60A6C">
      <w:pPr>
        <w:pStyle w:val="17"/>
        <w:tabs>
          <w:tab w:val="right" w:leader="dot" w:pos="8786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_Toc1642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4"/>
        </w:rPr>
        <w:t xml:space="preserve">5.2.2 </w:t>
      </w:r>
      <w:r>
        <w:rPr>
          <w:rFonts w:hint="eastAsia" w:ascii="宋体" w:hAnsi="宋体" w:eastAsia="宋体" w:cs="宋体"/>
          <w:bCs w:val="0"/>
          <w:szCs w:val="24"/>
        </w:rPr>
        <w:t>特征选择方法</w:t>
      </w:r>
      <w:r>
        <w:tab/>
      </w:r>
      <w:r>
        <w:fldChar w:fldCharType="begin"/>
      </w:r>
      <w:r>
        <w:instrText xml:space="preserve"> PAGEREF _Toc1642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6530A0F3">
      <w:pPr>
        <w:pStyle w:val="17"/>
        <w:tabs>
          <w:tab w:val="right" w:leader="dot" w:pos="8786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_Toc31786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4"/>
        </w:rPr>
        <w:t xml:space="preserve">5.2.3 </w:t>
      </w:r>
      <w:r>
        <w:rPr>
          <w:rFonts w:hint="eastAsia" w:ascii="宋体" w:hAnsi="宋体" w:eastAsia="宋体" w:cs="宋体"/>
          <w:bCs w:val="0"/>
          <w:szCs w:val="24"/>
        </w:rPr>
        <w:t>降维/升维策略</w:t>
      </w:r>
      <w:r>
        <w:tab/>
      </w:r>
      <w:r>
        <w:fldChar w:fldCharType="begin"/>
      </w:r>
      <w:r>
        <w:instrText xml:space="preserve"> PAGEREF _Toc31786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0F13DB58">
      <w:pPr>
        <w:pStyle w:val="26"/>
        <w:tabs>
          <w:tab w:val="right" w:leader="dot" w:pos="8786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_Toc21202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i w:val="0"/>
          <w:iCs w:val="0"/>
          <w:caps w:val="0"/>
          <w:smallCaps w:val="0"/>
          <w:vanish w:val="0"/>
          <w:spacing w:val="0"/>
          <w:position w:val="0"/>
          <w:szCs w:val="28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5.3 </w:t>
      </w:r>
      <w:r>
        <w:rPr>
          <w:rFonts w:hint="eastAsia" w:ascii="宋体" w:hAnsi="宋体" w:eastAsia="宋体" w:cs="宋体"/>
          <w:szCs w:val="24"/>
        </w:rPr>
        <w:t>数据划分（模型训练/验证/测试）</w:t>
      </w:r>
      <w:r>
        <w:tab/>
      </w:r>
      <w:r>
        <w:fldChar w:fldCharType="begin"/>
      </w:r>
      <w:r>
        <w:instrText xml:space="preserve"> PAGEREF _Toc21202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19286A5B">
      <w:pPr>
        <w:pStyle w:val="23"/>
        <w:tabs>
          <w:tab w:val="right" w:leader="dot" w:pos="8786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_Toc14166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szCs w:val="44"/>
        </w:rPr>
        <w:t xml:space="preserve">6 </w:t>
      </w:r>
      <w:r>
        <w:rPr>
          <w:rFonts w:hint="eastAsia" w:ascii="宋体" w:hAnsi="宋体" w:eastAsia="宋体" w:cs="宋体"/>
          <w:szCs w:val="24"/>
        </w:rPr>
        <w:t>建模需求</w:t>
      </w:r>
      <w:r>
        <w:tab/>
      </w:r>
      <w:r>
        <w:fldChar w:fldCharType="begin"/>
      </w:r>
      <w:r>
        <w:instrText xml:space="preserve"> PAGEREF _Toc14166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0810C0C9">
      <w:pPr>
        <w:pStyle w:val="26"/>
        <w:tabs>
          <w:tab w:val="right" w:leader="dot" w:pos="8786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_Toc24515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i w:val="0"/>
          <w:iCs w:val="0"/>
          <w:caps w:val="0"/>
          <w:smallCaps w:val="0"/>
          <w:vanish w:val="0"/>
          <w:spacing w:val="0"/>
          <w:position w:val="0"/>
          <w:szCs w:val="28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6.1 </w:t>
      </w:r>
      <w:r>
        <w:rPr>
          <w:rFonts w:hint="eastAsia" w:ascii="宋体" w:hAnsi="宋体" w:eastAsia="宋体" w:cs="宋体"/>
          <w:szCs w:val="24"/>
        </w:rPr>
        <w:t>模型清单</w:t>
      </w:r>
      <w:r>
        <w:tab/>
      </w:r>
      <w:r>
        <w:fldChar w:fldCharType="begin"/>
      </w:r>
      <w:r>
        <w:instrText xml:space="preserve"> PAGEREF _Toc24515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24A5B55B">
      <w:pPr>
        <w:pStyle w:val="26"/>
        <w:tabs>
          <w:tab w:val="right" w:leader="dot" w:pos="8786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_Toc30274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i w:val="0"/>
          <w:iCs w:val="0"/>
          <w:caps w:val="0"/>
          <w:smallCaps w:val="0"/>
          <w:vanish w:val="0"/>
          <w:spacing w:val="0"/>
          <w:position w:val="0"/>
          <w:szCs w:val="28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6.2 </w:t>
      </w:r>
      <w:r>
        <w:rPr>
          <w:rFonts w:hint="eastAsia" w:ascii="宋体" w:hAnsi="宋体" w:eastAsia="宋体" w:cs="宋体"/>
          <w:szCs w:val="24"/>
        </w:rPr>
        <w:t>模型训练要求</w:t>
      </w:r>
      <w:r>
        <w:tab/>
      </w:r>
      <w:r>
        <w:fldChar w:fldCharType="begin"/>
      </w:r>
      <w:r>
        <w:instrText xml:space="preserve"> PAGEREF _Toc30274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7337DD38">
      <w:pPr>
        <w:pStyle w:val="26"/>
        <w:tabs>
          <w:tab w:val="right" w:leader="dot" w:pos="8786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_Toc3682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i w:val="0"/>
          <w:iCs w:val="0"/>
          <w:caps w:val="0"/>
          <w:smallCaps w:val="0"/>
          <w:vanish w:val="0"/>
          <w:spacing w:val="0"/>
          <w:position w:val="0"/>
          <w:szCs w:val="28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6.3 </w:t>
      </w:r>
      <w:r>
        <w:rPr>
          <w:rFonts w:hint="eastAsia" w:ascii="宋体" w:hAnsi="宋体" w:eastAsia="宋体" w:cs="宋体"/>
          <w:szCs w:val="24"/>
        </w:rPr>
        <w:t>模型更新策略</w:t>
      </w:r>
      <w:r>
        <w:tab/>
      </w:r>
      <w:r>
        <w:fldChar w:fldCharType="begin"/>
      </w:r>
      <w:r>
        <w:instrText xml:space="preserve"> PAGEREF _Toc3682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334A4286">
      <w:pPr>
        <w:pStyle w:val="23"/>
        <w:tabs>
          <w:tab w:val="right" w:leader="dot" w:pos="8786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_Toc21080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szCs w:val="44"/>
        </w:rPr>
        <w:t xml:space="preserve">7 </w:t>
      </w:r>
      <w:r>
        <w:rPr>
          <w:rFonts w:hint="eastAsia" w:ascii="宋体" w:hAnsi="宋体" w:eastAsia="宋体" w:cs="宋体"/>
          <w:szCs w:val="24"/>
        </w:rPr>
        <w:t>统一管理平台功能需求</w:t>
      </w:r>
      <w:r>
        <w:tab/>
      </w:r>
      <w:r>
        <w:fldChar w:fldCharType="begin"/>
      </w:r>
      <w:r>
        <w:instrText xml:space="preserve"> PAGEREF _Toc21080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20CCC459">
      <w:pPr>
        <w:pStyle w:val="26"/>
        <w:tabs>
          <w:tab w:val="right" w:leader="dot" w:pos="8786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_Toc17381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i w:val="0"/>
          <w:iCs w:val="0"/>
          <w:caps w:val="0"/>
          <w:smallCaps w:val="0"/>
          <w:vanish w:val="0"/>
          <w:spacing w:val="0"/>
          <w:position w:val="0"/>
          <w:szCs w:val="28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7.1 </w:t>
      </w:r>
      <w:r>
        <w:rPr>
          <w:rFonts w:hint="eastAsia" w:ascii="宋体" w:hAnsi="宋体" w:eastAsia="宋体" w:cs="宋体"/>
          <w:szCs w:val="24"/>
        </w:rPr>
        <w:t>平台架构要求</w:t>
      </w:r>
      <w:r>
        <w:tab/>
      </w:r>
      <w:r>
        <w:fldChar w:fldCharType="begin"/>
      </w:r>
      <w:r>
        <w:instrText xml:space="preserve"> PAGEREF _Toc17381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7E0EE245">
      <w:pPr>
        <w:pStyle w:val="26"/>
        <w:tabs>
          <w:tab w:val="right" w:leader="dot" w:pos="8786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_Toc20387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i w:val="0"/>
          <w:iCs w:val="0"/>
          <w:caps w:val="0"/>
          <w:smallCaps w:val="0"/>
          <w:vanish w:val="0"/>
          <w:spacing w:val="0"/>
          <w:position w:val="0"/>
          <w:szCs w:val="28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7.2 </w:t>
      </w:r>
      <w:r>
        <w:rPr>
          <w:rFonts w:hint="eastAsia" w:ascii="宋体" w:hAnsi="宋体" w:eastAsia="宋体" w:cs="宋体"/>
          <w:szCs w:val="24"/>
        </w:rPr>
        <w:t>功能模块</w:t>
      </w:r>
      <w:r>
        <w:tab/>
      </w:r>
      <w:r>
        <w:fldChar w:fldCharType="begin"/>
      </w:r>
      <w:r>
        <w:instrText xml:space="preserve"> PAGEREF _Toc20387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2EEDB90F">
      <w:pPr>
        <w:pStyle w:val="23"/>
        <w:tabs>
          <w:tab w:val="right" w:leader="dot" w:pos="8786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_Toc299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szCs w:val="44"/>
        </w:rPr>
        <w:t xml:space="preserve">8 </w:t>
      </w:r>
      <w:r>
        <w:rPr>
          <w:rFonts w:hint="eastAsia" w:ascii="宋体" w:hAnsi="宋体" w:eastAsia="宋体" w:cs="宋体"/>
          <w:szCs w:val="24"/>
        </w:rPr>
        <w:t>风险与约束</w:t>
      </w:r>
      <w:r>
        <w:tab/>
      </w:r>
      <w:r>
        <w:fldChar w:fldCharType="begin"/>
      </w:r>
      <w:r>
        <w:instrText xml:space="preserve"> PAGEREF _Toc299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 w14:paraId="2B99AA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  <w:sectPr>
          <w:footerReference r:id="rId5" w:type="default"/>
          <w:pgSz w:w="11906" w:h="16838"/>
          <w:pgMar w:top="1418" w:right="1418" w:bottom="1191" w:left="1418" w:header="851" w:footer="992" w:gutter="284"/>
          <w:pgNumType w:fmt="upperRoman" w:start="1"/>
          <w:cols w:space="425" w:num="1"/>
          <w:docGrid w:type="lines" w:linePitch="312" w:charSpace="0"/>
        </w:sectPr>
      </w:pPr>
      <w:r>
        <w:rPr>
          <w:rFonts w:hint="eastAsia" w:ascii="宋体" w:hAnsi="宋体" w:eastAsia="宋体" w:cs="宋体"/>
          <w:szCs w:val="24"/>
        </w:rPr>
        <w:fldChar w:fldCharType="end"/>
      </w:r>
      <w:bookmarkStart w:id="0" w:name="_Toc30325"/>
      <w:bookmarkStart w:id="1" w:name="_Toc237314349"/>
    </w:p>
    <w:bookmarkEnd w:id="0"/>
    <w:bookmarkEnd w:id="1"/>
    <w:p w14:paraId="63FDE0F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7FDB8F5D">
      <w:pPr>
        <w:pStyle w:val="2"/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44"/>
          <w:szCs w:val="44"/>
        </w:rPr>
        <w:t xml:space="preserve"> </w:t>
      </w:r>
      <w:bookmarkStart w:id="2" w:name="_Toc7263"/>
      <w:r>
        <w:rPr>
          <w:rFonts w:hint="eastAsia" w:ascii="宋体" w:hAnsi="宋体" w:eastAsia="宋体" w:cs="宋体"/>
          <w:sz w:val="44"/>
          <w:szCs w:val="44"/>
        </w:rPr>
        <w:t>项目背景</w:t>
      </w:r>
      <w:bookmarkEnd w:id="2"/>
    </w:p>
    <w:p w14:paraId="62425B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42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电厂运行中，发电负荷与供电需求的准确预测是安全、经济、低碳调度的基础。同时，AGC信号的提前感知有助于提升机组响应能力。目前已具备</w:t>
      </w:r>
      <w:r>
        <w:rPr>
          <w:rStyle w:val="41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机组DCS/DEH实时采集数据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及</w:t>
      </w:r>
      <w:r>
        <w:rPr>
          <w:rStyle w:val="41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外部气象数据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，需要结合数据分析与机器学习技术，建立预测模型、优化运行边界，并最终构建统一的管理平台。</w:t>
      </w:r>
    </w:p>
    <w:p w14:paraId="52A10A8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42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69385BF6">
      <w:pPr>
        <w:pageBreakBefore w:val="0"/>
        <w:tabs>
          <w:tab w:val="left" w:pos="174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420"/>
        <w:textAlignment w:val="auto"/>
        <w:rPr>
          <w:rFonts w:hint="eastAsia" w:hAnsi="宋体" w:cs="宋体"/>
          <w:sz w:val="24"/>
          <w:szCs w:val="24"/>
          <w:lang w:eastAsia="zh-CN"/>
        </w:rPr>
      </w:pPr>
      <w:r>
        <w:rPr>
          <w:rFonts w:hint="eastAsia" w:hAnsi="宋体" w:cs="宋体"/>
          <w:sz w:val="24"/>
          <w:szCs w:val="24"/>
          <w:lang w:eastAsia="zh-CN"/>
        </w:rPr>
        <w:tab/>
      </w:r>
    </w:p>
    <w:p w14:paraId="43FC3433">
      <w:pPr>
        <w:pageBreakBefore w:val="0"/>
        <w:tabs>
          <w:tab w:val="left" w:pos="174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420"/>
        <w:textAlignment w:val="auto"/>
        <w:rPr>
          <w:rFonts w:hint="eastAsia" w:hAnsi="宋体" w:cs="宋体"/>
          <w:sz w:val="24"/>
          <w:szCs w:val="24"/>
          <w:lang w:eastAsia="zh-CN"/>
        </w:rPr>
      </w:pPr>
      <w:bookmarkStart w:id="24" w:name="_GoBack"/>
      <w:bookmarkEnd w:id="24"/>
    </w:p>
    <w:p w14:paraId="5CFC19FA">
      <w:pPr>
        <w:pStyle w:val="2"/>
        <w:bidi w:val="0"/>
        <w:rPr>
          <w:rFonts w:hint="eastAsia" w:ascii="宋体" w:hAnsi="宋体" w:eastAsia="宋体" w:cs="宋体"/>
          <w:sz w:val="44"/>
          <w:szCs w:val="44"/>
        </w:rPr>
      </w:pPr>
      <w:bookmarkStart w:id="3" w:name="_Toc21737"/>
      <w:r>
        <w:rPr>
          <w:rFonts w:hint="eastAsia" w:ascii="宋体" w:hAnsi="宋体" w:eastAsia="宋体" w:cs="宋体"/>
          <w:sz w:val="44"/>
          <w:szCs w:val="44"/>
        </w:rPr>
        <w:t>业务目标</w:t>
      </w:r>
      <w:bookmarkEnd w:id="3"/>
    </w:p>
    <w:p w14:paraId="66DA959C">
      <w:pPr>
        <w:rPr>
          <w:rFonts w:hint="eastAsia"/>
        </w:rPr>
      </w:pPr>
    </w:p>
    <w:p w14:paraId="5D31EC9D">
      <w:pPr>
        <w:bidi w:val="0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</w:t>
      </w:r>
      <w:r>
        <w:rPr>
          <w:rFonts w:hint="eastAsia"/>
          <w:sz w:val="24"/>
          <w:szCs w:val="24"/>
        </w:rPr>
        <w:t>发电负荷预测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实现未来 15分钟 ~ 4 小时（短时）及 24 小时（中长期）的负荷预测。</w:t>
      </w:r>
    </w:p>
    <w:p w14:paraId="4C498BAA">
      <w:pPr>
        <w:bidi w:val="0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</w:rPr>
        <w:t>供电需求预测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与发电负荷预测类似，需结合时间模式与气象影响。</w:t>
      </w:r>
    </w:p>
    <w:p w14:paraId="39C7B878">
      <w:pPr>
        <w:bidi w:val="0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AGC信号提前感知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提前 1~5 分钟感知AGC调节趋势，辅助机组预调控。</w:t>
      </w:r>
    </w:p>
    <w:p w14:paraId="4B94079D">
      <w:pPr>
        <w:bidi w:val="0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  <w:lang w:val="en-US" w:eastAsia="zh-CN"/>
        </w:rPr>
        <w:t xml:space="preserve"> 高</w:t>
      </w:r>
      <w:r>
        <w:rPr>
          <w:rFonts w:hint="eastAsia"/>
          <w:sz w:val="24"/>
          <w:szCs w:val="24"/>
        </w:rPr>
        <w:t>相关因素识别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量化分析影响负荷变化的关键特征。</w:t>
      </w:r>
    </w:p>
    <w:p w14:paraId="7D662966">
      <w:pPr>
        <w:bidi w:val="0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统一管理平台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集成数据治理、模型训练、预测服务与优化推荐。</w:t>
      </w:r>
    </w:p>
    <w:p w14:paraId="6AD2619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42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68D7150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42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366D07F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42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57977C5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42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4833210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42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569685A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42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1D04398C">
      <w:pPr>
        <w:pStyle w:val="2"/>
        <w:bidi w:val="0"/>
        <w:rPr>
          <w:rFonts w:hint="eastAsia" w:ascii="宋体" w:hAnsi="宋体" w:eastAsia="宋体" w:cs="宋体"/>
          <w:sz w:val="24"/>
          <w:szCs w:val="24"/>
        </w:rPr>
      </w:pPr>
      <w:bookmarkStart w:id="4" w:name="_Toc16166"/>
      <w:r>
        <w:rPr>
          <w:rFonts w:hint="eastAsia" w:ascii="宋体" w:hAnsi="宋体" w:eastAsia="宋体" w:cs="宋体"/>
          <w:sz w:val="24"/>
          <w:szCs w:val="24"/>
        </w:rPr>
        <w:t>业务问题澄清（需求说明原文复现）</w:t>
      </w:r>
      <w:bookmarkEnd w:id="4"/>
    </w:p>
    <w:p w14:paraId="32842AA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420"/>
        <w:textAlignment w:val="auto"/>
        <w:rPr>
          <w:rFonts w:hint="eastAsia" w:ascii="宋体" w:hAnsi="宋体" w:eastAsia="宋体" w:cs="宋体"/>
          <w:sz w:val="24"/>
          <w:szCs w:val="24"/>
        </w:rPr>
      </w:pP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39"/>
        <w:gridCol w:w="4985"/>
      </w:tblGrid>
      <w:tr w14:paraId="7E9B6B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AF444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问题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41AE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结论</w:t>
            </w:r>
          </w:p>
        </w:tc>
      </w:tr>
      <w:tr w14:paraId="50BC3C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3A81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发电负荷是否能预测？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034F2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 可以（时间序列预测）</w:t>
            </w:r>
          </w:p>
        </w:tc>
      </w:tr>
      <w:tr w14:paraId="63903D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7431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能预测多长时间之后的发电负荷？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6FD96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5分钟~24小时，重点预测15分钟~4小时</w:t>
            </w:r>
          </w:p>
        </w:tc>
      </w:tr>
      <w:tr w14:paraId="67FE19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F1C01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供电需求是否能预测？能预测多久之后？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859C0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 可以，时长与发电负荷相同</w:t>
            </w:r>
          </w:p>
        </w:tc>
      </w:tr>
      <w:tr w14:paraId="3EF5E4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F7F4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AGC信号是否可以提前感知？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C44D2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 可提前1~5分钟间接感知趋势</w:t>
            </w:r>
          </w:p>
        </w:tc>
      </w:tr>
      <w:tr w14:paraId="79AD05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AE00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哪些因素是机组负荷的高相关因素？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73304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主汽压力/温度、环境温度、频率偏差等（需量化）</w:t>
            </w:r>
          </w:p>
        </w:tc>
      </w:tr>
      <w:tr w14:paraId="55ECC6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C4932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是否能建立一个统一的管理平台？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7432C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 可以（需求详见第8节）</w:t>
            </w:r>
          </w:p>
        </w:tc>
      </w:tr>
    </w:tbl>
    <w:p w14:paraId="0C1198A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42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6B05D29E">
      <w:pPr>
        <w:pStyle w:val="2"/>
        <w:bidi w:val="0"/>
        <w:rPr>
          <w:rFonts w:hint="eastAsia" w:ascii="宋体" w:hAnsi="宋体" w:eastAsia="宋体" w:cs="宋体"/>
          <w:sz w:val="24"/>
          <w:szCs w:val="24"/>
        </w:rPr>
      </w:pPr>
      <w:bookmarkStart w:id="5" w:name="_Toc31568"/>
      <w:r>
        <w:rPr>
          <w:rFonts w:hint="eastAsia" w:ascii="宋体" w:hAnsi="宋体" w:eastAsia="宋体" w:cs="宋体"/>
          <w:sz w:val="24"/>
          <w:szCs w:val="24"/>
        </w:rPr>
        <w:t>数据需求</w:t>
      </w:r>
      <w:bookmarkEnd w:id="5"/>
    </w:p>
    <w:p w14:paraId="48ACCAD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42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23994247">
      <w:pPr>
        <w:pStyle w:val="3"/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bookmarkStart w:id="6" w:name="_Toc29412"/>
      <w:r>
        <w:rPr>
          <w:rFonts w:hint="eastAsia" w:ascii="宋体" w:hAnsi="宋体" w:eastAsia="宋体" w:cs="宋体"/>
          <w:sz w:val="24"/>
          <w:szCs w:val="24"/>
        </w:rPr>
        <w:t>数据源说明</w:t>
      </w:r>
      <w:bookmarkEnd w:id="6"/>
    </w:p>
    <w:p w14:paraId="6C33C2A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420"/>
        <w:textAlignment w:val="auto"/>
        <w:rPr>
          <w:rFonts w:hint="eastAsia" w:ascii="宋体" w:hAnsi="宋体" w:eastAsia="宋体" w:cs="宋体"/>
          <w:sz w:val="24"/>
          <w:szCs w:val="24"/>
        </w:rPr>
      </w:pPr>
    </w:p>
    <w:tbl>
      <w:tblPr>
        <w:tblW w:w="9960" w:type="dxa"/>
        <w:tblInd w:w="-30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7"/>
        <w:gridCol w:w="1944"/>
        <w:gridCol w:w="4991"/>
        <w:gridCol w:w="1738"/>
      </w:tblGrid>
      <w:tr w14:paraId="118795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87" w:type="dxa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DA772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数据类别</w:t>
            </w:r>
          </w:p>
        </w:tc>
        <w:tc>
          <w:tcPr>
            <w:tcW w:w="1944" w:type="dxa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037B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来源</w:t>
            </w:r>
          </w:p>
        </w:tc>
        <w:tc>
          <w:tcPr>
            <w:tcW w:w="4991" w:type="dxa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C750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典型采集点示例</w:t>
            </w:r>
          </w:p>
        </w:tc>
        <w:tc>
          <w:tcPr>
            <w:tcW w:w="1738" w:type="dxa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EF88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采样频率</w:t>
            </w:r>
          </w:p>
        </w:tc>
      </w:tr>
      <w:tr w14:paraId="3C47C0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87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943D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机组运行数据</w:t>
            </w:r>
          </w:p>
        </w:tc>
        <w:tc>
          <w:tcPr>
            <w:tcW w:w="194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B560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DCS / DEH</w:t>
            </w:r>
          </w:p>
        </w:tc>
        <w:tc>
          <w:tcPr>
            <w:tcW w:w="499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BBE1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有功功率、主汽压力、主汽温度、再热汽温、凝汽器真空、阀门开度、给水流量、炉膛压力、频率偏差</w:t>
            </w:r>
          </w:p>
        </w:tc>
        <w:tc>
          <w:tcPr>
            <w:tcW w:w="1738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6F7C9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1秒 ~ 1分钟</w:t>
            </w:r>
          </w:p>
        </w:tc>
      </w:tr>
      <w:tr w14:paraId="1D82E3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87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A3E2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AGC指令历史</w:t>
            </w:r>
          </w:p>
        </w:tc>
        <w:tc>
          <w:tcPr>
            <w:tcW w:w="194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E05D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控制站或上位机</w:t>
            </w:r>
          </w:p>
        </w:tc>
        <w:tc>
          <w:tcPr>
            <w:tcW w:w="499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DF4D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AGC目标负荷、调节速率指令</w:t>
            </w:r>
          </w:p>
        </w:tc>
        <w:tc>
          <w:tcPr>
            <w:tcW w:w="1738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AD3D8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1秒 ~ 5秒</w:t>
            </w:r>
          </w:p>
        </w:tc>
      </w:tr>
      <w:tr w14:paraId="23B5B3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87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8FAE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气象数据</w:t>
            </w:r>
          </w:p>
        </w:tc>
        <w:tc>
          <w:tcPr>
            <w:tcW w:w="194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8B24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外部气象信息系统或现场气象站</w:t>
            </w:r>
          </w:p>
        </w:tc>
        <w:tc>
          <w:tcPr>
            <w:tcW w:w="499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E6C1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环境温度、湿度、大气压力、风速、光照强度</w:t>
            </w:r>
          </w:p>
        </w:tc>
        <w:tc>
          <w:tcPr>
            <w:tcW w:w="1738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F3D64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5分钟 ~ 1小时</w:t>
            </w:r>
          </w:p>
        </w:tc>
      </w:tr>
      <w:tr w14:paraId="602091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87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C621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时间标签</w:t>
            </w:r>
          </w:p>
        </w:tc>
        <w:tc>
          <w:tcPr>
            <w:tcW w:w="1944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E63F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系统时钟</w:t>
            </w:r>
          </w:p>
        </w:tc>
        <w:tc>
          <w:tcPr>
            <w:tcW w:w="4991" w:type="dxa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7B75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日期、时间、星期、节假日标志</w:t>
            </w:r>
          </w:p>
        </w:tc>
        <w:tc>
          <w:tcPr>
            <w:tcW w:w="1738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0AE09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与数据对齐</w:t>
            </w:r>
          </w:p>
        </w:tc>
      </w:tr>
    </w:tbl>
    <w:p w14:paraId="5EDA330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1A684C4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13915B78">
      <w:pPr>
        <w:pStyle w:val="3"/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bookmarkStart w:id="7" w:name="_Toc29155"/>
      <w:r>
        <w:rPr>
          <w:rFonts w:hint="eastAsia" w:ascii="宋体" w:hAnsi="宋体" w:eastAsia="宋体" w:cs="宋体"/>
          <w:sz w:val="24"/>
          <w:szCs w:val="24"/>
        </w:rPr>
        <w:t>数据量预估</w:t>
      </w:r>
      <w:bookmarkEnd w:id="7"/>
    </w:p>
    <w:p w14:paraId="51823136">
      <w:pPr>
        <w:pStyle w:val="2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单机组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：≥3000万条/年（按1秒采样估算）</w:t>
      </w:r>
    </w:p>
    <w:p w14:paraId="62800415">
      <w:pPr>
        <w:pStyle w:val="2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气象数据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：≥5万条/年（按5分钟采样估算）</w:t>
      </w:r>
    </w:p>
    <w:p w14:paraId="0EDC401B">
      <w:pPr>
        <w:pStyle w:val="2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470E90B">
      <w:pPr>
        <w:pStyle w:val="2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F15E105">
      <w:pPr>
        <w:pStyle w:val="2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73912D5">
      <w:pPr>
        <w:pStyle w:val="2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76EC3F1">
      <w:pPr>
        <w:pStyle w:val="3"/>
        <w:bidi w:val="0"/>
        <w:rPr>
          <w:rFonts w:hint="eastAsia" w:ascii="宋体" w:hAnsi="宋体" w:eastAsia="宋体" w:cs="宋体"/>
          <w:sz w:val="24"/>
          <w:szCs w:val="24"/>
        </w:rPr>
      </w:pPr>
      <w:bookmarkStart w:id="8" w:name="_Toc17892"/>
      <w:r>
        <w:rPr>
          <w:rFonts w:hint="eastAsia" w:ascii="宋体" w:hAnsi="宋体" w:eastAsia="宋体" w:cs="宋体"/>
          <w:sz w:val="24"/>
          <w:szCs w:val="24"/>
        </w:rPr>
        <w:t>数据质量要求</w:t>
      </w:r>
      <w:bookmarkEnd w:id="8"/>
    </w:p>
    <w:p w14:paraId="188341DC">
      <w:pPr>
        <w:pStyle w:val="2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连续缺失率 ≤ 10% 时可补全，&gt;30% 则删除对应测点或时段。</w:t>
      </w:r>
    </w:p>
    <w:p w14:paraId="151D6F98">
      <w:pPr>
        <w:pStyle w:val="2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异常值（超过3倍标准差）需平滑或标记。</w:t>
      </w:r>
    </w:p>
    <w:p w14:paraId="00AD7C6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42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4E22F57A">
      <w:pPr>
        <w:pStyle w:val="2"/>
        <w:bidi w:val="0"/>
        <w:rPr>
          <w:rFonts w:hint="eastAsia" w:ascii="宋体" w:hAnsi="宋体" w:eastAsia="宋体" w:cs="宋体"/>
          <w:sz w:val="24"/>
          <w:szCs w:val="24"/>
        </w:rPr>
      </w:pPr>
      <w:bookmarkStart w:id="9" w:name="_Toc4179"/>
      <w:r>
        <w:rPr>
          <w:rFonts w:hint="eastAsia" w:ascii="宋体" w:hAnsi="宋体" w:eastAsia="宋体" w:cs="宋体"/>
          <w:sz w:val="24"/>
          <w:szCs w:val="24"/>
        </w:rPr>
        <w:t>数据分析与处理流程（依据《数据分析业务流程.pdf》）</w:t>
      </w:r>
      <w:bookmarkEnd w:id="9"/>
    </w:p>
    <w:p w14:paraId="1D732A9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42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61C417AC">
      <w:pPr>
        <w:pStyle w:val="3"/>
        <w:bidi w:val="0"/>
        <w:rPr>
          <w:rFonts w:hint="eastAsia" w:ascii="宋体" w:hAnsi="宋体" w:eastAsia="宋体" w:cs="宋体"/>
          <w:sz w:val="24"/>
          <w:szCs w:val="24"/>
        </w:rPr>
      </w:pPr>
      <w:bookmarkStart w:id="10" w:name="_Toc29026"/>
      <w:r>
        <w:rPr>
          <w:rFonts w:hint="eastAsia" w:ascii="宋体" w:hAnsi="宋体" w:eastAsia="宋体" w:cs="宋体"/>
          <w:sz w:val="24"/>
          <w:szCs w:val="24"/>
        </w:rPr>
        <w:t>数据预处理</w:t>
      </w:r>
      <w:bookmarkEnd w:id="10"/>
    </w:p>
    <w:p w14:paraId="762E093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420"/>
        <w:textAlignment w:val="auto"/>
        <w:rPr>
          <w:rFonts w:hint="eastAsia" w:ascii="宋体" w:hAnsi="宋体" w:eastAsia="宋体" w:cs="宋体"/>
          <w:sz w:val="24"/>
          <w:szCs w:val="24"/>
        </w:rPr>
      </w:pP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0"/>
        <w:gridCol w:w="7574"/>
      </w:tblGrid>
      <w:tr w14:paraId="378B05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E1A7E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处理项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59B4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方法</w:t>
            </w:r>
          </w:p>
        </w:tc>
      </w:tr>
      <w:tr w14:paraId="0D570B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50BF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时间对齐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37B76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所有数据统一重采样为 </w:t>
            </w:r>
            <w:r>
              <w:rPr>
                <w:rStyle w:val="41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1分钟间隔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（中值/均值聚合）</w:t>
            </w:r>
          </w:p>
        </w:tc>
      </w:tr>
      <w:tr w14:paraId="1C4999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E05AC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缺失值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80918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前后值插补 / 线性插值 / 删除（连续缺失&gt;10点）</w:t>
            </w:r>
          </w:p>
        </w:tc>
      </w:tr>
      <w:tr w14:paraId="371623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16CA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异常值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8C552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移动中位数平滑 + 阈值截尾（基于安全边界）</w:t>
            </w:r>
          </w:p>
        </w:tc>
      </w:tr>
    </w:tbl>
    <w:p w14:paraId="3D40111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420" w:firstLine="717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3CD7C86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420" w:firstLine="717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6AC4AAF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420" w:firstLine="717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264AEB05">
      <w:pPr>
        <w:pStyle w:val="3"/>
        <w:bidi w:val="0"/>
        <w:rPr>
          <w:rFonts w:hint="eastAsia" w:ascii="宋体" w:hAnsi="宋体" w:eastAsia="宋体" w:cs="宋体"/>
          <w:sz w:val="24"/>
          <w:szCs w:val="24"/>
        </w:rPr>
      </w:pPr>
      <w:bookmarkStart w:id="11" w:name="_Toc4623"/>
      <w:r>
        <w:rPr>
          <w:rFonts w:hint="eastAsia" w:ascii="宋体" w:hAnsi="宋体" w:eastAsia="宋体" w:cs="宋体"/>
          <w:sz w:val="24"/>
          <w:szCs w:val="24"/>
        </w:rPr>
        <w:t>特征工程</w:t>
      </w:r>
      <w:bookmarkEnd w:id="11"/>
    </w:p>
    <w:p w14:paraId="23B5BAD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42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645CCC32">
      <w:pPr>
        <w:pStyle w:val="4"/>
        <w:bidi w:val="0"/>
        <w:rPr>
          <w:rFonts w:hint="eastAsia" w:ascii="宋体" w:hAnsi="宋体" w:eastAsia="宋体" w:cs="宋体"/>
          <w:b/>
          <w:bCs w:val="0"/>
          <w:sz w:val="24"/>
          <w:szCs w:val="24"/>
        </w:rPr>
      </w:pPr>
      <w:r>
        <w:rPr>
          <w:rFonts w:hint="eastAsia" w:ascii="宋体" w:hAnsi="宋体" w:eastAsia="宋体" w:cs="宋体"/>
          <w:b/>
          <w:bCs w:val="0"/>
          <w:sz w:val="24"/>
          <w:szCs w:val="24"/>
          <w:lang w:val="en-US" w:eastAsia="zh-CN"/>
        </w:rPr>
        <w:t xml:space="preserve"> </w:t>
      </w:r>
      <w:bookmarkStart w:id="12" w:name="_Toc5545"/>
      <w:r>
        <w:rPr>
          <w:rFonts w:hint="eastAsia" w:ascii="宋体" w:hAnsi="宋体" w:eastAsia="宋体" w:cs="宋体"/>
          <w:b/>
          <w:bCs w:val="0"/>
          <w:sz w:val="24"/>
          <w:szCs w:val="24"/>
        </w:rPr>
        <w:t>初步特征集</w:t>
      </w:r>
      <w:bookmarkEnd w:id="12"/>
    </w:p>
    <w:p w14:paraId="6F1DA45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420"/>
        <w:textAlignment w:val="auto"/>
        <w:rPr>
          <w:rFonts w:hint="eastAsia" w:ascii="宋体" w:hAnsi="宋体" w:eastAsia="宋体" w:cs="宋体"/>
          <w:sz w:val="24"/>
          <w:szCs w:val="24"/>
        </w:rPr>
      </w:pP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0"/>
        <w:gridCol w:w="7934"/>
      </w:tblGrid>
      <w:tr w14:paraId="325D5D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9AB9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特征类型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C2F7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具体特征</w:t>
            </w:r>
          </w:p>
        </w:tc>
      </w:tr>
      <w:tr w14:paraId="372569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B2893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机组自身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8930E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负荷（滞后1~6步）、主汽压力、主汽温度、凝汽器真空、调门开度、给水流量</w:t>
            </w:r>
          </w:p>
        </w:tc>
      </w:tr>
      <w:tr w14:paraId="41EBD7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DB1BA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气象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833CE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环境温度、湿度、风速、气压</w:t>
            </w:r>
          </w:p>
        </w:tc>
      </w:tr>
      <w:tr w14:paraId="629FFD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9B79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电网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D09BF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频率偏差、AGC指令（若可用）</w:t>
            </w:r>
          </w:p>
        </w:tc>
      </w:tr>
      <w:tr w14:paraId="45B009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6D59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时间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6A2EC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小时、星期、节假日标志、季节</w:t>
            </w:r>
          </w:p>
        </w:tc>
      </w:tr>
    </w:tbl>
    <w:p w14:paraId="7A0E96E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42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7A71AB15">
      <w:pPr>
        <w:pStyle w:val="4"/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 w:val="0"/>
          <w:sz w:val="24"/>
          <w:szCs w:val="24"/>
        </w:rPr>
        <w:t xml:space="preserve"> </w:t>
      </w:r>
      <w:bookmarkStart w:id="13" w:name="_Toc1642"/>
      <w:r>
        <w:rPr>
          <w:rFonts w:hint="eastAsia" w:ascii="宋体" w:hAnsi="宋体" w:eastAsia="宋体" w:cs="宋体"/>
          <w:b/>
          <w:bCs w:val="0"/>
          <w:sz w:val="24"/>
          <w:szCs w:val="24"/>
        </w:rPr>
        <w:t>特征选择方法</w:t>
      </w:r>
      <w:bookmarkEnd w:id="13"/>
    </w:p>
    <w:p w14:paraId="66A48F14">
      <w:pPr>
        <w:pStyle w:val="2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41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过滤法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：Pearson相关系数、互信息（MI）、方差阈值</w:t>
      </w:r>
    </w:p>
    <w:p w14:paraId="4FE6CF86">
      <w:pPr>
        <w:pStyle w:val="2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41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包装法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：递归特征消除（RFE）</w:t>
      </w:r>
    </w:p>
    <w:p w14:paraId="446F1832">
      <w:pPr>
        <w:pStyle w:val="2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41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嵌入法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：Lasso回归、随机森林特征重要性</w:t>
      </w:r>
    </w:p>
    <w:p w14:paraId="5C8414C7">
      <w:pPr>
        <w:pStyle w:val="4"/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 w:val="0"/>
          <w:sz w:val="24"/>
          <w:szCs w:val="24"/>
        </w:rPr>
        <w:t xml:space="preserve"> </w:t>
      </w:r>
      <w:bookmarkStart w:id="14" w:name="_Toc31786"/>
      <w:r>
        <w:rPr>
          <w:rFonts w:hint="eastAsia" w:ascii="宋体" w:hAnsi="宋体" w:eastAsia="宋体" w:cs="宋体"/>
          <w:b/>
          <w:bCs w:val="0"/>
          <w:sz w:val="24"/>
          <w:szCs w:val="24"/>
        </w:rPr>
        <w:t>降维/升维策略</w:t>
      </w:r>
      <w:bookmarkEnd w:id="14"/>
    </w:p>
    <w:p w14:paraId="76164788">
      <w:pPr>
        <w:pStyle w:val="2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若特征维度 &gt; 50：使用PCA或随机森林重要性排序后保留Top 20。</w:t>
      </w:r>
    </w:p>
    <w:p w14:paraId="3A8D1986">
      <w:pPr>
        <w:pStyle w:val="2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若特征不足（模型欠拟合）：构造多项式特征、交互特征（如温度×湿度）。</w:t>
      </w:r>
    </w:p>
    <w:p w14:paraId="3A7D58D1">
      <w:pPr>
        <w:pStyle w:val="2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</w:p>
    <w:p w14:paraId="2674953C">
      <w:pPr>
        <w:pStyle w:val="3"/>
        <w:numPr>
          <w:numId w:val="0"/>
        </w:numPr>
        <w:bidi w:val="0"/>
        <w:ind w:leftChars="0"/>
        <w:rPr>
          <w:rFonts w:hint="eastAsia" w:ascii="宋体" w:hAnsi="宋体" w:eastAsia="宋体" w:cs="宋体"/>
          <w:sz w:val="24"/>
          <w:szCs w:val="24"/>
        </w:rPr>
      </w:pPr>
    </w:p>
    <w:p w14:paraId="05AD6095">
      <w:pPr>
        <w:pStyle w:val="3"/>
        <w:bidi w:val="0"/>
        <w:rPr>
          <w:rFonts w:hint="eastAsia" w:ascii="宋体" w:hAnsi="宋体" w:eastAsia="宋体" w:cs="宋体"/>
          <w:sz w:val="24"/>
          <w:szCs w:val="24"/>
        </w:rPr>
      </w:pPr>
      <w:bookmarkStart w:id="15" w:name="_Toc21202"/>
      <w:r>
        <w:rPr>
          <w:rFonts w:hint="eastAsia" w:ascii="宋体" w:hAnsi="宋体" w:eastAsia="宋体" w:cs="宋体"/>
          <w:sz w:val="24"/>
          <w:szCs w:val="24"/>
        </w:rPr>
        <w:t>数据划分（模型训练/验证/测试）</w:t>
      </w:r>
      <w:bookmarkEnd w:id="15"/>
    </w:p>
    <w:p w14:paraId="7C7171B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420"/>
        <w:textAlignment w:val="auto"/>
        <w:rPr>
          <w:rFonts w:hint="eastAsia" w:ascii="宋体" w:hAnsi="宋体" w:eastAsia="宋体" w:cs="宋体"/>
          <w:sz w:val="24"/>
          <w:szCs w:val="24"/>
        </w:rPr>
      </w:pP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8"/>
        <w:gridCol w:w="1532"/>
        <w:gridCol w:w="5874"/>
      </w:tblGrid>
      <w:tr w14:paraId="33ED02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BE03E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用途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EE64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比例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620D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3770DF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6497E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训练集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CF1E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70%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25A7A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用于模型参数学习</w:t>
            </w:r>
          </w:p>
        </w:tc>
      </w:tr>
      <w:tr w14:paraId="528FEA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DE22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验证集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9BCE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15%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89526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用于超参数调优（网格搜索）</w:t>
            </w:r>
          </w:p>
        </w:tc>
      </w:tr>
      <w:tr w14:paraId="437423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207F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F079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15%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4C02F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最终性能评估</w:t>
            </w:r>
          </w:p>
        </w:tc>
      </w:tr>
    </w:tbl>
    <w:p w14:paraId="4BED487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42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5D2E9B00">
      <w:pPr>
        <w:pStyle w:val="2"/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bookmarkStart w:id="16" w:name="_Toc14166"/>
      <w:r>
        <w:rPr>
          <w:rFonts w:hint="eastAsia" w:ascii="宋体" w:hAnsi="宋体" w:eastAsia="宋体" w:cs="宋体"/>
          <w:sz w:val="24"/>
          <w:szCs w:val="24"/>
        </w:rPr>
        <w:t>建模需求</w:t>
      </w:r>
      <w:bookmarkEnd w:id="16"/>
    </w:p>
    <w:p w14:paraId="22C349F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42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7428A8BB">
      <w:pPr>
        <w:pStyle w:val="3"/>
        <w:bidi w:val="0"/>
        <w:rPr>
          <w:rFonts w:hint="eastAsia" w:ascii="宋体" w:hAnsi="宋体" w:eastAsia="宋体" w:cs="宋体"/>
          <w:sz w:val="24"/>
          <w:szCs w:val="24"/>
        </w:rPr>
      </w:pPr>
      <w:bookmarkStart w:id="17" w:name="_Toc24515"/>
      <w:r>
        <w:rPr>
          <w:rFonts w:hint="eastAsia" w:ascii="宋体" w:hAnsi="宋体" w:eastAsia="宋体" w:cs="宋体"/>
          <w:sz w:val="24"/>
          <w:szCs w:val="24"/>
        </w:rPr>
        <w:t>模型清单</w:t>
      </w:r>
      <w:bookmarkEnd w:id="17"/>
    </w:p>
    <w:p w14:paraId="63D450E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420"/>
        <w:textAlignment w:val="auto"/>
        <w:rPr>
          <w:rFonts w:hint="eastAsia" w:ascii="宋体" w:hAnsi="宋体" w:eastAsia="宋体" w:cs="宋体"/>
          <w:sz w:val="24"/>
          <w:szCs w:val="24"/>
        </w:rPr>
      </w:pP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86"/>
        <w:gridCol w:w="3609"/>
        <w:gridCol w:w="2529"/>
      </w:tblGrid>
      <w:tr w14:paraId="25E4CE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1ED90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预测任务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1E03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推荐算法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689B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输出类型</w:t>
            </w:r>
          </w:p>
        </w:tc>
      </w:tr>
      <w:tr w14:paraId="38DB04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5AFC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超短时负荷（5~30分钟）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8FFE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LSTM, SVR, 粒子滤波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37A3C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时序预测值</w:t>
            </w:r>
          </w:p>
        </w:tc>
      </w:tr>
      <w:tr w14:paraId="79FC43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3F5A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短时负荷（1~4小时）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9765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XGBoost, 随机森林, GBDT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CB4E8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点预测 + 区间</w:t>
            </w:r>
          </w:p>
        </w:tc>
      </w:tr>
      <w:tr w14:paraId="724B28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F9BDB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中长期负荷（次日）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1725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多元线性回归 + 时间特征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7FB6A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逐小时预测</w:t>
            </w:r>
          </w:p>
        </w:tc>
      </w:tr>
      <w:tr w14:paraId="2AF5FA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5AE9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AGC趋势感知（1~5分钟）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1B35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BP神经网络, 极限学习机(ELM)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C2CCE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上调/下调/保持三分类</w:t>
            </w:r>
          </w:p>
        </w:tc>
      </w:tr>
    </w:tbl>
    <w:p w14:paraId="6A4C4B2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42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7D11C8CA">
      <w:pPr>
        <w:pStyle w:val="3"/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bookmarkStart w:id="18" w:name="_Toc30274"/>
      <w:r>
        <w:rPr>
          <w:rFonts w:hint="eastAsia" w:ascii="宋体" w:hAnsi="宋体" w:eastAsia="宋体" w:cs="宋体"/>
          <w:sz w:val="24"/>
          <w:szCs w:val="24"/>
        </w:rPr>
        <w:t>模型训练要求</w:t>
      </w:r>
      <w:bookmarkEnd w:id="18"/>
    </w:p>
    <w:p w14:paraId="464C2A06">
      <w:pPr>
        <w:pStyle w:val="2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41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超参数优化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：网格搜索或随机搜索（验证集最佳）</w:t>
      </w:r>
    </w:p>
    <w:p w14:paraId="37FE62DE">
      <w:pPr>
        <w:pStyle w:val="2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41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损失函数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：回归 – MSE；分类 – 交叉熵损失</w:t>
      </w:r>
    </w:p>
    <w:p w14:paraId="7C6F7E64">
      <w:pPr>
        <w:pStyle w:val="2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41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防止过拟合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：早停法（EarlyStopping）、Dropout（深度学习）、最大深度限制（树模型）</w:t>
      </w:r>
    </w:p>
    <w:p w14:paraId="632CE4AC">
      <w:pPr>
        <w:pStyle w:val="2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C029FC5">
      <w:pPr>
        <w:pStyle w:val="2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9F6D55A">
      <w:pPr>
        <w:pStyle w:val="2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2E3109D">
      <w:pPr>
        <w:pStyle w:val="3"/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bookmarkStart w:id="19" w:name="_Toc3682"/>
      <w:r>
        <w:rPr>
          <w:rFonts w:hint="eastAsia" w:ascii="宋体" w:hAnsi="宋体" w:eastAsia="宋体" w:cs="宋体"/>
          <w:sz w:val="24"/>
          <w:szCs w:val="24"/>
        </w:rPr>
        <w:t>模型更新策略</w:t>
      </w:r>
      <w:bookmarkEnd w:id="19"/>
    </w:p>
    <w:p w14:paraId="31C91AB1">
      <w:pPr>
        <w:pStyle w:val="2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每周自动重训练（增量学习或全量）</w:t>
      </w:r>
    </w:p>
    <w:p w14:paraId="640E59D2">
      <w:pPr>
        <w:pStyle w:val="28"/>
        <w:keepNext w:val="0"/>
        <w:keepLines w:val="0"/>
        <w:widowControl/>
        <w:suppressLineNumbers w:val="0"/>
        <w:tabs>
          <w:tab w:val="left" w:pos="5505"/>
        </w:tabs>
        <w:spacing w:before="0" w:beforeAutospacing="0" w:after="0" w:afterAutospacing="0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预测误差（MAE）连续3天超过阈值 3% → 立即重训练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ab/>
      </w:r>
    </w:p>
    <w:p w14:paraId="2D2F9B28">
      <w:pPr>
        <w:pStyle w:val="28"/>
        <w:keepNext w:val="0"/>
        <w:keepLines w:val="0"/>
        <w:widowControl/>
        <w:suppressLineNumbers w:val="0"/>
        <w:tabs>
          <w:tab w:val="left" w:pos="5505"/>
        </w:tabs>
        <w:spacing w:before="0" w:beforeAutospacing="0" w:after="0" w:afterAutospacing="0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</w:p>
    <w:p w14:paraId="5EE93084">
      <w:pPr>
        <w:pStyle w:val="28"/>
        <w:keepNext w:val="0"/>
        <w:keepLines w:val="0"/>
        <w:widowControl/>
        <w:suppressLineNumbers w:val="0"/>
        <w:tabs>
          <w:tab w:val="left" w:pos="5505"/>
        </w:tabs>
        <w:spacing w:before="0" w:beforeAutospacing="0" w:after="0" w:afterAutospacing="0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</w:p>
    <w:p w14:paraId="6A2D3196">
      <w:pPr>
        <w:pStyle w:val="28"/>
        <w:keepNext w:val="0"/>
        <w:keepLines w:val="0"/>
        <w:widowControl/>
        <w:suppressLineNumbers w:val="0"/>
        <w:tabs>
          <w:tab w:val="left" w:pos="5505"/>
        </w:tabs>
        <w:spacing w:before="0" w:beforeAutospacing="0" w:after="0" w:afterAutospacing="0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</w:p>
    <w:p w14:paraId="0C46B9C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42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69A6577B">
      <w:pPr>
        <w:pStyle w:val="2"/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bookmarkStart w:id="20" w:name="_Toc21080"/>
      <w:r>
        <w:rPr>
          <w:rFonts w:hint="eastAsia" w:ascii="宋体" w:hAnsi="宋体" w:eastAsia="宋体" w:cs="宋体"/>
          <w:sz w:val="24"/>
          <w:szCs w:val="24"/>
        </w:rPr>
        <w:t>统一管理平台功能需求</w:t>
      </w:r>
      <w:bookmarkEnd w:id="20"/>
    </w:p>
    <w:p w14:paraId="58B14CB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42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2E084B54">
      <w:pPr>
        <w:pStyle w:val="3"/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bookmarkStart w:id="21" w:name="_Toc17381"/>
      <w:r>
        <w:rPr>
          <w:rFonts w:hint="eastAsia" w:ascii="宋体" w:hAnsi="宋体" w:eastAsia="宋体" w:cs="宋体"/>
          <w:sz w:val="24"/>
          <w:szCs w:val="24"/>
        </w:rPr>
        <w:t>平台架构要求</w:t>
      </w:r>
      <w:bookmarkEnd w:id="21"/>
    </w:p>
    <w:p w14:paraId="6BE72FA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42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62A1D25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B/S架构，支持多用户并发访问</w:t>
      </w:r>
    </w:p>
    <w:p w14:paraId="75F97B9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后端：Python（FastAPI/Django） + 实时数据库（InfluxDB）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+</w:t>
      </w:r>
      <w:r>
        <w:rPr>
          <w:rFonts w:hint="eastAsia" w:ascii="宋体" w:hAnsi="宋体" w:eastAsia="宋体" w:cs="宋体"/>
          <w:sz w:val="24"/>
          <w:szCs w:val="24"/>
        </w:rPr>
        <w:t>关系库（PostgreSQL）</w:t>
      </w:r>
    </w:p>
    <w:p w14:paraId="364D2CE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前端：Vue/React + ECharts/antv</w:t>
      </w:r>
    </w:p>
    <w:p w14:paraId="680E242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模型部署：ONNX 或 MLflow</w:t>
      </w:r>
    </w:p>
    <w:p w14:paraId="010F04C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42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7BEF232C">
      <w:pPr>
        <w:pStyle w:val="3"/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bookmarkStart w:id="22" w:name="_Toc20387"/>
      <w:r>
        <w:rPr>
          <w:rFonts w:hint="eastAsia" w:ascii="宋体" w:hAnsi="宋体" w:eastAsia="宋体" w:cs="宋体"/>
          <w:sz w:val="24"/>
          <w:szCs w:val="24"/>
        </w:rPr>
        <w:t>功能模块</w:t>
      </w:r>
      <w:bookmarkEnd w:id="22"/>
    </w:p>
    <w:p w14:paraId="60D535C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420"/>
        <w:textAlignment w:val="auto"/>
        <w:rPr>
          <w:rFonts w:hint="eastAsia" w:ascii="宋体" w:hAnsi="宋体" w:eastAsia="宋体" w:cs="宋体"/>
          <w:sz w:val="24"/>
          <w:szCs w:val="24"/>
        </w:rPr>
      </w:pPr>
    </w:p>
    <w:tbl>
      <w:tblPr>
        <w:tblW w:w="9420" w:type="dxa"/>
        <w:tblInd w:w="-20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6"/>
        <w:gridCol w:w="8004"/>
      </w:tblGrid>
      <w:tr w14:paraId="2D27F7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416" w:type="dxa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C1DD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模块</w:t>
            </w:r>
          </w:p>
        </w:tc>
        <w:tc>
          <w:tcPr>
            <w:tcW w:w="8004" w:type="dxa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9632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具体功能</w:t>
            </w:r>
          </w:p>
        </w:tc>
      </w:tr>
      <w:tr w14:paraId="707BCC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16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DB75B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数据接入</w:t>
            </w:r>
          </w:p>
        </w:tc>
        <w:tc>
          <w:tcPr>
            <w:tcW w:w="8004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BA275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OPC UA/DA、Modbus TCP、气象API实时入库</w:t>
            </w:r>
          </w:p>
        </w:tc>
      </w:tr>
      <w:tr w14:paraId="3AC55C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16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F942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数据预处理</w:t>
            </w:r>
          </w:p>
        </w:tc>
        <w:tc>
          <w:tcPr>
            <w:tcW w:w="8004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3A7A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用户可配置清洗规则；自动时间对齐</w:t>
            </w:r>
          </w:p>
        </w:tc>
      </w:tr>
      <w:tr w14:paraId="369FA9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16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3FC8B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特征工程</w:t>
            </w:r>
          </w:p>
        </w:tc>
        <w:tc>
          <w:tcPr>
            <w:tcW w:w="8004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B27EB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自动计算相关性矩阵；支持手动筛选特征</w:t>
            </w:r>
          </w:p>
        </w:tc>
      </w:tr>
      <w:tr w14:paraId="437DD9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16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BA11B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模型工坊</w:t>
            </w:r>
          </w:p>
        </w:tc>
        <w:tc>
          <w:tcPr>
            <w:tcW w:w="8004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6550B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内置常用算法（XGBoost, LSTM, SVR, ARIMA）；自动划分训练集；超参数搜索；模型版本管理</w:t>
            </w:r>
          </w:p>
        </w:tc>
      </w:tr>
      <w:tr w14:paraId="69924B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16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861C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预测服务</w:t>
            </w:r>
          </w:p>
        </w:tc>
        <w:tc>
          <w:tcPr>
            <w:tcW w:w="8004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6CC71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提供REST API：</w:t>
            </w:r>
            <w:r>
              <w:rPr>
                <w:rStyle w:val="45"/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/predict/load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，返回未来1~4小时负荷及置信区间</w:t>
            </w:r>
          </w:p>
        </w:tc>
      </w:tr>
      <w:tr w14:paraId="7A276F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16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00545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AGC感知</w:t>
            </w:r>
          </w:p>
        </w:tc>
        <w:tc>
          <w:tcPr>
            <w:tcW w:w="8004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130A1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45"/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shd w:val="clear" w:fill="EBEEF2"/>
                <w:lang w:val="en-US" w:eastAsia="zh-CN" w:bidi="ar"/>
              </w:rPr>
              <w:t>/predict/agc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 返回未来5分钟调节方向概率</w:t>
            </w:r>
          </w:p>
        </w:tc>
      </w:tr>
      <w:tr w14:paraId="4979BC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16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6C56C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优化推荐</w:t>
            </w:r>
          </w:p>
        </w:tc>
        <w:tc>
          <w:tcPr>
            <w:tcW w:w="8004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8E69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基于预测结果与约束边界给出运行区间建议</w:t>
            </w:r>
          </w:p>
        </w:tc>
      </w:tr>
      <w:tr w14:paraId="736709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16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35453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监控大屏</w:t>
            </w:r>
          </w:p>
        </w:tc>
        <w:tc>
          <w:tcPr>
            <w:tcW w:w="8004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A9966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实时展示实际负荷 vs 预测负荷曲线、模型误差变化、特征重要性排序</w:t>
            </w:r>
          </w:p>
        </w:tc>
      </w:tr>
      <w:tr w14:paraId="252F54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16" w:type="dxa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9CE9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评估报表</w:t>
            </w:r>
          </w:p>
        </w:tc>
        <w:tc>
          <w:tcPr>
            <w:tcW w:w="8004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E54EE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自动生成每日/每周性能报告（MAE, RMSE, R², Kappa系数）</w:t>
            </w:r>
          </w:p>
        </w:tc>
      </w:tr>
    </w:tbl>
    <w:p w14:paraId="3473996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42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0C04A6D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6ED9AF8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42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53E2EB0E">
      <w:pPr>
        <w:pStyle w:val="2"/>
        <w:bidi w:val="0"/>
        <w:rPr>
          <w:rFonts w:hint="eastAsia" w:ascii="宋体" w:hAnsi="宋体" w:eastAsia="宋体" w:cs="宋体"/>
          <w:sz w:val="24"/>
          <w:szCs w:val="24"/>
        </w:rPr>
      </w:pPr>
      <w:bookmarkStart w:id="23" w:name="_Toc299"/>
      <w:r>
        <w:rPr>
          <w:rFonts w:hint="eastAsia" w:ascii="宋体" w:hAnsi="宋体" w:eastAsia="宋体" w:cs="宋体"/>
          <w:sz w:val="24"/>
          <w:szCs w:val="24"/>
        </w:rPr>
        <w:t>风险与约束</w:t>
      </w:r>
      <w:bookmarkEnd w:id="23"/>
    </w:p>
    <w:p w14:paraId="3F1667A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420"/>
        <w:textAlignment w:val="auto"/>
        <w:rPr>
          <w:rFonts w:hint="eastAsia" w:ascii="宋体" w:hAnsi="宋体" w:eastAsia="宋体" w:cs="宋体"/>
          <w:sz w:val="24"/>
          <w:szCs w:val="24"/>
        </w:rPr>
      </w:pP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00"/>
        <w:gridCol w:w="5824"/>
      </w:tblGrid>
      <w:tr w14:paraId="35F6A8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5FD5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风险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0502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应对措施</w:t>
            </w:r>
          </w:p>
        </w:tc>
      </w:tr>
      <w:tr w14:paraId="4F8438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9923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数据质量不足（高频缺失）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107BB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增强数据采集冗余，并采用稳健插补方法</w:t>
            </w:r>
          </w:p>
        </w:tc>
      </w:tr>
      <w:tr w14:paraId="79A88F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0BC0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AGC信号无法直接获取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C8473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使用间接特征（频率偏差、联络线功率）回归预测</w:t>
            </w:r>
          </w:p>
        </w:tc>
      </w:tr>
      <w:tr w14:paraId="10109C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0144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实时性要求高（秒级预测）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489FD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部署轻量级模型（如ONNX推理），放弃高延迟算法</w:t>
            </w:r>
          </w:p>
        </w:tc>
      </w:tr>
      <w:tr w14:paraId="7EDB91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B52D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缺少标签/目标变量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D7F62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以实际发电负荷为监督目标，无需额外标注</w:t>
            </w:r>
          </w:p>
        </w:tc>
      </w:tr>
    </w:tbl>
    <w:p w14:paraId="6E0B5D5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23624ED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420"/>
        <w:textAlignment w:val="auto"/>
        <w:rPr>
          <w:rFonts w:hint="eastAsia" w:ascii="宋体" w:hAnsi="宋体" w:eastAsia="宋体" w:cs="宋体"/>
          <w:sz w:val="24"/>
          <w:szCs w:val="24"/>
        </w:rPr>
      </w:pPr>
    </w:p>
    <w:sectPr>
      <w:footerReference r:id="rId6" w:type="default"/>
      <w:pgSz w:w="11906" w:h="16838"/>
      <w:pgMar w:top="1418" w:right="1418" w:bottom="1191" w:left="1418" w:header="851" w:footer="992" w:gutter="284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17C3DF">
    <w:pPr>
      <w:pStyle w:val="21"/>
      <w:rPr>
        <w:rFonts w:hint="eastAsia" w:hAnsi="宋体"/>
      </w:rPr>
    </w:pPr>
    <w:r>
      <w:rPr>
        <w:kern w:val="0"/>
        <w:sz w:val="20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-18415</wp:posOffset>
              </wp:positionV>
              <wp:extent cx="5600700" cy="0"/>
              <wp:effectExtent l="9525" t="10160" r="9525" b="8890"/>
              <wp:wrapNone/>
              <wp:docPr id="4097" name="Line 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700" cy="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9" o:spid="_x0000_s1026" o:spt="20" style="position:absolute;left:0pt;margin-left:0pt;margin-top:-1.45pt;height:0pt;width:441pt;z-index:251659264;mso-width-relative:page;mso-height-relative:page;" filled="f" stroked="t" coordsize="21600,21600" o:gfxdata="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8DTwp9MAAAAGAQAADwAAAAAAAAABACAAAAAiAAAAZHJzL2Rvd25yZXYueG1sUEsBAhQAFAAA&#10;AAgAh07iQHMEYK67AQAAhwMAAA4AAAAAAAAAAQAgAAAAIgEAAGRycy9lMm9Eb2MueG1sUEsFBgAA&#10;AAAGAAYAWQEAAE8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AD2E24">
    <w:pPr>
      <w:pStyle w:val="21"/>
      <w:rPr>
        <w:rFonts w:hint="eastAsia" w:hAnsi="宋体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72B9B42">
                          <w:pPr>
                            <w:pStyle w:val="2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72B9B42">
                    <w:pPr>
                      <w:pStyle w:val="2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kern w:val="0"/>
        <w:sz w:val="20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-18415</wp:posOffset>
              </wp:positionV>
              <wp:extent cx="5600700" cy="0"/>
              <wp:effectExtent l="0" t="4445" r="0" b="5080"/>
              <wp:wrapNone/>
              <wp:docPr id="3" name="Line 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700" cy="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9" o:spid="_x0000_s1026" o:spt="20" style="position:absolute;left:0pt;margin-left:0pt;margin-top:-1.45pt;height:0pt;width:441pt;z-index:251659264;mso-width-relative:page;mso-height-relative:page;" filled="f" stroked="t" coordsize="21600,21600" o:gfxdata="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8DTwp9MAAAAGAQAADwAAAAAAAAABACAAAAAiAAAAZHJzL2Rvd25yZXYueG1sUEsBAhQAFAAAAAgA&#10;h07iQCSZfZS4AQAAhAMAAA4AAAAAAAAAAQAgAAAAIgEAAGRycy9lMm9Eb2MueG1sUEsFBgAAAAAG&#10;AAYAWQEAAEw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097900">
    <w:pPr>
      <w:pStyle w:val="21"/>
      <w:rPr>
        <w:rFonts w:hint="eastAsia" w:hAnsi="宋体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52E7B9">
                          <w:pPr>
                            <w:pStyle w:val="2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F52E7B9">
                    <w:pPr>
                      <w:pStyle w:val="2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kern w:val="0"/>
        <w:sz w:val="20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-18415</wp:posOffset>
              </wp:positionV>
              <wp:extent cx="5600700" cy="0"/>
              <wp:effectExtent l="0" t="4445" r="0" b="5080"/>
              <wp:wrapNone/>
              <wp:docPr id="5" name="Line 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0700" cy="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9" o:spid="_x0000_s1026" o:spt="20" style="position:absolute;left:0pt;margin-left:0pt;margin-top:-1.45pt;height:0pt;width:441pt;z-index:251659264;mso-width-relative:page;mso-height-relative:page;" filled="f" stroked="t" coordsize="21600,21600" o:gfxdata="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w&#10;NPCn0wAAAAYBAAAPAAAAAAAAAAEAIAAAACIAAABkcnMvZG93bnJldi54bWxQSwECFAAUAAAACACH&#10;TuJADNzOEbcBAACEAwAADgAAAAAAAAABACAAAAAiAQAAZHJzL2Uyb0RvYy54bWxQSwUGAAAAAAYA&#10;BgBZAQAAS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5E8006">
    <w:pPr>
      <w:pStyle w:val="2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F"/>
    <w:multiLevelType w:val="multilevel"/>
    <w:tmpl w:val="0000000F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default"/>
        <w:sz w:val="44"/>
        <w:szCs w:val="44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default"/>
        <w:b w:val="0"/>
        <w:bCs w:val="0"/>
        <w:i w:val="0"/>
        <w:iCs w:val="0"/>
        <w:caps w:val="0"/>
        <w:smallCaps w:val="0"/>
        <w:vanish w:val="0"/>
        <w:color w:val="000000"/>
        <w:spacing w:val="0"/>
        <w:position w:val="0"/>
        <w:sz w:val="28"/>
        <w:szCs w:val="28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1145"/>
        </w:tabs>
        <w:ind w:left="1145" w:hanging="720"/>
      </w:p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1856"/>
        </w:tabs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CFB"/>
    <w:rsid w:val="00011CF8"/>
    <w:rsid w:val="0042626F"/>
    <w:rsid w:val="004772A2"/>
    <w:rsid w:val="004872DF"/>
    <w:rsid w:val="004E34F2"/>
    <w:rsid w:val="00543924"/>
    <w:rsid w:val="005F53B8"/>
    <w:rsid w:val="00A66CFB"/>
    <w:rsid w:val="00B57BF9"/>
    <w:rsid w:val="00CA58E9"/>
    <w:rsid w:val="0D211516"/>
    <w:rsid w:val="0F9F39DA"/>
    <w:rsid w:val="15CC7EB0"/>
    <w:rsid w:val="1B0E67CD"/>
    <w:rsid w:val="56A96DB1"/>
    <w:rsid w:val="5D663C6C"/>
    <w:rsid w:val="64D616D7"/>
    <w:rsid w:val="6560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uiPriority="99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qFormat="1" w:unhideWhenUsed="0" w:uiPriority="0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pacing w:before="480" w:line="360" w:lineRule="auto"/>
      <w:outlineLvl w:val="0"/>
    </w:pPr>
    <w:rPr>
      <w:rFonts w:ascii="Arial" w:hAnsi="Arial" w:eastAsia="黑体"/>
      <w:kern w:val="44"/>
      <w:sz w:val="36"/>
      <w:szCs w:val="36"/>
      <w14:shadow w14:blurRad="50800" w14:dist="38100" w14:dir="2700000" w14:sx="100000" w14:sy="100000" w14:kx="0" w14:ky="0" w14:algn="tl">
        <w14:srgbClr w14:val="000000">
          <w14:alpha w14:val="60001"/>
        </w14:srgbClr>
      </w14:shadow>
    </w:rPr>
  </w:style>
  <w:style w:type="paragraph" w:styleId="3">
    <w:name w:val="heading 2"/>
    <w:basedOn w:val="1"/>
    <w:next w:val="1"/>
    <w:link w:val="60"/>
    <w:unhideWhenUsed/>
    <w:qFormat/>
    <w:uiPriority w:val="9"/>
    <w:pPr>
      <w:keepNext/>
      <w:keepLines/>
      <w:numPr>
        <w:ilvl w:val="1"/>
        <w:numId w:val="1"/>
      </w:numPr>
      <w:spacing w:before="120" w:line="300" w:lineRule="auto"/>
      <w:outlineLvl w:val="1"/>
    </w:pPr>
    <w:rPr>
      <w:rFonts w:ascii="Arial" w:hAnsi="Arial" w:eastAsia="黑体"/>
      <w:sz w:val="30"/>
      <w:szCs w:val="20"/>
      <w14:shadow w14:blurRad="50800" w14:dist="38100" w14:dir="2700000" w14:sx="100000" w14:sy="100000" w14:kx="0" w14:ky="0" w14:algn="tl">
        <w14:srgbClr w14:val="000000">
          <w14:alpha w14:val="60001"/>
        </w14:srgbClr>
      </w14:shadow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numPr>
        <w:ilvl w:val="2"/>
        <w:numId w:val="1"/>
      </w:numPr>
      <w:tabs>
        <w:tab w:val="left" w:pos="720"/>
        <w:tab w:val="clear" w:pos="1145"/>
      </w:tabs>
      <w:spacing w:before="40" w:line="300" w:lineRule="auto"/>
      <w:ind w:left="720"/>
      <w:outlineLvl w:val="2"/>
    </w:pPr>
    <w:rPr>
      <w:rFonts w:hAnsi="宋体"/>
      <w:bCs/>
      <w:sz w:val="28"/>
      <w:szCs w:val="20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numPr>
        <w:ilvl w:val="3"/>
        <w:numId w:val="1"/>
      </w:numPr>
      <w:spacing w:before="40" w:line="300" w:lineRule="auto"/>
      <w:outlineLvl w:val="3"/>
    </w:pPr>
    <w:rPr>
      <w:rFonts w:hAnsi="宋体"/>
      <w:b/>
      <w:bCs/>
      <w:szCs w:val="28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rFonts w:ascii="Times New Roman"/>
      <w:bCs/>
      <w:i/>
      <w:color w:val="0033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</w:rPr>
  </w:style>
  <w:style w:type="paragraph" w:styleId="8">
    <w:name w:val="heading 7"/>
    <w:basedOn w:val="1"/>
    <w:next w:val="1"/>
    <w:qFormat/>
    <w:uiPriority w:val="0"/>
    <w:pPr>
      <w:keepNext/>
      <w:numPr>
        <w:ilvl w:val="6"/>
        <w:numId w:val="1"/>
      </w:numPr>
      <w:autoSpaceDE w:val="0"/>
      <w:autoSpaceDN w:val="0"/>
      <w:adjustRightInd w:val="0"/>
      <w:spacing w:line="288" w:lineRule="auto"/>
      <w:outlineLvl w:val="6"/>
    </w:pPr>
    <w:rPr>
      <w:rFonts w:ascii="Arial" w:hAnsi="Arial"/>
      <w:b/>
      <w:color w:val="000000"/>
      <w:sz w:val="15"/>
      <w:szCs w:val="20"/>
    </w:rPr>
  </w:style>
  <w:style w:type="paragraph" w:styleId="9">
    <w:name w:val="heading 8"/>
    <w:basedOn w:val="1"/>
    <w:next w:val="1"/>
    <w:qFormat/>
    <w:uiPriority w:val="0"/>
    <w:pPr>
      <w:keepNext/>
      <w:numPr>
        <w:ilvl w:val="7"/>
        <w:numId w:val="1"/>
      </w:numPr>
      <w:spacing w:line="360" w:lineRule="auto"/>
      <w:outlineLvl w:val="7"/>
    </w:pPr>
    <w:rPr>
      <w:rFonts w:ascii="仿宋_GB2312" w:eastAsia="仿宋_GB2312"/>
      <w:b/>
      <w:sz w:val="24"/>
      <w:szCs w:val="20"/>
    </w:rPr>
  </w:style>
  <w:style w:type="paragraph" w:styleId="10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40">
    <w:name w:val="Default Paragraph Font"/>
    <w:semiHidden/>
    <w:unhideWhenUsed/>
    <w:uiPriority w:val="1"/>
  </w:style>
  <w:style w:type="table" w:default="1" w:styleId="3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qFormat/>
    <w:uiPriority w:val="0"/>
    <w:pPr>
      <w:spacing w:line="300" w:lineRule="auto"/>
      <w:ind w:left="1260"/>
      <w:jc w:val="left"/>
    </w:pPr>
    <w:rPr>
      <w:rFonts w:ascii="Times New Roman"/>
      <w:sz w:val="18"/>
      <w:szCs w:val="18"/>
    </w:rPr>
  </w:style>
  <w:style w:type="paragraph" w:styleId="12">
    <w:name w:val="Normal Indent"/>
    <w:basedOn w:val="1"/>
    <w:qFormat/>
    <w:uiPriority w:val="0"/>
    <w:pPr>
      <w:spacing w:line="360" w:lineRule="auto"/>
      <w:ind w:firstLine="420"/>
    </w:pPr>
    <w:rPr>
      <w:sz w:val="24"/>
      <w:szCs w:val="20"/>
    </w:rPr>
  </w:style>
  <w:style w:type="paragraph" w:styleId="13">
    <w:name w:val="Document Map"/>
    <w:basedOn w:val="1"/>
    <w:qFormat/>
    <w:uiPriority w:val="0"/>
    <w:pPr>
      <w:shd w:val="clear" w:color="auto" w:fill="000080"/>
    </w:pPr>
  </w:style>
  <w:style w:type="paragraph" w:styleId="14">
    <w:name w:val="annotation text"/>
    <w:basedOn w:val="1"/>
    <w:link w:val="54"/>
    <w:qFormat/>
    <w:uiPriority w:val="0"/>
    <w:pPr>
      <w:jc w:val="left"/>
    </w:pPr>
  </w:style>
  <w:style w:type="paragraph" w:styleId="15">
    <w:name w:val="Body Text Indent"/>
    <w:basedOn w:val="1"/>
    <w:qFormat/>
    <w:uiPriority w:val="0"/>
    <w:pPr>
      <w:spacing w:after="120"/>
      <w:ind w:left="420" w:leftChars="200"/>
    </w:pPr>
  </w:style>
  <w:style w:type="paragraph" w:styleId="16">
    <w:name w:val="toc 5"/>
    <w:basedOn w:val="1"/>
    <w:next w:val="1"/>
    <w:qFormat/>
    <w:uiPriority w:val="0"/>
    <w:pPr>
      <w:spacing w:line="300" w:lineRule="auto"/>
      <w:ind w:left="840"/>
      <w:jc w:val="left"/>
    </w:pPr>
    <w:rPr>
      <w:rFonts w:ascii="Times New Roman"/>
      <w:sz w:val="18"/>
      <w:szCs w:val="18"/>
    </w:rPr>
  </w:style>
  <w:style w:type="paragraph" w:styleId="17">
    <w:name w:val="toc 3"/>
    <w:basedOn w:val="1"/>
    <w:next w:val="1"/>
    <w:qFormat/>
    <w:uiPriority w:val="39"/>
    <w:pPr>
      <w:spacing w:line="300" w:lineRule="auto"/>
      <w:ind w:left="420"/>
      <w:jc w:val="left"/>
    </w:pPr>
    <w:rPr>
      <w:rFonts w:ascii="Times New Roman"/>
      <w:i/>
      <w:iCs/>
      <w:sz w:val="20"/>
      <w:szCs w:val="20"/>
    </w:rPr>
  </w:style>
  <w:style w:type="paragraph" w:styleId="18">
    <w:name w:val="toc 8"/>
    <w:basedOn w:val="1"/>
    <w:next w:val="1"/>
    <w:qFormat/>
    <w:uiPriority w:val="0"/>
    <w:pPr>
      <w:spacing w:line="300" w:lineRule="auto"/>
      <w:ind w:left="1470"/>
      <w:jc w:val="left"/>
    </w:pPr>
    <w:rPr>
      <w:rFonts w:ascii="Times New Roman"/>
      <w:sz w:val="18"/>
      <w:szCs w:val="18"/>
    </w:rPr>
  </w:style>
  <w:style w:type="paragraph" w:styleId="19">
    <w:name w:val="Date"/>
    <w:basedOn w:val="1"/>
    <w:next w:val="1"/>
    <w:qFormat/>
    <w:uiPriority w:val="0"/>
    <w:pPr>
      <w:ind w:left="100" w:leftChars="2500"/>
    </w:pPr>
    <w:rPr>
      <w:sz w:val="28"/>
    </w:rPr>
  </w:style>
  <w:style w:type="paragraph" w:styleId="20">
    <w:name w:val="Balloon Text"/>
    <w:basedOn w:val="1"/>
    <w:qFormat/>
    <w:uiPriority w:val="0"/>
    <w:rPr>
      <w:sz w:val="18"/>
      <w:szCs w:val="18"/>
    </w:rPr>
  </w:style>
  <w:style w:type="paragraph" w:styleId="2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2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3">
    <w:name w:val="toc 1"/>
    <w:basedOn w:val="1"/>
    <w:next w:val="1"/>
    <w:qFormat/>
    <w:uiPriority w:val="39"/>
    <w:pPr>
      <w:spacing w:before="120" w:after="120" w:line="300" w:lineRule="auto"/>
      <w:jc w:val="left"/>
    </w:pPr>
    <w:rPr>
      <w:rFonts w:ascii="Times New Roman"/>
      <w:b/>
      <w:bCs/>
      <w:caps/>
      <w:sz w:val="20"/>
      <w:szCs w:val="20"/>
    </w:rPr>
  </w:style>
  <w:style w:type="paragraph" w:styleId="24">
    <w:name w:val="toc 4"/>
    <w:basedOn w:val="1"/>
    <w:next w:val="1"/>
    <w:qFormat/>
    <w:uiPriority w:val="0"/>
    <w:pPr>
      <w:spacing w:line="300" w:lineRule="auto"/>
      <w:ind w:left="630"/>
      <w:jc w:val="left"/>
    </w:pPr>
    <w:rPr>
      <w:rFonts w:ascii="Times New Roman"/>
      <w:sz w:val="18"/>
      <w:szCs w:val="18"/>
    </w:rPr>
  </w:style>
  <w:style w:type="paragraph" w:styleId="25">
    <w:name w:val="toc 6"/>
    <w:basedOn w:val="1"/>
    <w:next w:val="1"/>
    <w:qFormat/>
    <w:uiPriority w:val="0"/>
    <w:pPr>
      <w:spacing w:line="300" w:lineRule="auto"/>
      <w:ind w:left="1050"/>
      <w:jc w:val="left"/>
    </w:pPr>
    <w:rPr>
      <w:rFonts w:ascii="Times New Roman"/>
      <w:sz w:val="18"/>
      <w:szCs w:val="18"/>
    </w:rPr>
  </w:style>
  <w:style w:type="paragraph" w:styleId="26">
    <w:name w:val="toc 2"/>
    <w:basedOn w:val="1"/>
    <w:next w:val="1"/>
    <w:qFormat/>
    <w:uiPriority w:val="39"/>
    <w:pPr>
      <w:spacing w:line="300" w:lineRule="auto"/>
      <w:ind w:left="210"/>
      <w:jc w:val="left"/>
    </w:pPr>
    <w:rPr>
      <w:rFonts w:ascii="Times New Roman"/>
      <w:smallCaps/>
      <w:sz w:val="20"/>
      <w:szCs w:val="20"/>
    </w:rPr>
  </w:style>
  <w:style w:type="paragraph" w:styleId="27">
    <w:name w:val="toc 9"/>
    <w:basedOn w:val="1"/>
    <w:next w:val="1"/>
    <w:qFormat/>
    <w:uiPriority w:val="0"/>
    <w:pPr>
      <w:spacing w:line="300" w:lineRule="auto"/>
      <w:ind w:left="1680"/>
      <w:jc w:val="left"/>
    </w:pPr>
    <w:rPr>
      <w:rFonts w:ascii="Times New Roman"/>
      <w:sz w:val="18"/>
      <w:szCs w:val="18"/>
    </w:rPr>
  </w:style>
  <w:style w:type="paragraph" w:styleId="2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hAnsi="宋体" w:cs="宋体"/>
      <w:kern w:val="0"/>
      <w:sz w:val="24"/>
    </w:rPr>
  </w:style>
  <w:style w:type="paragraph" w:styleId="29">
    <w:name w:val="annotation subject"/>
    <w:basedOn w:val="14"/>
    <w:next w:val="14"/>
    <w:link w:val="55"/>
    <w:qFormat/>
    <w:uiPriority w:val="0"/>
    <w:rPr>
      <w:b/>
      <w:bCs/>
    </w:rPr>
  </w:style>
  <w:style w:type="paragraph" w:styleId="30">
    <w:name w:val="Body Text First Indent 2"/>
    <w:basedOn w:val="15"/>
    <w:qFormat/>
    <w:uiPriority w:val="0"/>
    <w:pPr>
      <w:ind w:firstLine="210" w:firstLineChars="200"/>
    </w:pPr>
  </w:style>
  <w:style w:type="table" w:styleId="32">
    <w:name w:val="Table Grid"/>
    <w:basedOn w:val="3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3">
    <w:name w:val="Medium Grid 3"/>
    <w:basedOn w:val="31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34">
    <w:name w:val="Medium Grid 3 Accent 1"/>
    <w:basedOn w:val="31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35">
    <w:name w:val="Medium Grid 3 Accent 2"/>
    <w:basedOn w:val="31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36">
    <w:name w:val="Medium Grid 3 Accent 3"/>
    <w:basedOn w:val="31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37">
    <w:name w:val="Medium Grid 3 Accent 4"/>
    <w:basedOn w:val="31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38">
    <w:name w:val="Medium Grid 3 Accent 5"/>
    <w:basedOn w:val="31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39">
    <w:name w:val="Medium Grid 3 Accent 6"/>
    <w:basedOn w:val="31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character" w:styleId="41">
    <w:name w:val="Strong"/>
    <w:basedOn w:val="40"/>
    <w:qFormat/>
    <w:uiPriority w:val="22"/>
    <w:rPr>
      <w:b/>
    </w:rPr>
  </w:style>
  <w:style w:type="character" w:styleId="42">
    <w:name w:val="page number"/>
    <w:basedOn w:val="40"/>
    <w:qFormat/>
    <w:uiPriority w:val="0"/>
  </w:style>
  <w:style w:type="character" w:styleId="43">
    <w:name w:val="FollowedHyperlink"/>
    <w:qFormat/>
    <w:uiPriority w:val="0"/>
    <w:rPr>
      <w:color w:val="800080"/>
      <w:u w:val="single"/>
    </w:rPr>
  </w:style>
  <w:style w:type="character" w:styleId="44">
    <w:name w:val="Hyperlink"/>
    <w:qFormat/>
    <w:uiPriority w:val="99"/>
    <w:rPr>
      <w:color w:val="0000FF"/>
      <w:u w:val="single"/>
    </w:rPr>
  </w:style>
  <w:style w:type="character" w:styleId="45">
    <w:name w:val="HTML Code"/>
    <w:basedOn w:val="40"/>
    <w:semiHidden/>
    <w:unhideWhenUsed/>
    <w:uiPriority w:val="99"/>
    <w:rPr>
      <w:rFonts w:ascii="Courier New" w:hAnsi="Courier New"/>
      <w:sz w:val="20"/>
    </w:rPr>
  </w:style>
  <w:style w:type="character" w:styleId="46">
    <w:name w:val="annotation reference"/>
    <w:basedOn w:val="40"/>
    <w:qFormat/>
    <w:uiPriority w:val="0"/>
    <w:rPr>
      <w:sz w:val="21"/>
      <w:szCs w:val="21"/>
    </w:rPr>
  </w:style>
  <w:style w:type="paragraph" w:customStyle="1" w:styleId="47">
    <w:name w:val="xl24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Times New Roman"/>
      <w:kern w:val="0"/>
      <w:szCs w:val="21"/>
    </w:rPr>
  </w:style>
  <w:style w:type="paragraph" w:customStyle="1" w:styleId="48">
    <w:name w:val="5 Char Char Char Char"/>
    <w:basedOn w:val="1"/>
    <w:qFormat/>
    <w:uiPriority w:val="0"/>
    <w:pPr>
      <w:widowControl/>
      <w:spacing w:after="160" w:line="240" w:lineRule="exact"/>
      <w:jc w:val="left"/>
    </w:pPr>
    <w:rPr>
      <w:rFonts w:ascii="Times New Roman"/>
      <w:szCs w:val="20"/>
    </w:rPr>
  </w:style>
  <w:style w:type="paragraph" w:customStyle="1" w:styleId="49">
    <w:name w:val="封面标准英文名称"/>
    <w:qFormat/>
    <w:uiPriority w:val="0"/>
    <w:pPr>
      <w:widowControl w:val="0"/>
      <w:spacing w:before="370" w:line="400" w:lineRule="exact"/>
      <w:jc w:val="center"/>
    </w:pPr>
    <w:rPr>
      <w:rFonts w:ascii="Times New Roman" w:hAnsi="Times New Roman" w:eastAsia="宋体" w:cs="Times New Roman"/>
      <w:sz w:val="28"/>
      <w:lang w:val="en-US" w:eastAsia="zh-CN" w:bidi="ar-SA"/>
    </w:rPr>
  </w:style>
  <w:style w:type="paragraph" w:customStyle="1" w:styleId="50">
    <w:name w:val="Char"/>
    <w:basedOn w:val="1"/>
    <w:qFormat/>
    <w:uiPriority w:val="0"/>
    <w:pPr>
      <w:tabs>
        <w:tab w:val="left" w:pos="360"/>
      </w:tabs>
    </w:pPr>
    <w:rPr>
      <w:rFonts w:ascii="Times New Roman"/>
      <w:sz w:val="24"/>
    </w:rPr>
  </w:style>
  <w:style w:type="paragraph" w:styleId="51">
    <w:name w:val="List Paragraph"/>
    <w:basedOn w:val="1"/>
    <w:qFormat/>
    <w:uiPriority w:val="34"/>
    <w:pPr>
      <w:ind w:firstLine="420" w:firstLineChars="200"/>
    </w:pPr>
  </w:style>
  <w:style w:type="character" w:customStyle="1" w:styleId="52">
    <w:name w:val="未处理的提及1"/>
    <w:basedOn w:val="40"/>
    <w:qFormat/>
    <w:uiPriority w:val="99"/>
    <w:rPr>
      <w:color w:val="605E5C"/>
      <w:shd w:val="clear" w:color="auto" w:fill="E1DFDD"/>
    </w:rPr>
  </w:style>
  <w:style w:type="paragraph" w:styleId="53">
    <w:name w:val="No Spacing"/>
    <w:basedOn w:val="1"/>
    <w:qFormat/>
    <w:uiPriority w:val="1"/>
    <w:pPr>
      <w:widowControl/>
      <w:jc w:val="left"/>
    </w:pPr>
    <w:rPr>
      <w:rFonts w:ascii="Calibri" w:hAnsi="Calibri"/>
      <w:kern w:val="0"/>
      <w:sz w:val="22"/>
      <w:szCs w:val="22"/>
      <w:lang w:eastAsia="en-US" w:bidi="en-US"/>
    </w:rPr>
  </w:style>
  <w:style w:type="character" w:customStyle="1" w:styleId="54">
    <w:name w:val="批注文字 字符"/>
    <w:basedOn w:val="40"/>
    <w:link w:val="14"/>
    <w:qFormat/>
    <w:uiPriority w:val="0"/>
    <w:rPr>
      <w:rFonts w:ascii="宋体"/>
      <w:kern w:val="2"/>
      <w:sz w:val="21"/>
      <w:szCs w:val="24"/>
    </w:rPr>
  </w:style>
  <w:style w:type="character" w:customStyle="1" w:styleId="55">
    <w:name w:val="批注主题 字符"/>
    <w:basedOn w:val="54"/>
    <w:link w:val="29"/>
    <w:qFormat/>
    <w:uiPriority w:val="0"/>
    <w:rPr>
      <w:rFonts w:ascii="宋体"/>
      <w:b/>
      <w:bCs/>
      <w:kern w:val="2"/>
      <w:sz w:val="21"/>
      <w:szCs w:val="24"/>
    </w:rPr>
  </w:style>
  <w:style w:type="paragraph" w:customStyle="1" w:styleId="56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57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58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59">
    <w:name w:val="修订1"/>
    <w:qFormat/>
    <w:uiPriority w:val="99"/>
    <w:rPr>
      <w:rFonts w:ascii="宋体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60">
    <w:name w:val="标题 2 Char"/>
    <w:link w:val="3"/>
    <w:uiPriority w:val="9"/>
    <w:rPr>
      <w:rFonts w:ascii="Arial" w:hAnsi="Arial" w:eastAsia="黑体"/>
      <w:sz w:val="30"/>
      <w:szCs w:val="20"/>
      <w14:shadow w14:blurRad="50800" w14:dist="38100" w14:dir="2700000" w14:sx="100000" w14:sy="100000" w14:kx="0" w14:ky="0" w14:algn="tl">
        <w14:srgbClr w14:val="000000">
          <w14:alpha w14:val="60001"/>
        </w14:srgbClr>
      </w14:shadow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青岛海尔软件有限公司</Company>
  <Pages>10</Pages>
  <Words>2818</Words>
  <Characters>2932</Characters>
  <Lines>342</Lines>
  <Paragraphs>303</Paragraphs>
  <TotalTime>32</TotalTime>
  <ScaleCrop>false</ScaleCrop>
  <LinksUpToDate>false</LinksUpToDate>
  <CharactersWithSpaces>2997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2026-03-06T07:38:00Z</dcterms:created>
  <dc:creator>RHB</dc:creator>
  <cp:lastModifiedBy>WPS_1693886434</cp:lastModifiedBy>
  <dcterms:modified xsi:type="dcterms:W3CDTF">2026-05-08T07:48:40Z</dcterms:modified>
  <dc:title>项目需求规格说明书</dc:title>
  <cp:revision>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cc9e80b3ce1d444793d3972855448578_23</vt:lpwstr>
  </property>
  <property fmtid="{D5CDD505-2E9C-101B-9397-08002B2CF9AE}" pid="4" name="KSOTemplateDocerSaveRecord">
    <vt:lpwstr>eyJoZGlkIjoiNmY0Yzc1MzU0YTBlYzY0OGExNzJmMzIyMzY3NmE3ZDEiLCJ1c2VySWQiOiIxNTI4MDQ0MzkyIn0=</vt:lpwstr>
  </property>
</Properties>
</file>