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b4wqr08y8kxz" w:id="0"/>
      <w:bookmarkEnd w:id="0"/>
      <w:r w:rsidDel="00000000" w:rsidR="00000000" w:rsidRPr="00000000">
        <w:rPr>
          <w:rtl w:val="0"/>
        </w:rPr>
        <w:t xml:space="preserve">Reporte  de corrección de usabilidad </w:t>
      </w:r>
    </w:p>
    <w:tbl>
      <w:tblPr>
        <w:tblStyle w:val="Table1"/>
        <w:tblW w:w="9360.0000000000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39.1891891891894"/>
        <w:gridCol w:w="7620.810810810812"/>
        <w:tblGridChange w:id="0">
          <w:tblGrid>
            <w:gridCol w:w="1739.1891891891894"/>
            <w:gridCol w:w="7620.810810810812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Botones superpuestos en barra superior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botones impiden visualizar correctamente el título de la página visitada.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Evidencia del aspecto: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2857500" cy="21336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2133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Heurística violada: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Consistencia y estándares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Severidad del problema: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es cómodo para la vista del usuario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Solución: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Hacer un reacomodo de los botones, se optó por cambiar el botón del usuario al lado izquierdo por un botón dentro de la barra de navegación con inicio de sesión.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Evidencia de la solución: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781550" cy="21590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550" cy="2159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Beneficio de la solución: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da mayor consistencia a la página y también permite que sea más estética.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Desventajas de la solución: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le encuentran desventajas a esta solución.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