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Tianwang-1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 CubeSats (3U, 2U, 2U)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Launched 25/9/16 - 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http://www.n2yo.com/database/?q=%09+TIANWANG#results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“Developed at the Shanghai Engineering Center for Microsatellites (SECM) in collaboration with Nanjing University of Science and Technology (NJUST), GomSpace from Denmark, Tekever Space from Portugal and NanoSpace from Sweden.”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Missions is to test SDRs in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“Using MEMS based cold-gas micropropulsion, it is planned to demonstrate formation flying by two of the CubeSats along with inter-satellite communication using GAMALINK 2.4 GHz spread spectrum technology from Portugal”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“The satellites will make inter satellite communication sessions using the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GAMALINK Portuguese technology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developed by the Portuguese company Tekever”  -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Same tech will be on Proba-3!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1B and 1C will formation fly using an ISL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GAMANET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protocol? Downlink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Technology &amp; Capabilities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Tianwang-1A (SECM-1) 3U CubeSat Antennas: stabilized (1 GPS/BD antenna +deployable  VHF/UHF antennas)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Tianwang-1B (NJUST-2) 2U CubeSat Antennas: stabilized (1 GPS/BD antenna +deployable  VHF/UHF antennas)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Tianwang-1C (NJFA-1) 2U CubeSat Antennas: stabilized (1 GPS/BD antenna +deployable  VHF/UHF antennas)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32-bit ARM architecture and freeRTOS real-time operating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Two regulated power buses with 3.3V@5A and 5V@4A are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9.6 kbps GMSK downlink/ uplink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Performance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...</w:t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2yo.com/database/?q=%09+TIANWANG#results" TargetMode="External"/></Relationships>
</file>