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Nodes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Identical craft to those of the EDSN Sats but with “enhanced software”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 left over EDSN 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“will test new network capabilities for operating swarms of spacecraft in the future.”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Much more command and control oriented than EDSN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http://nodes.engr.scu.edu/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Mission successfully demonstrated: indirect command, CubeSat science crosslink before DL and autonomous reconfiguration of the network setup to insure best 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“After two weeks it is expected that the satellites will be more than 60 miles (100 kilometers) apart, making it difficult for them to communicate with their UHF radios”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Technology and Capabilities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EDSN: S-Band S2G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EDSN: UHF ISL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EDSN: UHF Beacon (60s)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As before CAP and LT nodes. CAP collects, aggregates and downlinks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CAP is dynamically chosen.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All comms are scheduled to insure max power saving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Neat: “Six torque coils embedded in the solar panel PCB are used for control”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Very simple Ack/ReTX approach for comms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“Custom protocol”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Each session is a “transaction” which entails passing a command (Ack) and then receiving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CAP keeps special queue for commands destined for the 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Data sessions start with 12 pings (ID and Checksum) over 110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After 120s after getting a successful ping LT starts sending data (Starts w/ SOH) -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 Ack/Nack for data comms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“It is anticipated that future enhancements to the architecture will provide greater guarantees of data transmission either through ACK/NACK of DTNs”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Queues and stacks are the sames EDSN (See other doc)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At start of each new CAP cycle CAP will request metrics from LT to compare to own, if better sends promote 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LT with promote command will send a demote command to the CAP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3-4 comm sessions are scheduled per 25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CAP is responsible for determining when it will be over the ground station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Clock effects could leave nodes 12s out of sync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comms have buffers at beginning and end to account for potential drift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Who do they exchange or agree on or negotiate schedules?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Performance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Over 14 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356/470 packets (Size?)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Node K: 145/180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Node J: 211/290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5 Successful captaincy negotiations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Asym links lead to multiple transmissions of the same command as Acks were lost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Last successful crosslink was 7 days into mission at 100km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total of 12 crosslink successful crosslink sessions took 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See Nodes paper future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40000" cy="3835400"/>
            <wp:effectExtent b="0" l="0" r="0" t="0"/>
            <wp:docPr descr="Nodes scheduled chat.png" id="1" name="image01.png"/>
            <a:graphic>
              <a:graphicData uri="http://schemas.openxmlformats.org/drawingml/2006/picture">
                <pic:pic>
                  <pic:nvPicPr>
                    <pic:cNvPr descr="Nodes scheduled chat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40000" cy="4495800"/>
            <wp:effectExtent b="0" l="0" r="0" t="0"/>
            <wp:docPr descr="Nodes Promotion .png" id="2" name="image03.png"/>
            <a:graphic>
              <a:graphicData uri="http://schemas.openxmlformats.org/drawingml/2006/picture">
                <pic:pic>
                  <pic:nvPicPr>
                    <pic:cNvPr descr="Nodes Promotion 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nodes.engr.scu.edu/" TargetMode="External"/><Relationship Id="rId6" Type="http://schemas.openxmlformats.org/officeDocument/2006/relationships/image" Target="media/image01.png"/><Relationship Id="rId7" Type="http://schemas.openxmlformats.org/officeDocument/2006/relationships/image" Target="media/image03.png"/></Relationships>
</file>