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rPr>
          <w:rFonts w:ascii="黑体" w:hAnsi="黑体" w:eastAsia="黑体" w:cs="黑体" w:hint="eastAsia"/>
          <w:sz w:val="36"/>
          <w:szCs w:val="36"/>
        </w:rPr>
      </w:pPr>
      <w:r>
        <w:rPr>
          <w:rFonts w:ascii="黑体" w:hAnsi="黑体" w:cs="黑体" w:hint="eastAsia" w:eastAsia="黑体"/>
          <w:sz w:val="36"/>
          <w:szCs w:val="36"/>
        </w:rPr>
        <w:t>招标信息获取网站</w:t>
      </w:r>
    </w:p>
    <w:p>
      <w:pPr>
        <w:pStyle w:val="Normal"/>
        <w:numPr>
          <w:ilvl w:val="0"/>
          <w:numId w:val="0"/>
        </w:numPr>
        <w:ind w:hanging="0" w:start="0"/>
        <w:rPr>
          <w:rFonts w:ascii="黑体" w:hAnsi="黑体" w:eastAsia="黑体" w:cs="黑体" w:hint="eastAsia"/>
          <w:sz w:val="36"/>
          <w:szCs w:val="36"/>
          <w:lang w:val="en-US" w:eastAsia="zh-CN"/>
        </w:rPr>
      </w:pPr>
      <w:hyperlink r:id="rId2">
        <w:bookmarkStart w:id="0" w:name="__DdeLink__1652_3515221726"/>
        <w:r>
          <w:rPr>
            <w:rStyle w:val="Hyperlink"/>
            <w:rFonts w:eastAsia="黑体" w:cs="黑体" w:hint="eastAsia" w:ascii="黑体" w:hAnsi="黑体"/>
            <w:sz w:val="36"/>
            <w:szCs w:val="36"/>
            <w:lang w:val="en-US" w:eastAsia="zh-CN"/>
          </w:rPr>
          <w:t>https://qyzb.shccmg.com/cms/default/webfile/1ywgg/index.html</w:t>
        </w:r>
      </w:hyperlink>
      <w:bookmarkEnd w:id="0"/>
    </w:p>
    <w:p>
      <w:pPr>
        <w:pStyle w:val="Normal"/>
        <w:numPr>
          <w:ilvl w:val="0"/>
          <w:numId w:val="0"/>
        </w:numPr>
        <w:ind w:hanging="0" w:start="0"/>
        <w:rPr>
          <w:rFonts w:ascii="黑体" w:hAnsi="黑体" w:eastAsia="黑体" w:cs="黑体" w:hint="eastAsia"/>
          <w:sz w:val="36"/>
          <w:szCs w:val="36"/>
          <w:lang w:val="en-US" w:eastAsia="zh-CN"/>
        </w:rPr>
      </w:pPr>
      <w:hyperlink r:id="rId3">
        <w:bookmarkStart w:id="1" w:name="__DdeLink__3155_3515221726"/>
        <w:r>
          <w:rPr>
            <w:rStyle w:val="Hyperlink"/>
            <w:rFonts w:eastAsia="黑体" w:cs="黑体" w:hint="eastAsia" w:ascii="黑体" w:hAnsi="黑体"/>
            <w:sz w:val="36"/>
            <w:szCs w:val="36"/>
            <w:lang w:val="en-US" w:eastAsia="zh-CN"/>
          </w:rPr>
          <w:t>https://gx.e-bidding.org/sxyczscms//category/bulletinListNew.html?dates=300&amp;categoryId=2&amp;tenderMethod=01&amp;tabName=%E4%BE%9D%E6%B3%95%E6%8B%9B%E6%A0%87&amp;page=1</w:t>
        </w:r>
      </w:hyperlink>
      <w:bookmarkEnd w:id="1"/>
    </w:p>
    <w:p>
      <w:pPr>
        <w:pStyle w:val="Normal"/>
        <w:numPr>
          <w:ilvl w:val="0"/>
          <w:numId w:val="0"/>
        </w:numPr>
        <w:ind w:hanging="0" w:start="0"/>
        <w:rPr>
          <w:rFonts w:ascii="黑体" w:hAnsi="黑体" w:eastAsia="黑体" w:cs="黑体" w:hint="eastAsia"/>
          <w:sz w:val="36"/>
          <w:szCs w:val="36"/>
          <w:lang w:val="en-US" w:eastAsia="zh-CN"/>
        </w:rPr>
      </w:pPr>
      <w:r>
        <w:rPr>
          <w:rFonts w:ascii="黑体" w:hAnsi="黑体" w:cs="黑体" w:hint="eastAsia" w:eastAsia="黑体"/>
          <w:sz w:val="36"/>
          <w:szCs w:val="36"/>
          <w:lang w:val="en-US" w:eastAsia="zh-CN"/>
        </w:rPr>
        <w:t>只采集防腐保温业务相关的招标公告，获取到招标公告的内容后用</w:t>
      </w:r>
      <w:r>
        <w:rPr>
          <w:rFonts w:eastAsia="黑体" w:cs="黑体" w:hint="eastAsia" w:ascii="黑体" w:hAnsi="黑体"/>
          <w:sz w:val="36"/>
          <w:szCs w:val="36"/>
          <w:lang w:val="en-US" w:eastAsia="zh-CN"/>
        </w:rPr>
        <w:t>Ai</w:t>
      </w:r>
      <w:r>
        <w:rPr>
          <w:rFonts w:ascii="黑体" w:hAnsi="黑体" w:cs="黑体" w:hint="eastAsia" w:eastAsia="黑体"/>
          <w:sz w:val="36"/>
          <w:szCs w:val="36"/>
          <w:lang w:val="en-US" w:eastAsia="zh-CN"/>
        </w:rPr>
        <w:t>对内容进行判断如果属于防腐保温类的业务才能将数据入库。</w:t>
      </w:r>
    </w:p>
    <w:p>
      <w:pPr>
        <w:pStyle w:val="Normal"/>
        <w:numPr>
          <w:ilvl w:val="0"/>
          <w:numId w:val="1"/>
        </w:numPr>
        <w:rPr>
          <w:rFonts w:ascii="黑体" w:hAnsi="黑体" w:eastAsia="黑体" w:cs="黑体" w:hint="eastAsia"/>
          <w:sz w:val="36"/>
          <w:szCs w:val="36"/>
        </w:rPr>
      </w:pPr>
      <w:r>
        <w:rPr>
          <w:rFonts w:ascii="黑体" w:hAnsi="黑体" w:cs="黑体" w:hint="eastAsia" w:eastAsia="黑体"/>
          <w:sz w:val="36"/>
          <w:szCs w:val="36"/>
        </w:rPr>
        <w:t>投标具体流程</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查看招标公告，研判是否和企业的业务相关，是否满足招标条件。</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购买招标文件</w:t>
      </w:r>
      <w:r>
        <w:rPr>
          <w:rFonts w:eastAsia="黑体" w:cs="黑体" w:hint="eastAsia" w:ascii="黑体" w:hAnsi="黑体"/>
          <w:sz w:val="36"/>
          <w:szCs w:val="36"/>
          <w:lang w:val="en-US" w:eastAsia="zh-CN"/>
        </w:rPr>
        <w:t>(</w:t>
      </w:r>
      <w:r>
        <w:rPr>
          <w:rFonts w:ascii="黑体" w:hAnsi="黑体" w:cs="黑体" w:hint="eastAsia" w:eastAsia="黑体"/>
          <w:sz w:val="36"/>
          <w:szCs w:val="36"/>
          <w:lang w:val="en-US" w:eastAsia="zh-CN"/>
        </w:rPr>
        <w:t>这个是需要在不同的平台购买，所以这个只需要提供上传的接口就行了</w:t>
      </w:r>
      <w:r>
        <w:rPr>
          <w:rFonts w:eastAsia="黑体" w:cs="黑体" w:hint="eastAsia" w:ascii="黑体" w:hAnsi="黑体"/>
          <w:sz w:val="36"/>
          <w:szCs w:val="36"/>
          <w:lang w:val="en-US" w:eastAsia="zh-CN"/>
        </w:rPr>
        <w:t>)</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制作标书</w:t>
      </w:r>
      <w:r>
        <w:rPr>
          <w:rFonts w:eastAsia="黑体" w:cs="黑体" w:hint="eastAsia" w:ascii="黑体" w:hAnsi="黑体"/>
          <w:sz w:val="36"/>
          <w:szCs w:val="36"/>
          <w:lang w:val="en-US" w:eastAsia="zh-CN"/>
        </w:rPr>
        <w:t>(</w:t>
      </w:r>
      <w:r>
        <w:rPr>
          <w:rFonts w:ascii="黑体" w:hAnsi="黑体" w:cs="黑体" w:hint="eastAsia" w:eastAsia="黑体"/>
          <w:sz w:val="36"/>
          <w:szCs w:val="36"/>
          <w:lang w:val="en-US" w:eastAsia="zh-CN"/>
        </w:rPr>
        <w:t>根据招标文件的要求来制作</w:t>
      </w:r>
      <w:r>
        <w:rPr>
          <w:rFonts w:eastAsia="黑体" w:cs="黑体" w:hint="eastAsia" w:ascii="黑体" w:hAnsi="黑体"/>
          <w:sz w:val="36"/>
          <w:szCs w:val="36"/>
          <w:lang w:val="en-US" w:eastAsia="zh-CN"/>
        </w:rPr>
        <w:t>)</w:t>
      </w:r>
    </w:p>
    <w:p>
      <w:pPr>
        <w:pStyle w:val="Normal"/>
        <w:numPr>
          <w:ilvl w:val="0"/>
          <w:numId w:val="0"/>
        </w:numPr>
        <w:ind w:firstLine="420" w:start="0"/>
        <w:rPr>
          <w:rFonts w:ascii="黑体" w:hAnsi="黑体" w:eastAsia="黑体" w:cs="黑体"/>
          <w:sz w:val="36"/>
          <w:szCs w:val="36"/>
          <w:lang w:val="en-US" w:eastAsia="zh-CN"/>
        </w:rPr>
      </w:pPr>
      <w:r>
        <w:rPr>
          <w:rFonts w:ascii="黑体" w:hAnsi="黑体" w:cs="黑体" w:hint="eastAsia" w:eastAsia="黑体"/>
          <w:sz w:val="36"/>
          <w:szCs w:val="36"/>
          <w:lang w:val="en-US" w:eastAsia="zh-CN"/>
        </w:rPr>
        <w:t>标书的评审方法是 综合评估法（百分制，技术评审</w:t>
      </w:r>
      <w:r>
        <w:rPr>
          <w:rFonts w:eastAsia="黑体" w:cs="黑体" w:hint="eastAsia" w:ascii="黑体" w:hAnsi="黑体"/>
          <w:sz w:val="36"/>
          <w:szCs w:val="36"/>
          <w:lang w:val="en-US" w:eastAsia="zh-CN"/>
        </w:rPr>
        <w:t>60</w:t>
      </w:r>
      <w:r>
        <w:rPr>
          <w:rFonts w:ascii="黑体" w:hAnsi="黑体" w:cs="黑体" w:hint="eastAsia" w:eastAsia="黑体"/>
          <w:sz w:val="36"/>
          <w:szCs w:val="36"/>
          <w:lang w:val="en-US" w:eastAsia="zh-CN"/>
        </w:rPr>
        <w:t>分、商务评审</w:t>
      </w:r>
      <w:r>
        <w:rPr>
          <w:rFonts w:eastAsia="黑体" w:cs="黑体" w:hint="eastAsia" w:ascii="黑体" w:hAnsi="黑体"/>
          <w:sz w:val="36"/>
          <w:szCs w:val="36"/>
          <w:lang w:val="en-US" w:eastAsia="zh-CN"/>
        </w:rPr>
        <w:t>5</w:t>
      </w:r>
      <w:r>
        <w:rPr>
          <w:rFonts w:ascii="黑体" w:hAnsi="黑体" w:cs="黑体" w:hint="eastAsia" w:eastAsia="黑体"/>
          <w:sz w:val="36"/>
          <w:szCs w:val="36"/>
          <w:lang w:val="en-US" w:eastAsia="zh-CN"/>
        </w:rPr>
        <w:t>分、价格评审</w:t>
      </w:r>
      <w:r>
        <w:rPr>
          <w:rFonts w:eastAsia="黑体" w:cs="黑体" w:hint="eastAsia" w:ascii="黑体" w:hAnsi="黑体"/>
          <w:sz w:val="36"/>
          <w:szCs w:val="36"/>
          <w:lang w:val="en-US" w:eastAsia="zh-CN"/>
        </w:rPr>
        <w:t>35</w:t>
      </w:r>
      <w:r>
        <w:rPr>
          <w:rFonts w:ascii="黑体" w:hAnsi="黑体" w:cs="黑体" w:hint="eastAsia" w:eastAsia="黑体"/>
          <w:sz w:val="36"/>
          <w:szCs w:val="36"/>
          <w:lang w:val="en-US" w:eastAsia="zh-CN"/>
        </w:rPr>
        <w:t>分）分数不固定根据招标文件解析</w:t>
      </w:r>
      <w:bookmarkStart w:id="2" w:name="_GoBack"/>
      <w:bookmarkEnd w:id="2"/>
      <w:r>
        <w:rPr>
          <w:rFonts w:ascii="黑体" w:hAnsi="黑体" w:cs="黑体" w:hint="eastAsia" w:eastAsia="黑体"/>
          <w:sz w:val="36"/>
          <w:szCs w:val="36"/>
          <w:lang w:val="en-US" w:eastAsia="zh-CN"/>
        </w:rPr>
        <w:t>。</w:t>
      </w:r>
    </w:p>
    <w:p>
      <w:pPr>
        <w:pStyle w:val="Normal"/>
        <w:numPr>
          <w:ilvl w:val="0"/>
          <w:numId w:val="0"/>
        </w:numPr>
        <w:ind w:firstLine="420" w:start="0"/>
        <w:rPr>
          <w:rFonts w:ascii="黑体" w:hAnsi="黑体" w:eastAsia="黑体" w:cs="黑体"/>
          <w:sz w:val="36"/>
          <w:szCs w:val="36"/>
          <w:lang w:val="en-US" w:eastAsia="zh-CN"/>
        </w:rPr>
      </w:pPr>
      <w:r>
        <w:rPr>
          <w:rFonts w:ascii="黑体" w:hAnsi="黑体" w:cs="黑体" w:hint="eastAsia" w:eastAsia="黑体"/>
          <w:sz w:val="36"/>
          <w:szCs w:val="36"/>
          <w:lang w:val="en-US" w:eastAsia="zh-CN"/>
        </w:rPr>
        <w:t>需要生成的就是商务标和技术标两部分。</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投标</w:t>
      </w:r>
      <w:r>
        <w:rPr>
          <w:rFonts w:eastAsia="黑体" w:cs="黑体" w:hint="eastAsia" w:ascii="黑体" w:hAnsi="黑体"/>
          <w:sz w:val="36"/>
          <w:szCs w:val="36"/>
          <w:lang w:val="en-US" w:eastAsia="zh-CN"/>
        </w:rPr>
        <w:t>(</w:t>
      </w:r>
      <w:r>
        <w:rPr>
          <w:rFonts w:ascii="黑体" w:hAnsi="黑体" w:cs="黑体" w:hint="eastAsia" w:eastAsia="黑体"/>
          <w:sz w:val="36"/>
          <w:szCs w:val="36"/>
          <w:lang w:val="en-US" w:eastAsia="zh-CN"/>
        </w:rPr>
        <w:t>这个步骤不需要做。投标一般投标到不同的平台这个只需要一个设置一下投标的状态是否已投标就可以了。</w:t>
      </w:r>
      <w:r>
        <w:rPr>
          <w:rFonts w:eastAsia="黑体" w:cs="黑体" w:hint="eastAsia" w:ascii="黑体" w:hAnsi="黑体"/>
          <w:sz w:val="36"/>
          <w:szCs w:val="36"/>
          <w:lang w:val="en-US" w:eastAsia="zh-CN"/>
        </w:rPr>
        <w:t>)</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中标候选人公示</w:t>
      </w:r>
    </w:p>
    <w:p>
      <w:pPr>
        <w:pStyle w:val="Normal"/>
        <w:numPr>
          <w:ilvl w:val="0"/>
          <w:numId w:val="0"/>
        </w:numPr>
        <w:ind w:firstLine="420" w:start="420"/>
        <w:rPr>
          <w:rFonts w:ascii="黑体" w:hAnsi="黑体" w:eastAsia="黑体" w:cs="黑体"/>
          <w:sz w:val="36"/>
          <w:szCs w:val="36"/>
          <w:lang w:val="en-US" w:eastAsia="zh-CN"/>
        </w:rPr>
      </w:pPr>
      <w:r>
        <w:rPr>
          <w:rFonts w:ascii="黑体" w:hAnsi="黑体" w:cs="黑体" w:hint="eastAsia" w:eastAsia="黑体"/>
          <w:sz w:val="36"/>
          <w:szCs w:val="36"/>
          <w:lang w:val="en-US" w:eastAsia="zh-CN"/>
        </w:rPr>
        <w:t>要在招标公告发布的平台进行采集数据回传。</w:t>
      </w:r>
    </w:p>
    <w:p>
      <w:pPr>
        <w:pStyle w:val="Normal"/>
        <w:numPr>
          <w:ilvl w:val="0"/>
          <w:numId w:val="2"/>
        </w:numPr>
        <w:rPr>
          <w:rFonts w:ascii="黑体" w:hAnsi="黑体" w:eastAsia="黑体" w:cs="黑体"/>
          <w:sz w:val="36"/>
          <w:szCs w:val="36"/>
          <w:lang w:val="en-US" w:eastAsia="zh-CN"/>
        </w:rPr>
      </w:pPr>
      <w:r>
        <w:rPr>
          <w:rFonts w:ascii="黑体" w:hAnsi="黑体" w:cs="黑体" w:hint="eastAsia" w:eastAsia="黑体"/>
          <w:sz w:val="36"/>
          <w:szCs w:val="36"/>
          <w:lang w:val="en-US" w:eastAsia="zh-CN"/>
        </w:rPr>
        <w:t>中标结果公示</w:t>
      </w:r>
    </w:p>
    <w:p>
      <w:pPr>
        <w:pStyle w:val="Normal"/>
        <w:numPr>
          <w:ilvl w:val="0"/>
          <w:numId w:val="0"/>
        </w:numPr>
        <w:ind w:firstLine="420" w:start="420"/>
        <w:rPr>
          <w:rFonts w:ascii="黑体" w:hAnsi="黑体" w:eastAsia="黑体" w:cs="黑体"/>
          <w:sz w:val="36"/>
          <w:szCs w:val="36"/>
          <w:lang w:val="en-US" w:eastAsia="zh-CN"/>
        </w:rPr>
      </w:pPr>
      <w:r>
        <w:rPr>
          <w:rFonts w:ascii="黑体" w:hAnsi="黑体" w:cs="黑体" w:hint="eastAsia" w:eastAsia="黑体"/>
          <w:sz w:val="36"/>
          <w:szCs w:val="36"/>
          <w:lang w:val="en-US" w:eastAsia="zh-CN"/>
        </w:rPr>
        <w:t>要在招标公告发布的平台进行采集数据回传。</w:t>
      </w:r>
    </w:p>
    <w:p>
      <w:pPr>
        <w:pStyle w:val="Normal"/>
        <w:numPr>
          <w:ilvl w:val="0"/>
          <w:numId w:val="0"/>
        </w:numPr>
        <w:ind w:firstLine="420" w:start="0"/>
        <w:rPr>
          <w:rFonts w:ascii="黑体" w:hAnsi="黑体" w:eastAsia="黑体" w:cs="黑体" w:hint="eastAsia"/>
          <w:sz w:val="36"/>
          <w:szCs w:val="36"/>
          <w:lang w:val="en-US" w:eastAsia="zh-CN"/>
        </w:rPr>
      </w:pPr>
      <w:r>
        <w:rPr>
          <w:rFonts w:ascii="黑体" w:hAnsi="黑体" w:cs="黑体" w:hint="eastAsia" w:eastAsia="黑体"/>
          <w:sz w:val="36"/>
          <w:szCs w:val="36"/>
          <w:lang w:val="en-US" w:eastAsia="zh-CN"/>
        </w:rPr>
        <w:t>先确定中标的候选人，然后再候选人中确定中标的企业。也就是中标结果。</w:t>
      </w:r>
    </w:p>
    <w:p>
      <w:pPr>
        <w:pStyle w:val="Normal"/>
        <w:numPr>
          <w:ilvl w:val="0"/>
          <w:numId w:val="1"/>
        </w:numPr>
        <w:ind w:hanging="0" w:start="0"/>
        <w:rPr>
          <w:rFonts w:ascii="黑体" w:hAnsi="黑体" w:eastAsia="黑体" w:cs="黑体"/>
          <w:sz w:val="36"/>
          <w:szCs w:val="36"/>
          <w:lang w:val="en-US" w:eastAsia="zh-CN"/>
        </w:rPr>
      </w:pPr>
      <w:r>
        <w:rPr>
          <w:rFonts w:ascii="黑体" w:hAnsi="黑体" w:cs="黑体" w:eastAsia="黑体"/>
          <w:sz w:val="36"/>
          <w:szCs w:val="36"/>
          <w:lang w:val="en-US" w:eastAsia="zh-CN"/>
        </w:rPr>
        <w:t>标书合规自查</w:t>
      </w:r>
    </w:p>
    <w:p>
      <w:pPr>
        <w:pStyle w:val="Normal"/>
        <w:numPr>
          <w:ilvl w:val="0"/>
          <w:numId w:val="0"/>
        </w:numPr>
        <w:ind w:hanging="0" w:start="0"/>
        <w:rPr>
          <w:rFonts w:ascii="黑体" w:hAnsi="黑体" w:eastAsia="黑体" w:cs="黑体" w:hint="eastAsia"/>
          <w:sz w:val="36"/>
          <w:szCs w:val="36"/>
          <w:lang w:val="en-US" w:eastAsia="zh-CN"/>
        </w:rPr>
      </w:pPr>
      <w:r>
        <w:rPr>
          <w:rFonts w:ascii="黑体" w:hAnsi="黑体" w:cs="黑体" w:hint="eastAsia" w:eastAsia="黑体"/>
          <w:sz w:val="36"/>
          <w:szCs w:val="36"/>
          <w:lang w:val="en-US" w:eastAsia="zh-CN"/>
        </w:rPr>
        <w:t>需要解析招标文件的废标项判断是否存在废标的情况。</w:t>
      </w:r>
    </w:p>
    <w:p>
      <w:pPr>
        <w:pStyle w:val="Normal"/>
        <w:numPr>
          <w:ilvl w:val="0"/>
          <w:numId w:val="0"/>
        </w:numPr>
        <w:ind w:hanging="0" w:start="0"/>
        <w:rPr>
          <w:rFonts w:ascii="黑体" w:hAnsi="黑体" w:eastAsia="黑体" w:cs="黑体" w:hint="eastAsia"/>
          <w:sz w:val="36"/>
          <w:szCs w:val="36"/>
          <w:lang w:val="en-US" w:eastAsia="zh-CN"/>
        </w:rPr>
      </w:pPr>
      <w:r>
        <w:rPr>
          <w:rFonts w:ascii="黑体" w:hAnsi="黑体" w:cs="黑体" w:hint="eastAsia" w:eastAsia="黑体"/>
          <w:sz w:val="36"/>
          <w:szCs w:val="36"/>
          <w:lang w:val="en-US" w:eastAsia="zh-CN"/>
        </w:rPr>
        <w:t>例子：</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17"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逾期送达的投标文件，电子招标投标交易平台将予以拒收。</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分公司与上级法人单位同时参与投标的，投标均无效；单位负责人为同一人，或存在控股、管理关系的不同单位，参加同一标段或未划分标段的同一招标项目投标。</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因投标人原因造成其电子投标文件未解密（或未在</w:t>
      </w:r>
      <w:r>
        <w:rPr>
          <w:rFonts w:eastAsia="Segoe UI" w:cs="Segoe UI" w:ascii="Segoe UI" w:hAnsi="Segoe UI"/>
          <w:i w:val="false"/>
          <w:iCs w:val="false"/>
          <w:caps w:val="false"/>
          <w:smallCaps w:val="false"/>
          <w:spacing w:val="0"/>
          <w:sz w:val="22"/>
          <w:szCs w:val="22"/>
          <w:bdr w:val="single" w:sz="2" w:space="0" w:color="000000"/>
          <w:shd w:fill="FFFFFF" w:val="clear"/>
        </w:rPr>
        <w:t>20</w:t>
      </w:r>
      <w:r>
        <w:rPr>
          <w:rFonts w:ascii="Segoe UI" w:hAnsi="Segoe UI" w:cs="Segoe UI" w:eastAsia="Segoe UI"/>
          <w:i w:val="false"/>
          <w:iCs w:val="false"/>
          <w:caps w:val="false"/>
          <w:smallCaps w:val="false"/>
          <w:spacing w:val="0"/>
          <w:sz w:val="22"/>
          <w:szCs w:val="22"/>
          <w:bdr w:val="single" w:sz="2" w:space="0" w:color="000000"/>
          <w:shd w:fill="FFFFFF" w:val="clear"/>
        </w:rPr>
        <w:t>分钟内解密）的，视为撤销其投标文件。</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没有按照招标文件要求提交投标保证金（含未提交、金额不足、有效期不足、形式或出证银行不符合要求、未在投标截止时间前到达指定账户）。</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投标文件未经投标单位盖章和单位负责人签字（或投标函无单位盖章且无单位负责人</w:t>
      </w:r>
      <w:r>
        <w:rPr>
          <w:rFonts w:eastAsia="Segoe UI" w:cs="Segoe UI" w:ascii="Segoe UI" w:hAnsi="Segoe UI"/>
          <w:i w:val="false"/>
          <w:iCs w:val="false"/>
          <w:caps w:val="false"/>
          <w:smallCaps w:val="false"/>
          <w:spacing w:val="0"/>
          <w:sz w:val="22"/>
          <w:szCs w:val="22"/>
          <w:bdr w:val="single" w:sz="2" w:space="0" w:color="000000"/>
          <w:shd w:fill="FFFFFF" w:val="clear"/>
        </w:rPr>
        <w:t>/</w:t>
      </w:r>
      <w:r>
        <w:rPr>
          <w:rFonts w:ascii="Segoe UI" w:hAnsi="Segoe UI" w:cs="Segoe UI" w:eastAsia="Segoe UI"/>
          <w:i w:val="false"/>
          <w:iCs w:val="false"/>
          <w:caps w:val="false"/>
          <w:smallCaps w:val="false"/>
          <w:spacing w:val="0"/>
          <w:sz w:val="22"/>
          <w:szCs w:val="22"/>
          <w:bdr w:val="single" w:sz="2" w:space="0" w:color="000000"/>
          <w:shd w:fill="FFFFFF" w:val="clear"/>
        </w:rPr>
        <w:t>授权代理人签字或盖章，或虽有代理人签字但无授权委托书）。</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投标函未按招标文件规定的格式填写，内容不全或者关键字迹模糊无法辨认。</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投标文件字迹潦草、模糊，导致无法确认关键技术方案、工期、质量保证措施、投标价格等重要信息。</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0"/>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投标人不符合国家或者招标文件规定的资格条件（含超出经营范围、资质证明文件不全、业绩不满足要求，或存在被责令停业、财产被接管</w:t>
      </w:r>
      <w:r>
        <w:rPr>
          <w:rFonts w:eastAsia="Segoe UI" w:cs="Segoe UI" w:ascii="Segoe UI" w:hAnsi="Segoe UI"/>
          <w:i w:val="false"/>
          <w:iCs w:val="false"/>
          <w:caps w:val="false"/>
          <w:smallCaps w:val="false"/>
          <w:spacing w:val="0"/>
          <w:sz w:val="22"/>
          <w:szCs w:val="22"/>
          <w:bdr w:val="single" w:sz="2" w:space="0" w:color="000000"/>
          <w:shd w:fill="FFFFFF" w:val="clear"/>
        </w:rPr>
        <w:t>/</w:t>
      </w:r>
      <w:r>
        <w:rPr>
          <w:rFonts w:ascii="Segoe UI" w:hAnsi="Segoe UI" w:cs="Segoe UI" w:eastAsia="Segoe UI"/>
          <w:i w:val="false"/>
          <w:iCs w:val="false"/>
          <w:caps w:val="false"/>
          <w:smallCaps w:val="false"/>
          <w:spacing w:val="0"/>
          <w:sz w:val="22"/>
          <w:szCs w:val="22"/>
          <w:bdr w:val="single" w:sz="2" w:space="0" w:color="000000"/>
          <w:shd w:fill="FFFFFF" w:val="clear"/>
        </w:rPr>
        <w:t>查封</w:t>
      </w:r>
      <w:r>
        <w:rPr>
          <w:rFonts w:eastAsia="Segoe UI" w:cs="Segoe UI" w:ascii="Segoe UI" w:hAnsi="Segoe UI"/>
          <w:i w:val="false"/>
          <w:iCs w:val="false"/>
          <w:caps w:val="false"/>
          <w:smallCaps w:val="false"/>
          <w:spacing w:val="0"/>
          <w:sz w:val="22"/>
          <w:szCs w:val="22"/>
          <w:bdr w:val="single" w:sz="2" w:space="0" w:color="000000"/>
          <w:shd w:fill="FFFFFF" w:val="clear"/>
        </w:rPr>
        <w:t>/</w:t>
      </w:r>
      <w:r>
        <w:rPr>
          <w:rFonts w:ascii="Segoe UI" w:hAnsi="Segoe UI" w:cs="Segoe UI" w:eastAsia="Segoe UI"/>
          <w:i w:val="false"/>
          <w:iCs w:val="false"/>
          <w:caps w:val="false"/>
          <w:smallCaps w:val="false"/>
          <w:spacing w:val="0"/>
          <w:sz w:val="22"/>
          <w:szCs w:val="22"/>
          <w:bdr w:val="single" w:sz="2" w:space="0" w:color="000000"/>
          <w:shd w:fill="FFFFFF" w:val="clear"/>
        </w:rPr>
        <w:t>冻结、近三年有骗取中标</w:t>
      </w:r>
      <w:r>
        <w:rPr>
          <w:rFonts w:eastAsia="Segoe UI" w:cs="Segoe UI" w:ascii="Segoe UI" w:hAnsi="Segoe UI"/>
          <w:i w:val="false"/>
          <w:iCs w:val="false"/>
          <w:caps w:val="false"/>
          <w:smallCaps w:val="false"/>
          <w:spacing w:val="0"/>
          <w:sz w:val="22"/>
          <w:szCs w:val="22"/>
          <w:bdr w:val="single" w:sz="2" w:space="0" w:color="000000"/>
          <w:shd w:fill="FFFFFF" w:val="clear"/>
        </w:rPr>
        <w:t>/</w:t>
      </w:r>
      <w:r>
        <w:rPr>
          <w:rFonts w:ascii="Segoe UI" w:hAnsi="Segoe UI" w:cs="Segoe UI" w:eastAsia="Segoe UI"/>
          <w:i w:val="false"/>
          <w:iCs w:val="false"/>
          <w:caps w:val="false"/>
          <w:smallCaps w:val="false"/>
          <w:spacing w:val="0"/>
          <w:sz w:val="22"/>
          <w:szCs w:val="22"/>
          <w:bdr w:val="single" w:sz="2" w:space="0" w:color="000000"/>
          <w:shd w:fill="FFFFFF" w:val="clear"/>
        </w:rPr>
        <w:t>严重违约</w:t>
      </w:r>
      <w:r>
        <w:rPr>
          <w:rFonts w:eastAsia="Segoe UI" w:cs="Segoe UI" w:ascii="Segoe UI" w:hAnsi="Segoe UI"/>
          <w:i w:val="false"/>
          <w:iCs w:val="false"/>
          <w:caps w:val="false"/>
          <w:smallCaps w:val="false"/>
          <w:spacing w:val="0"/>
          <w:sz w:val="22"/>
          <w:szCs w:val="22"/>
          <w:bdr w:val="single" w:sz="2" w:space="0" w:color="000000"/>
          <w:shd w:fill="FFFFFF" w:val="clear"/>
        </w:rPr>
        <w:t>/</w:t>
      </w:r>
      <w:r>
        <w:rPr>
          <w:rFonts w:ascii="Segoe UI" w:hAnsi="Segoe UI" w:cs="Segoe UI" w:eastAsia="Segoe UI"/>
          <w:i w:val="false"/>
          <w:iCs w:val="false"/>
          <w:caps w:val="false"/>
          <w:smallCaps w:val="false"/>
          <w:spacing w:val="0"/>
          <w:sz w:val="22"/>
          <w:szCs w:val="22"/>
          <w:bdr w:val="single" w:sz="2" w:space="0" w:color="000000"/>
          <w:shd w:fill="FFFFFF" w:val="clear"/>
        </w:rPr>
        <w:t>重大质量问题、被列入严重失信或黑名单等禁止投标情形）。</w:t>
      </w:r>
    </w:p>
    <w:p>
      <w:pPr>
        <w:pStyle w:val="Normal"/>
        <w:keepNext w:val="false"/>
        <w:keepLines w:val="false"/>
        <w:widowControl/>
        <w:numPr>
          <w:ilvl w:val="0"/>
          <w:numId w:val="3"/>
        </w:numPr>
        <w:suppressLineNumbers w:val="0"/>
        <w:pBdr>
          <w:top w:val="single" w:sz="2" w:space="0" w:color="000000"/>
          <w:left w:val="single" w:sz="2" w:space="0" w:color="000000"/>
          <w:bottom w:val="single" w:sz="2" w:space="0" w:color="000000"/>
          <w:right w:val="single" w:sz="2" w:space="0" w:color="000000"/>
        </w:pBdr>
        <w:spacing w:beforeAutospacing="0" w:before="0" w:afterAutospacing="0" w:after="17"/>
        <w:ind w:hanging="360" w:start="0" w:end="0"/>
        <w:rPr/>
      </w:pPr>
      <w:r>
        <w:rPr>
          <w:rFonts w:ascii="Segoe UI" w:hAnsi="Segoe UI" w:cs="Segoe UI" w:eastAsia="Segoe UI"/>
          <w:i w:val="false"/>
          <w:iCs w:val="false"/>
          <w:caps w:val="false"/>
          <w:smallCaps w:val="false"/>
          <w:spacing w:val="0"/>
          <w:sz w:val="22"/>
          <w:szCs w:val="22"/>
          <w:bdr w:val="single" w:sz="2" w:space="0" w:color="000000"/>
          <w:shd w:fill="FFFFFF" w:val="clear"/>
        </w:rPr>
        <w:t>资格评审中提供不实承诺。</w:t>
      </w:r>
    </w:p>
    <w:p>
      <w:pPr>
        <w:pStyle w:val="Normal"/>
        <w:numPr>
          <w:ilvl w:val="0"/>
          <w:numId w:val="0"/>
        </w:numPr>
        <w:ind w:hanging="0" w:start="0"/>
        <w:rPr>
          <w:rFonts w:ascii="黑体" w:hAnsi="黑体" w:eastAsia="黑体" w:cs="黑体"/>
          <w:sz w:val="36"/>
          <w:szCs w:val="36"/>
          <w:lang w:val="en-US" w:eastAsia="zh-CN"/>
        </w:rPr>
      </w:pPr>
      <w:r>
        <w:rPr>
          <w:rFonts w:eastAsia="黑体" w:cs="黑体" w:ascii="黑体" w:hAnsi="黑体"/>
          <w:sz w:val="36"/>
          <w:szCs w:val="36"/>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variable"/>
  </w:font>
  <w:font w:name="Calibri">
    <w:charset w:val="86"/>
    <w:family w:val="roman"/>
    <w:pitch w:val="variable"/>
  </w:font>
  <w:font w:name="Liberation Sans">
    <w:altName w:val="Arial"/>
    <w:charset w:val="86"/>
    <w:family w:val="swiss"/>
    <w:pitch w:val="variable"/>
  </w:font>
  <w:font w:name="黑体">
    <w:charset w:val="86"/>
    <w:family w:val="roman"/>
    <w:pitch w:val="variable"/>
  </w:font>
  <w:font w:name="Segoe UI">
    <w:charset w:val="86"/>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3"/>
  <w:embedSystemFonts/>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Calibri" w:hAnsi="Calibri" w:eastAsia="宋体" w:cs="" w:asciiTheme="minorHAnsi" w:cstheme="minorBidi" w:eastAsiaTheme="minorEastAsia" w:hAnsiTheme="minorHAnsi"/>
      <w:color w:val="auto"/>
      <w:kern w:val="2"/>
      <w:sz w:val="21"/>
      <w:szCs w:val="24"/>
      <w:lang w:val="en-US" w:eastAsia="zh-CN" w:bidi="ar-SA"/>
    </w:rPr>
  </w:style>
  <w:style w:type="character" w:styleId="DefaultParagraphFont" w:default="1">
    <w:name w:val="Default Paragraph Font"/>
    <w:uiPriority w:val="0"/>
    <w:semiHidden/>
    <w:qFormat/>
    <w:rPr/>
  </w:style>
  <w:style w:type="character" w:styleId="Hyperlink">
    <w:name w:val="Hyperlink"/>
    <w:basedOn w:val="DefaultParagraphFont"/>
    <w:uiPriority w:val="0"/>
    <w:rPr>
      <w:color w:val="0000FF"/>
      <w:u w:val="single"/>
    </w:rPr>
  </w:style>
  <w:style w:type="paragraph" w:styleId="Style14">
    <w:name w:val="标题样式"/>
    <w:basedOn w:val="Normal"/>
    <w:next w:val="BodyText"/>
    <w:qFormat/>
    <w:pPr>
      <w:keepNext w:val="true"/>
      <w:spacing w:before="240" w:after="120"/>
    </w:pPr>
    <w:rPr>
      <w:rFonts w:ascii="Liberation Sans" w:hAnsi="Liberation Sans" w:eastAsia="Noto Sans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5">
    <w:name w:val="索引"/>
    <w:basedOn w:val="Normal"/>
    <w:qFormat/>
    <w:pPr>
      <w:suppressLineNumbers/>
    </w:pPr>
    <w:rPr>
      <w:rFonts w:cs="Arial Unicode MS"/>
    </w:rPr>
  </w:style>
  <w:style w:type="table" w:default="1" w:styleId="2">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yzb.shccmg.com/cms/default/webfile/1ywgg/index.html" TargetMode="External"/><Relationship Id="rId3" Type="http://schemas.openxmlformats.org/officeDocument/2006/relationships/hyperlink" Target="https://gx.e-bidding.org/sxyczscms/category/bulletinListNew.html?dates=300&amp;categoryId=2&amp;tenderMethod=01&amp;tabName=&#20381;&#27861;&#25307;&#26631;&amp;page=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LibreOffice/26.2.5.2$Windows_X86_64 LibreOffice_project/cd7284b4cbbfeb507e630c1aac019f4157393acb</Application>
  <AppVersion>15.0000</AppVersion>
  <Pages>2</Pages>
  <Words>887</Words>
  <Characters>1120</Characters>
  <CharactersWithSpaces>1121</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2026-09-03T02:12:27Z</dcterms:created>
  <dc:creator>Administrator</dc:creator>
  <dc:description/>
  <dc:language>zh-CN</dc:language>
  <cp:lastModifiedBy/>
  <dcterms:modified xsi:type="dcterms:W3CDTF">2026-09-04T17:56:57Z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B11753797809438992E262379F080450_12</vt:lpwstr>
  </property>
  <property fmtid="{D5CDD505-2E9C-101B-9397-08002B2CF9AE}" pid="3" name="KSOProductBuildVer">
    <vt:lpwstr>2052-12.1.0.28043</vt:lpwstr>
  </property>
  <property fmtid="{D5CDD505-2E9C-101B-9397-08002B2CF9AE}" pid="4" name="KSOTemplateDocerSaveRecord">
    <vt:lpwstr>eyJoZGlkIjoiNGJlOWFkY2Y4ODNkNzc1YjA3Mzk3ZjVlODBhYmUzYzciLCJ1c2VySWQiOiIxODIxMjU2MTExIn0=</vt:lpwstr>
  </property>
</Properties>
</file>