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line="240" w:lineRule="auto"/>
        <w:jc w:val="center"/>
      </w:pPr>
      <w:r>
        <w:rPr>
          <w:rFonts w:ascii="Times New Roman" w:hAnsi="Times New Roman" w:eastAsia="宋体"/>
          <w:b/>
          <w:sz w:val="30"/>
        </w:rPr>
        <w:t>9 月 13 日工作日报（徐文博）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今日工作任务：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继续推进 WMS 与 ERP、MES 的入库、出库及查询接口建设，完善仓库审批、物料类型、来源价格和页面操作反馈，整理 ERP、MES 分组交接文档。</w:t>
            </w:r>
          </w:p>
          <w:p>
            <w:pPr>
              <w:spacing w:before="40" w:after="0" w:line="259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完成任务项：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 保留并复核 ERP 采购入库成果，完成 ERP 销售出库、MES 生产完工入库和 MES 生产领料出库的 WMS 最小闭环；来源系统审批后创建 WMS 草稿，经仓库确认和 BPM 仓库负责人审批后执行库存。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 完成仓库审批候选人的角色权限解析。用户被赋予包含对应 WMS 审批权限的角色后，可参与新任务审批；ERP/MES 内部采购、销售和生产审批仍由各自系统负责。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3. 完善商品物料类型维护和显示，新增、编辑商品可选择原材料或成品；修复已有商品点击确认无法保存及列表类型显示错误。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4. 完善入库、出库审批详情：库存查询结果直接显示在按钮下方，当前 BPM 页面不再重复跳转；补充仓库、当前库存、来源单价和来源金额说明。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5. 打通来源单价、金额从 ERP/MES 申请到 WMS 草稿、审批详情和来源快照的传递。仓库侧只读核对，不修改来源价格，也不覆盖商品档案价格。相关 19 项定向测试及前端构建通过。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6. 完成仓库、物料/SKU、库存、库存流水四类只读接口，支持鉴权、租户隔离、筛选和分页；分别整理 ERP、MES 申请、查询、回调、幂等、错误码和数据责任文档。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7. 保留本机专用模拟验收结果：审批前库存不变，审批后按合格数入库或按出库数扣减；库存不足禁止负库存，重复申请和重复回调不重复执行库存。未修改移库，未提交或推送。</w:t>
            </w:r>
          </w:p>
          <w:p>
            <w:pPr>
              <w:spacing w:before="40" w:after="0" w:line="259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未完成任务项：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 真实 ERP、MES 联调尚未完成，本机模拟来源不代表三系统已完全闭环。MES 执行结果回调地址和鉴权尚未约定，ERP 正式接入信息也需核对。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 库存不足跨系统通知尚未实现：ERP 销售出库成品不足需通知 MES，MES 领料原料不足需通知 ERP。MES 尚无接收接口，ERP 是否已有接口待确认。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3. 仍需双方提供接收地址、鉴权、幂等、重试及缺口变化/消除处理约定；WMS 侧缺口记录、查询、待发送状态和补货后复查流程待开发。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4. 正式联调需部署方提供访问域名、租户和接入账号/令牌；MES 生产计价口径仍待业务确认。</w:t>
            </w:r>
          </w:p>
          <w:p>
            <w:pPr>
              <w:spacing w:before="40" w:after="0" w:line="259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补充说明：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本次开发限定在 txgycloud-wms，复用现有入库单、出库单、库存、流水和 BPM 服务；未修改 ERP/MES 源码，未开发退货、退料或移库，也未迁移历史库存。当前成果可作为 WMS 阶段交付，跨系统库存不足通知须继续标记为“待对接”。</w:t>
            </w:r>
          </w:p>
        </w:tc>
      </w:tr>
    </w:tbl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 月 13 日工作日报</dc:title>
  <dc:subject>WMS 开发日报</dc:subject>
  <dc:creator>徐文博</dc:creator>
  <cp:keywords>WMS, ERP, MES, 入库, 出库, BPM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