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涂层缺陷识别与返修</w:t>
      </w:r>
    </w:p>
    <w:p>
      <w:r>
        <w:t>进阶段 L3至L4</w:t>
      </w:r>
    </w:p>
    <w:p>
      <w:pPr>
        <w:pStyle w:val="Heading1"/>
      </w:pPr>
      <w:r>
        <w:t>课程目标</w:t>
      </w:r>
    </w:p>
    <w:p>
      <w:r>
        <w:t>能够收集证据、判别缺陷、制定受控返修和复检闭环</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漏涂针孔气泡流挂分类</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漏涂针孔气泡流挂分类”。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漏涂针孔气泡流挂分类”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漏涂针孔气泡流挂分类”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漏涂针孔气泡流挂分类”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“漏涂针孔气泡流挂分类”与本课程的总体目标是什么关系？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材料环境施工记录取证</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材料环境施工记录取证”。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材料环境施工记录取证”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材料环境施工记录取证”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材料环境施工记录取证”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“材料环境施工记录取证”与本课程的总体目标是什么关系？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污染与附着失效</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污染与附着失效”。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污染与附着失效”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污染与附着失效”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污染与附着失效”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“污染与附着失效”与本课程的总体目标是什么关系？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固化异常与配比问题</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固化异常与配比问题”。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固化异常与配比问题”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固化异常与配比问题”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固化异常与配比问题”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“固化异常与配比问题”与本课程的总体目标是什么关系？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膜厚偏差</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膜厚偏差”。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膜厚偏差”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膜厚偏差”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膜厚偏差”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“膜厚偏差”与本课程的总体目标是什么关系？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附着力检验适用性</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附着力检验适用性”。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附着力检验适用性”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附着力检验适用性”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附着力检验适用性”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“附着力检验适用性”与本课程的总体目标是什么关系？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返修范围判定</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返修范围判定”。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返修范围判定”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返修范围判定”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返修范围判定”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“返修范围判定”与本课程的总体目标是什么关系？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返修材料体系兼容</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返修材料体系兼容”。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返修材料体系兼容”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返修材料体系兼容”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返修材料体系兼容”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“返修材料体系兼容”与本课程的总体目标是什么关系？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复检记录与关闭</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复检记录与关闭”。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复检记录与关闭”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复检记录与关闭”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复检记录与关闭”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“复检记录与关闭”与本课程的总体目标是什么关系？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聚集性缺陷根因复盘</w:t>
      </w:r>
    </w:p>
    <w:p>
      <w:pPr>
        <w:pStyle w:val="Heading2"/>
      </w:pPr>
      <w:r>
        <w:t>知识讲解</w:t>
      </w:r>
    </w:p>
    <w:p>
      <w:r>
        <w:t>漏涂、针孔、气泡、流挂、开裂和附着不足的外观可能相似但原因不同。须核对环境、基材、配比、层间间隔和固化记录，再确定返修范围与相容材料。复检应与原缺陷编号对应。</w:t>
      </w:r>
    </w:p>
    <w:p>
      <w:r>
        <w:t>本讲聚焦“聚集性缺陷根因复盘”。学习时先明确它所处理的对象、输入条件和输出结果，再把它放回整门课程的工作链条中。能够收集证据、判别缺陷、制定受控返修和复检闭环同一术语在不同材料体系或项目条件下可能有不同判定方式，因此必须记录采用的文件、版本和现场条件。</w:t>
      </w:r>
    </w:p>
    <w:p>
      <w:pPr>
        <w:pStyle w:val="Heading2"/>
      </w:pPr>
      <w:r>
        <w:t>现场应用</w:t>
      </w:r>
    </w:p>
    <w:p>
      <w:r>
        <w:t>设想你在项目现场负责“聚集性缺陷根因复盘”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聚集性缺陷根因复盘”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聚集性缺陷根因复盘”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“聚集性缺陷根因复盘”与本课程的总体目标是什么关系？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进阶段 L3至L4  ·  涂层缺陷识别与返修</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