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防腐保温工程验收标准</w:t>
      </w:r>
    </w:p>
    <w:p>
      <w:r>
        <w:t>技师段 L4至L5</w:t>
      </w:r>
    </w:p>
    <w:p>
      <w:pPr>
        <w:pStyle w:val="Heading1"/>
      </w:pPr>
      <w:r>
        <w:t>课程目标</w:t>
      </w:r>
    </w:p>
    <w:p>
      <w:r>
        <w:t>依据合同、设计和现行适用规范组织过程验收、复验与交付</w:t>
      </w:r>
    </w:p>
    <w:p>
      <w:pPr>
        <w:pStyle w:val="Heading2"/>
      </w:pPr>
      <w:r>
        <w:t>使用边界</w:t>
      </w:r>
    </w:p>
    <w:p>
      <w:r>
        <w:t>本讲义用于岗位知识学习和案例讨论。实际作业的材料参数、设备设定、检测判定、许可与防护条件，应以项目合同、适用规范、厂家文件及批准的施工方案为准。</w:t>
      </w:r>
    </w:p>
    <w:p>
      <w:pPr>
        <w:pStyle w:val="Heading1"/>
      </w:pPr>
      <w:r>
        <w:t>第 1 讲  验收依据及冲突澄清</w:t>
      </w:r>
    </w:p>
    <w:p>
      <w:pPr>
        <w:pStyle w:val="Heading2"/>
      </w:pPr>
      <w:r>
        <w:t>知识讲解</w:t>
      </w:r>
    </w:p>
    <w:p>
      <w:r>
        <w:t>验收依据应来自合同、设计、批准方案、材料文件及现行适用标准。要关注材料进场、隐蔽工序、膜厚、附着、漏点、绝热和防潮连续性。原始测量、缺陷返修与复验记录必须可追溯。</w:t>
      </w:r>
    </w:p>
    <w:p>
      <w:r>
        <w:t>本讲聚焦“验收依据及冲突澄清”。学习时先明确它所处理的对象、输入条件和输出结果，再把它放回整门课程的工作链条中。依据合同、设计和现行适用规范组织过程验收、复验与交付同一术语在不同材料体系或项目条件下可能有不同判定方式，因此必须记录采用的文件、版本和现场条件。</w:t>
      </w:r>
    </w:p>
    <w:p>
      <w:pPr>
        <w:pStyle w:val="Heading2"/>
      </w:pPr>
      <w:r>
        <w:t>现场应用</w:t>
      </w:r>
    </w:p>
    <w:p>
      <w:r>
        <w:t>设想你在项目现场负责“验收依据及冲突澄清”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验收依据及冲突澄清”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验收依据及冲突澄清”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“验收依据及冲突澄清”与本课程的总体目标是什么关系？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2 讲  材料入场与批次验收</w:t>
      </w:r>
    </w:p>
    <w:p>
      <w:pPr>
        <w:pStyle w:val="Heading2"/>
      </w:pPr>
      <w:r>
        <w:t>知识讲解</w:t>
      </w:r>
    </w:p>
    <w:p>
      <w:r>
        <w:t>验收依据应来自合同、设计、批准方案、材料文件及现行适用标准。要关注材料进场、隐蔽工序、膜厚、附着、漏点、绝热和防潮连续性。原始测量、缺陷返修与复验记录必须可追溯。</w:t>
      </w:r>
    </w:p>
    <w:p>
      <w:r>
        <w:t>本讲聚焦“材料入场与批次验收”。学习时先明确它所处理的对象、输入条件和输出结果，再把它放回整门课程的工作链条中。依据合同、设计和现行适用规范组织过程验收、复验与交付同一术语在不同材料体系或项目条件下可能有不同判定方式，因此必须记录采用的文件、版本和现场条件。</w:t>
      </w:r>
    </w:p>
    <w:p>
      <w:pPr>
        <w:pStyle w:val="Heading2"/>
      </w:pPr>
      <w:r>
        <w:t>现场应用</w:t>
      </w:r>
    </w:p>
    <w:p>
      <w:r>
        <w:t>设想你在项目现场负责“材料入场与批次验收”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材料入场与批次验收”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材料入场与批次验收”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“材料入场与批次验收”与本课程的总体目标是什么关系？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3 讲  隐蔽工程和过程停点</w:t>
      </w:r>
    </w:p>
    <w:p>
      <w:pPr>
        <w:pStyle w:val="Heading2"/>
      </w:pPr>
      <w:r>
        <w:t>知识讲解</w:t>
      </w:r>
    </w:p>
    <w:p>
      <w:r>
        <w:t>验收依据应来自合同、设计、批准方案、材料文件及现行适用标准。要关注材料进场、隐蔽工序、膜厚、附着、漏点、绝热和防潮连续性。原始测量、缺陷返修与复验记录必须可追溯。</w:t>
      </w:r>
    </w:p>
    <w:p>
      <w:r>
        <w:t>本讲聚焦“隐蔽工程和过程停点”。学习时先明确它所处理的对象、输入条件和输出结果，再把它放回整门课程的工作链条中。依据合同、设计和现行适用规范组织过程验收、复验与交付同一术语在不同材料体系或项目条件下可能有不同判定方式，因此必须记录采用的文件、版本和现场条件。</w:t>
      </w:r>
    </w:p>
    <w:p>
      <w:pPr>
        <w:pStyle w:val="Heading2"/>
      </w:pPr>
      <w:r>
        <w:t>现场应用</w:t>
      </w:r>
    </w:p>
    <w:p>
      <w:r>
        <w:t>设想你在项目现场负责“隐蔽工程和过程停点”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隐蔽工程和过程停点”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隐蔽工程和过程停点”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“隐蔽工程和过程停点”与本课程的总体目标是什么关系？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4 讲  防腐外观与膜厚</w:t>
      </w:r>
    </w:p>
    <w:p>
      <w:pPr>
        <w:pStyle w:val="Heading2"/>
      </w:pPr>
      <w:r>
        <w:t>知识讲解</w:t>
      </w:r>
    </w:p>
    <w:p>
      <w:r>
        <w:t>验收依据应来自合同、设计、批准方案、材料文件及现行适用标准。要关注材料进场、隐蔽工序、膜厚、附着、漏点、绝热和防潮连续性。原始测量、缺陷返修与复验记录必须可追溯。</w:t>
      </w:r>
    </w:p>
    <w:p>
      <w:r>
        <w:t>本讲聚焦“防腐外观与膜厚”。学习时先明确它所处理的对象、输入条件和输出结果，再把它放回整门课程的工作链条中。依据合同、设计和现行适用规范组织过程验收、复验与交付同一术语在不同材料体系或项目条件下可能有不同判定方式，因此必须记录采用的文件、版本和现场条件。</w:t>
      </w:r>
    </w:p>
    <w:p>
      <w:pPr>
        <w:pStyle w:val="Heading2"/>
      </w:pPr>
      <w:r>
        <w:t>现场应用</w:t>
      </w:r>
    </w:p>
    <w:p>
      <w:r>
        <w:t>设想你在项目现场负责“防腐外观与膜厚”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防腐外观与膜厚”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防腐外观与膜厚”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“防腐外观与膜厚”与本课程的总体目标是什么关系？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5 讲  附着与漏点检验</w:t>
      </w:r>
    </w:p>
    <w:p>
      <w:pPr>
        <w:pStyle w:val="Heading2"/>
      </w:pPr>
      <w:r>
        <w:t>知识讲解</w:t>
      </w:r>
    </w:p>
    <w:p>
      <w:r>
        <w:t>验收依据应来自合同、设计、批准方案、材料文件及现行适用标准。要关注材料进场、隐蔽工序、膜厚、附着、漏点、绝热和防潮连续性。原始测量、缺陷返修与复验记录必须可追溯。</w:t>
      </w:r>
    </w:p>
    <w:p>
      <w:r>
        <w:t>本讲聚焦“附着与漏点检验”。学习时先明确它所处理的对象、输入条件和输出结果，再把它放回整门课程的工作链条中。依据合同、设计和现行适用规范组织过程验收、复验与交付同一术语在不同材料体系或项目条件下可能有不同判定方式，因此必须记录采用的文件、版本和现场条件。</w:t>
      </w:r>
    </w:p>
    <w:p>
      <w:pPr>
        <w:pStyle w:val="Heading2"/>
      </w:pPr>
      <w:r>
        <w:t>现场应用</w:t>
      </w:r>
    </w:p>
    <w:p>
      <w:r>
        <w:t>设想你在项目现场负责“附着与漏点检验”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附着与漏点检验”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附着与漏点检验”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“附着与漏点检验”与本课程的总体目标是什么关系？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6 讲  保温保冷系统检查</w:t>
      </w:r>
    </w:p>
    <w:p>
      <w:pPr>
        <w:pStyle w:val="Heading2"/>
      </w:pPr>
      <w:r>
        <w:t>知识讲解</w:t>
      </w:r>
    </w:p>
    <w:p>
      <w:r>
        <w:t>验收依据应来自合同、设计、批准方案、材料文件及现行适用标准。要关注材料进场、隐蔽工序、膜厚、附着、漏点、绝热和防潮连续性。原始测量、缺陷返修与复验记录必须可追溯。</w:t>
      </w:r>
    </w:p>
    <w:p>
      <w:r>
        <w:t>本讲聚焦“保温保冷系统检查”。学习时先明确它所处理的对象、输入条件和输出结果，再把它放回整门课程的工作链条中。依据合同、设计和现行适用规范组织过程验收、复验与交付同一术语在不同材料体系或项目条件下可能有不同判定方式，因此必须记录采用的文件、版本和现场条件。</w:t>
      </w:r>
    </w:p>
    <w:p>
      <w:pPr>
        <w:pStyle w:val="Heading2"/>
      </w:pPr>
      <w:r>
        <w:t>现场应用</w:t>
      </w:r>
    </w:p>
    <w:p>
      <w:r>
        <w:t>设想你在项目现场负责“保温保冷系统检查”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保温保冷系统检查”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保温保冷系统检查”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“保温保冷系统检查”与本课程的总体目标是什么关系？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7 讲  缺陷返工与复验</w:t>
      </w:r>
    </w:p>
    <w:p>
      <w:pPr>
        <w:pStyle w:val="Heading2"/>
      </w:pPr>
      <w:r>
        <w:t>知识讲解</w:t>
      </w:r>
    </w:p>
    <w:p>
      <w:r>
        <w:t>验收依据应来自合同、设计、批准方案、材料文件及现行适用标准。要关注材料进场、隐蔽工序、膜厚、附着、漏点、绝热和防潮连续性。原始测量、缺陷返修与复验记录必须可追溯。</w:t>
      </w:r>
    </w:p>
    <w:p>
      <w:r>
        <w:t>本讲聚焦“缺陷返工与复验”。学习时先明确它所处理的对象、输入条件和输出结果，再把它放回整门课程的工作链条中。依据合同、设计和现行适用规范组织过程验收、复验与交付同一术语在不同材料体系或项目条件下可能有不同判定方式，因此必须记录采用的文件、版本和现场条件。</w:t>
      </w:r>
    </w:p>
    <w:p>
      <w:pPr>
        <w:pStyle w:val="Heading2"/>
      </w:pPr>
      <w:r>
        <w:t>现场应用</w:t>
      </w:r>
    </w:p>
    <w:p>
      <w:r>
        <w:t>设想你在项目现场负责“缺陷返工与复验”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缺陷返工与复验”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缺陷返工与复验”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“缺陷返工与复验”与本课程的总体目标是什么关系？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8 讲  抽样计量与原始读数</w:t>
      </w:r>
    </w:p>
    <w:p>
      <w:pPr>
        <w:pStyle w:val="Heading2"/>
      </w:pPr>
      <w:r>
        <w:t>知识讲解</w:t>
      </w:r>
    </w:p>
    <w:p>
      <w:r>
        <w:t>验收依据应来自合同、设计、批准方案、材料文件及现行适用标准。要关注材料进场、隐蔽工序、膜厚、附着、漏点、绝热和防潮连续性。原始测量、缺陷返修与复验记录必须可追溯。</w:t>
      </w:r>
    </w:p>
    <w:p>
      <w:r>
        <w:t>本讲聚焦“抽样计量与原始读数”。学习时先明确它所处理的对象、输入条件和输出结果，再把它放回整门课程的工作链条中。依据合同、设计和现行适用规范组织过程验收、复验与交付同一术语在不同材料体系或项目条件下可能有不同判定方式，因此必须记录采用的文件、版本和现场条件。</w:t>
      </w:r>
    </w:p>
    <w:p>
      <w:pPr>
        <w:pStyle w:val="Heading2"/>
      </w:pPr>
      <w:r>
        <w:t>现场应用</w:t>
      </w:r>
    </w:p>
    <w:p>
      <w:r>
        <w:t>设想你在项目现场负责“抽样计量与原始读数”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抽样计量与原始读数”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抽样计量与原始读数”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“抽样计量与原始读数”与本课程的总体目标是什么关系？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9 讲  竣工资料与追溯</w:t>
      </w:r>
    </w:p>
    <w:p>
      <w:pPr>
        <w:pStyle w:val="Heading2"/>
      </w:pPr>
      <w:r>
        <w:t>知识讲解</w:t>
      </w:r>
    </w:p>
    <w:p>
      <w:r>
        <w:t>验收依据应来自合同、设计、批准方案、材料文件及现行适用标准。要关注材料进场、隐蔽工序、膜厚、附着、漏点、绝热和防潮连续性。原始测量、缺陷返修与复验记录必须可追溯。</w:t>
      </w:r>
    </w:p>
    <w:p>
      <w:r>
        <w:t>本讲聚焦“竣工资料与追溯”。学习时先明确它所处理的对象、输入条件和输出结果，再把它放回整门课程的工作链条中。依据合同、设计和现行适用规范组织过程验收、复验与交付同一术语在不同材料体系或项目条件下可能有不同判定方式，因此必须记录采用的文件、版本和现场条件。</w:t>
      </w:r>
    </w:p>
    <w:p>
      <w:pPr>
        <w:pStyle w:val="Heading2"/>
      </w:pPr>
      <w:r>
        <w:t>现场应用</w:t>
      </w:r>
    </w:p>
    <w:p>
      <w:r>
        <w:t>设想你在项目现场负责“竣工资料与追溯”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竣工资料与追溯”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竣工资料与追溯”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“竣工资料与追溯”与本课程的总体目标是什么关系？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10 讲  综合验收演练</w:t>
      </w:r>
    </w:p>
    <w:p>
      <w:pPr>
        <w:pStyle w:val="Heading2"/>
      </w:pPr>
      <w:r>
        <w:t>知识讲解</w:t>
      </w:r>
    </w:p>
    <w:p>
      <w:r>
        <w:t>验收依据应来自合同、设计、批准方案、材料文件及现行适用标准。要关注材料进场、隐蔽工序、膜厚、附着、漏点、绝热和防潮连续性。原始测量、缺陷返修与复验记录必须可追溯。</w:t>
      </w:r>
    </w:p>
    <w:p>
      <w:r>
        <w:t>本讲聚焦“综合验收演练”。学习时先明确它所处理的对象、输入条件和输出结果，再把它放回整门课程的工作链条中。依据合同、设计和现行适用规范组织过程验收、复验与交付同一术语在不同材料体系或项目条件下可能有不同判定方式，因此必须记录采用的文件、版本和现场条件。</w:t>
      </w:r>
    </w:p>
    <w:p>
      <w:pPr>
        <w:pStyle w:val="Heading2"/>
      </w:pPr>
      <w:r>
        <w:t>现场应用</w:t>
      </w:r>
    </w:p>
    <w:p>
      <w:r>
        <w:t>设想你在项目现场负责“综合验收演练”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综合验收演练”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综合验收演练”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“综合验收演练”与本课程的总体目标是什么关系？</w:t>
      </w:r>
    </w:p>
    <w:p>
      <w:r>
        <w:t>2  哪些参数必须查厂家文件或批准方案，不能凭记忆填写？</w:t>
      </w:r>
    </w:p>
    <w:p>
      <w:r>
        <w:t>3  发现原始记录与现场观察不一致时，应怎样复核和留痕？</w:t>
      </w:r>
    </w:p>
    <w:p>
      <w:pPr>
        <w:pStyle w:val="Heading2"/>
      </w:pPr>
      <w:r>
        <w:t>参考资料</w:t>
      </w:r>
    </w:p>
    <w:p>
      <w:r>
        <w:t>AMPP 表面处理标准委员会 https://www.ampp.org/standards/sc-05-surface-preparation</w:t>
      </w:r>
    </w:p>
    <w:p>
      <w:r>
        <w:t>AMPP 干膜厚度符合性标准 SSPC PA 2 https://content.ampp.org/standards/book/1013/Procedure-for-Determining-Conformance-to-Dry</w:t>
      </w:r>
    </w:p>
    <w:p>
      <w:r>
        <w:t>OSHA 喷涂作业安全 https://www.osha.gov/laws-regs/regulations/standardnumber/1910/1910.107</w:t>
      </w:r>
    </w:p>
    <w:p>
      <w:r>
        <w:t>OSHA 喷砂通风与防护 https://www.osha.gov/laws-regs/regulations/standardnumber/1910/1910.94</w:t>
      </w:r>
    </w:p>
    <w:p>
      <w:r>
        <w:t>OSHA 安全数据表 https://www.osha.gov/hazcom/appendix-d</w:t>
      </w:r>
    </w:p>
    <w:p>
      <w:r>
        <w:t>Graco 无气喷涂安全手册 https://www.graco.com/content/dam/airlessco/tech_documents/manuals/001/001686/001686EN-B.pdf</w:t>
      </w:r>
    </w:p>
    <w:sectPr w:rsidR="00FC693F" w:rsidRPr="0006063C" w:rsidSect="00034616">
      <w:headerReference w:type="default" r:id="rId9"/>
      <w:footerReference w:type="default" r:id="rId10"/>
      <w:pgSz w:w="12240" w:h="15840"/>
      <w:pgMar w:top="1037" w:right="1109" w:bottom="950"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技师段 L4至L5  ·  防腐保温工程验收标准</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云培训学院  课程讲义</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40"/>
    </w:pPr>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8427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18427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184276"/>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