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工艺卡与作业指导书应用</w:t>
      </w:r>
    </w:p>
    <w:p>
      <w:r>
        <w:t>技师段 L4至L5</w:t>
      </w:r>
    </w:p>
    <w:p>
      <w:pPr>
        <w:pStyle w:val="Heading1"/>
      </w:pPr>
      <w:r>
        <w:t>课程目标</w:t>
      </w:r>
    </w:p>
    <w:p>
      <w:r>
        <w:t>将技术参数、步骤、检验点和异常处置落实到受控现场文件</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施工方案工艺卡指导书层级</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施工方案工艺卡指导书层级”。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施工方案工艺卡指导书层级”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施工方案工艺卡指导书层级”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施工方案工艺卡指导书层级”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“施工方案工艺卡指导书层级”与本课程的总体目标是什么关系？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适用范围与材料体系</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适用范围与材料体系”。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适用范围与材料体系”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适用范围与材料体系”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适用范围与材料体系”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“适用范围与材料体系”与本课程的总体目标是什么关系？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参数来源和版本</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参数来源和版本”。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参数来源和版本”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参数来源和版本”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参数来源和版本”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“参数来源和版本”与本课程的总体目标是什么关系？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作业步骤与顺序</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作业步骤与顺序”。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作业步骤与顺序”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作业步骤与顺序”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作业步骤与顺序”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“作业步骤与顺序”与本课程的总体目标是什么关系？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检验测点和放行</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检验测点和放行”。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检验测点和放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检验测点和放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检验测点和放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“检验测点和放行”与本课程的总体目标是什么关系？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现场可视化交底</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现场可视化交底”。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现场可视化交底”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现场可视化交底”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现场可视化交底”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“现场可视化交底”与本课程的总体目标是什么关系？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异常停工和偏差处置</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异常停工和偏差处置”。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异常停工和偏差处置”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异常停工和偏差处置”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异常停工和偏差处置”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“异常停工和偏差处置”与本课程的总体目标是什么关系？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文件修订回收</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文件修订回收”。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文件修订回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文件修订回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文件修订回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“文件修订回收”与本课程的总体目标是什么关系？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人员培训与能力验证</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人员培训与能力验证”。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人员培训与能力验证”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人员培训与能力验证”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人员培训与能力验证”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“人员培训与能力验证”与本课程的总体目标是什么关系？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工艺文件编制演练</w:t>
      </w:r>
    </w:p>
    <w:p>
      <w:pPr>
        <w:pStyle w:val="Heading2"/>
      </w:pPr>
      <w:r>
        <w:t>知识讲解</w:t>
      </w:r>
    </w:p>
    <w:p>
      <w:r>
        <w:t>方案管总体组织，工艺卡管关键参数与控制点，指导书管可重复的操作步骤。参数应标注来源文件和版本。现场偏差处置、修订回收、培训验证与检验记录是文件有效性的组成部分。</w:t>
      </w:r>
    </w:p>
    <w:p>
      <w:r>
        <w:t>本讲聚焦“工艺文件编制演练”。学习时先明确它所处理的对象、输入条件和输出结果，再把它放回整门课程的工作链条中。将技术参数、步骤、检验点和异常处置落实到受控现场文件同一术语在不同材料体系或项目条件下可能有不同判定方式，因此必须记录采用的文件、版本和现场条件。</w:t>
      </w:r>
    </w:p>
    <w:p>
      <w:pPr>
        <w:pStyle w:val="Heading2"/>
      </w:pPr>
      <w:r>
        <w:t>现场应用</w:t>
      </w:r>
    </w:p>
    <w:p>
      <w:r>
        <w:t>设想你在项目现场负责“工艺文件编制演练”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工艺文件编制演练”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工艺文件编制演练”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“工艺文件编制演练”与本课程的总体目标是什么关系？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技师段 L4至L5  ·  工艺卡与作业指导书应用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