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MCP Smoke Test</w:t>
      </w:r>
    </w:p>
    <w:bookmarkStart w:id="24" w:name="cyp450-experiment-report"/>
    <w:p>
      <w:pPr>
        <w:pStyle w:val="Heading1"/>
      </w:pPr>
      <w:r>
        <w:t xml:space="preserve">CYP450 Experiment Report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We compared three candidate protocols for ligand-bound CYP equilibration and production readiness.</w:t>
      </w:r>
    </w:p>
    <w:bookmarkEnd w:id="20"/>
    <w:bookmarkStart w:id="21" w:name="experimental-setup"/>
    <w:p>
      <w:pPr>
        <w:pStyle w:val="Heading2"/>
      </w:pPr>
      <w:r>
        <w:t xml:space="preserve">Experimental Setup</w:t>
      </w:r>
    </w:p>
    <w:p>
      <w:pPr>
        <w:numPr>
          <w:ilvl w:val="0"/>
          <w:numId w:val="1001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1"/>
        </w:numPr>
        <w:pStyle w:val="Compact"/>
      </w:pPr>
      <w:r>
        <w:t xml:space="preserve">Replicates: 3</w:t>
      </w:r>
    </w:p>
    <w:p>
      <w:pPr>
        <w:numPr>
          <w:ilvl w:val="0"/>
          <w:numId w:val="1001"/>
        </w:numPr>
        <w:pStyle w:val="Compact"/>
      </w:pPr>
      <w:r>
        <w:t xml:space="preserve">Production readiness criterion: stable Fe-S region and acceptable RMSD</w:t>
      </w:r>
    </w:p>
    <w:bookmarkEnd w:id="21"/>
    <w:bookmarkStart w:id="22" w:name="results"/>
    <w:p>
      <w:pPr>
        <w:pStyle w:val="Heading2"/>
      </w:pPr>
      <w:r>
        <w:t xml:space="preserve">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p>
            <w:pPr>
              <w:pStyle w:val="Compact"/>
              <w:jc w:val="left"/>
            </w:pPr>
            <w:r>
              <w:t xml:space="preserve">RMSD</w:t>
            </w:r>
          </w:p>
        </w:tc>
        <w:tc>
          <w:p>
            <w:pPr>
              <w:pStyle w:val="Compact"/>
              <w:jc w:val="left"/>
            </w:pPr>
            <w:r>
              <w:t xml:space="preserve">Runtime (min)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82.4</w:t>
            </w:r>
          </w:p>
        </w:tc>
        <w:tc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PRR-8</w:t>
            </w:r>
          </w:p>
        </w:tc>
        <w:tc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PRR-10</w:t>
            </w:r>
          </w:p>
        </w:tc>
        <w:tc>
          <w:p>
            <w:pPr>
              <w:pStyle w:val="Compact"/>
              <w:jc w:val="left"/>
            </w:pPr>
            <w:r>
              <w:t xml:space="preserve">90.1</w:t>
            </w:r>
          </w:p>
        </w:tc>
        <w:tc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p>
      <w:pPr>
        <w:pStyle w:val="BodyText"/>
      </w:pPr>
      <w:r>
        <w:t xml:space="preserve">The PRR-10 setting achieved 90.1% readiness accuracy and reduced RMSD to 1.85.</w:t>
      </w:r>
      <w:r>
        <w:t xml:space="preserve"> </w:t>
      </w:r>
      <w:r>
        <w:t xml:space="preserve">PRR-8 was slightly faster and still improved quality relative to the baseline.</w:t>
      </w:r>
    </w:p>
    <w:bookmarkEnd w:id="22"/>
    <w:bookmarkStart w:id="2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PRR-10 appears to be the best default when quality is prioritized over runtime.</w:t>
      </w:r>
    </w:p>
    <w:bookmarkEnd w:id="23"/>
    <w:bookmarkEnd w:id="24"/>
    <w:bookmarkStart w:id="30" w:name="automated-result-analysis"/>
    <w:p>
      <w:pPr>
        <w:pStyle w:val="Heading1"/>
      </w:pPr>
      <w:r>
        <w:t xml:space="preserve">Automated Result Analysis</w:t>
      </w:r>
    </w:p>
    <w:bookmarkStart w:id="25" w:name="report-overview"/>
    <w:p>
      <w:pPr>
        <w:pStyle w:val="Heading2"/>
      </w:pPr>
      <w:r>
        <w:t xml:space="preserve">Report Overview</w:t>
      </w:r>
    </w:p>
    <w:p>
      <w:pPr>
        <w:numPr>
          <w:ilvl w:val="0"/>
          <w:numId w:val="1002"/>
        </w:numPr>
        <w:pStyle w:val="Compac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C:\Users\eos\Desktop\101\AutoCYPAmber-main\examples\sample_experiment_report.md</w:t>
      </w:r>
    </w:p>
    <w:p>
      <w:pPr>
        <w:numPr>
          <w:ilvl w:val="0"/>
          <w:numId w:val="1002"/>
        </w:numPr>
        <w:pStyle w:val="Compact"/>
      </w:pPr>
      <w:r>
        <w:t xml:space="preserve">Headings detected:</w:t>
      </w:r>
      <w:r>
        <w:t xml:space="preserve"> </w:t>
      </w:r>
      <w:r>
        <w:rPr>
          <w:rStyle w:val="VerbatimChar"/>
        </w:rPr>
        <w:t xml:space="preserve">5</w:t>
      </w:r>
    </w:p>
    <w:p>
      <w:pPr>
        <w:numPr>
          <w:ilvl w:val="0"/>
          <w:numId w:val="1002"/>
        </w:numPr>
        <w:pStyle w:val="Compact"/>
      </w:pPr>
      <w:r>
        <w:t xml:space="preserve">Markdown tables detected:</w:t>
      </w:r>
      <w:r>
        <w:t xml:space="preserve"> </w:t>
      </w:r>
      <w:r>
        <w:rPr>
          <w:rStyle w:val="VerbatimChar"/>
        </w:rPr>
        <w:t xml:space="preserve">1</w:t>
      </w:r>
    </w:p>
    <w:bookmarkEnd w:id="25"/>
    <w:bookmarkStart w:id="26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PRR-10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Accuracy (%)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90.1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Runtime (min)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47</w:t>
      </w:r>
      <w:r>
        <w:t xml:space="preserve">.</w:t>
      </w:r>
    </w:p>
    <w:bookmarkEnd w:id="26"/>
    <w:bookmarkStart w:id="28" w:name="numeric-evidence"/>
    <w:p>
      <w:pPr>
        <w:pStyle w:val="Heading2"/>
      </w:pPr>
      <w:r>
        <w:t xml:space="preserve">Numeric Evidence</w:t>
      </w:r>
    </w:p>
    <w:p>
      <w:pPr>
        <w:numPr>
          <w:ilvl w:val="0"/>
          <w:numId w:val="1004"/>
        </w:numPr>
        <w:pStyle w:val="Heading1"/>
      </w:pPr>
      <w:bookmarkStart w:id="27" w:name="cyp450-experiment-report-1"/>
      <w:r>
        <w:t xml:space="preserve">CYP450 Experiment Report</w:t>
      </w:r>
      <w:bookmarkEnd w:id="27"/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Replicates: 3</w:t>
      </w:r>
    </w:p>
    <w:p>
      <w:pPr>
        <w:numPr>
          <w:ilvl w:val="0"/>
          <w:numId w:val="1004"/>
        </w:numPr>
      </w:pPr>
      <w:r>
        <w:t xml:space="preserve">Baseline | 82.4 | 2.31 | 47 |</w:t>
      </w:r>
    </w:p>
    <w:p>
      <w:pPr>
        <w:numPr>
          <w:ilvl w:val="0"/>
          <w:numId w:val="1004"/>
        </w:numPr>
      </w:pPr>
      <w:r>
        <w:t xml:space="preserve">PRR-8 | 88.9 | 1.92 | 53 |</w:t>
      </w:r>
    </w:p>
    <w:p>
      <w:pPr>
        <w:numPr>
          <w:ilvl w:val="0"/>
          <w:numId w:val="1004"/>
        </w:numPr>
      </w:pPr>
      <w:r>
        <w:t xml:space="preserve">PRR-10 | 90.1 | 1.85 | 61 |</w:t>
      </w:r>
    </w:p>
    <w:p>
      <w:pPr>
        <w:numPr>
          <w:ilvl w:val="0"/>
          <w:numId w:val="1004"/>
        </w:numPr>
        <w:pStyle w:val="Compact"/>
      </w:pPr>
      <w:r>
        <w:t xml:space="preserve">The PRR-10 setting achieved 90.1% readiness accuracy and reduced RMSD to 1.85.</w:t>
      </w:r>
    </w:p>
    <w:p>
      <w:pPr>
        <w:numPr>
          <w:ilvl w:val="0"/>
          <w:numId w:val="1004"/>
        </w:numPr>
        <w:pStyle w:val="Compact"/>
      </w:pPr>
      <w:r>
        <w:t xml:space="preserve">PRR-8 was slightly faster and still improved quality relative to the baseline.</w:t>
      </w:r>
    </w:p>
    <w:bookmarkEnd w:id="28"/>
    <w:bookmarkStart w:id="29" w:name="suggested-interpretation"/>
    <w:p>
      <w:pPr>
        <w:pStyle w:val="Heading2"/>
      </w:pPr>
      <w:r>
        <w:t xml:space="preserve">Suggested Interpretation</w:t>
      </w:r>
    </w:p>
    <w:p>
      <w:pPr>
        <w:numPr>
          <w:ilvl w:val="0"/>
          <w:numId w:val="1007"/>
        </w:numPr>
        <w:pStyle w:val="Compact"/>
      </w:pPr>
      <w:r>
        <w:t xml:space="preserve">Check whether the top-performing setting is consistently best across all critical metrics, not only one headline metric.</w:t>
      </w:r>
    </w:p>
    <w:p>
      <w:pPr>
        <w:numPr>
          <w:ilvl w:val="0"/>
          <w:numId w:val="1007"/>
        </w:numPr>
        <w:pStyle w:val="Compact"/>
      </w:pPr>
      <w:r>
        <w:t xml:space="preserve">If there is a tradeoff between quality and runtime, call it out explicitly in the final report.</w:t>
      </w:r>
    </w:p>
    <w:p>
      <w:pPr>
        <w:numPr>
          <w:ilvl w:val="0"/>
          <w:numId w:val="1007"/>
        </w:numPr>
        <w:pStyle w:val="Compact"/>
      </w:pPr>
      <w:r>
        <w:t xml:space="preserve">Confirm whether the reported sample size, seeds, or replicate count is sufficient before drawing strong conclusions.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Smoke Test</dc:title>
  <dc:creator/>
  <cp:keywords/>
  <dcterms:created xsi:type="dcterms:W3CDTF">2026-03-28T15:01:27Z</dcterms:created>
  <dcterms:modified xsi:type="dcterms:W3CDTF">2026-03-28T15:01:27Z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