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yp450-experiment-report"/>
    <w:p>
      <w:pPr>
        <w:pStyle w:val="Heading1"/>
      </w:pPr>
      <w:r>
        <w:t xml:space="preserve">CYP450 Experiment Report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We compared three candidate protocols for ligand-bound CYP equilibration and production readiness.</w:t>
      </w:r>
    </w:p>
    <w:bookmarkEnd w:id="20"/>
    <w:bookmarkStart w:id="21" w:name="experimental-setup"/>
    <w:p>
      <w:pPr>
        <w:pStyle w:val="Heading2"/>
      </w:pPr>
      <w:r>
        <w:t xml:space="preserve">Experimental Setup</w:t>
      </w:r>
    </w:p>
    <w:p>
      <w:pPr>
        <w:numPr>
          <w:ilvl w:val="0"/>
          <w:numId w:val="1001"/>
        </w:numPr>
        <w:pStyle w:val="Compact"/>
      </w:pPr>
      <w:r>
        <w:t xml:space="preserve">System: CYP450 with heme and one ligand</w:t>
      </w:r>
    </w:p>
    <w:p>
      <w:pPr>
        <w:numPr>
          <w:ilvl w:val="0"/>
          <w:numId w:val="1001"/>
        </w:numPr>
        <w:pStyle w:val="Compact"/>
      </w:pPr>
      <w:r>
        <w:t xml:space="preserve">Replicates: 3</w:t>
      </w:r>
    </w:p>
    <w:p>
      <w:pPr>
        <w:numPr>
          <w:ilvl w:val="0"/>
          <w:numId w:val="1001"/>
        </w:numPr>
        <w:pStyle w:val="Compact"/>
      </w:pPr>
      <w:r>
        <w:t xml:space="preserve">Production readiness criterion: stable Fe-S region and acceptable RMSD</w:t>
      </w:r>
    </w:p>
    <w:bookmarkEnd w:id="21"/>
    <w:bookmarkStart w:id="22" w:name="results"/>
    <w:p>
      <w:pPr>
        <w:pStyle w:val="Heading2"/>
      </w:pPr>
      <w:r>
        <w:t xml:space="preserve">Results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p>
            <w:pPr>
              <w:pStyle w:val="Compact"/>
              <w:jc w:val="left"/>
            </w:pPr>
            <w:r>
              <w:t xml:space="preserve">RMSD</w:t>
            </w:r>
          </w:p>
        </w:tc>
        <w:tc>
          <w:p>
            <w:pPr>
              <w:pStyle w:val="Compact"/>
              <w:jc w:val="left"/>
            </w:pPr>
            <w:r>
              <w:t xml:space="preserve">Runtime (min)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p>
            <w:pPr>
              <w:pStyle w:val="Compact"/>
              <w:jc w:val="left"/>
            </w:pPr>
            <w:r>
              <w:t xml:space="preserve">82.4</w:t>
            </w:r>
          </w:p>
        </w:tc>
        <w:tc>
          <w:p>
            <w:pPr>
              <w:pStyle w:val="Compact"/>
              <w:jc w:val="left"/>
            </w:pPr>
            <w:r>
              <w:t xml:space="preserve">2.31</w:t>
            </w:r>
          </w:p>
        </w:tc>
        <w:tc>
          <w:p>
            <w:pPr>
              <w:pStyle w:val="Compact"/>
              <w:jc w:val="left"/>
            </w:pPr>
            <w:r>
              <w:t xml:space="preserve">47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PRR-8</w:t>
            </w:r>
          </w:p>
        </w:tc>
        <w:tc>
          <w:p>
            <w:pPr>
              <w:pStyle w:val="Compact"/>
              <w:jc w:val="left"/>
            </w:pPr>
            <w:r>
              <w:t xml:space="preserve">88.9</w:t>
            </w:r>
          </w:p>
        </w:tc>
        <w:tc>
          <w:p>
            <w:pPr>
              <w:pStyle w:val="Compact"/>
              <w:jc w:val="left"/>
            </w:pPr>
            <w:r>
              <w:t xml:space="preserve">1.92</w:t>
            </w:r>
          </w:p>
        </w:tc>
        <w:tc>
          <w:p>
            <w:pPr>
              <w:pStyle w:val="Compact"/>
              <w:jc w:val="left"/>
            </w:pPr>
            <w:r>
              <w:t xml:space="preserve">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PRR-10</w:t>
            </w:r>
          </w:p>
        </w:tc>
        <w:tc>
          <w:p>
            <w:pPr>
              <w:pStyle w:val="Compact"/>
              <w:jc w:val="left"/>
            </w:pPr>
            <w:r>
              <w:t xml:space="preserve">90.1</w:t>
            </w:r>
          </w:p>
        </w:tc>
        <w:tc>
          <w:p>
            <w:pPr>
              <w:pStyle w:val="Compact"/>
              <w:jc w:val="left"/>
            </w:pPr>
            <w:r>
              <w:t xml:space="preserve">1.85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</w:tr>
    </w:tbl>
    <w:p>
      <w:pPr>
        <w:pStyle w:val="BodyText"/>
      </w:pPr>
      <w:r>
        <w:t xml:space="preserve">The PRR-10 setting achieved 90.1% readiness accuracy and reduced RMSD to 1.85.</w:t>
      </w:r>
      <w:r>
        <w:t xml:space="preserve"> </w:t>
      </w:r>
      <w:r>
        <w:t xml:space="preserve">PRR-8 was slightly faster and still improved quality relative to the baseline.</w:t>
      </w:r>
    </w:p>
    <w:bookmarkEnd w:id="22"/>
    <w:bookmarkStart w:id="2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PRR-10 appears to be the best default when quality is prioritized over runtime.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2026-03-28T18:19:33Z</dcterms:created>
  <dcterms:modified xsi:type="dcterms:W3CDTF">2026-03-28T18:19:33Z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