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Executive Summary for the Heart of Knowledge project by Code Blooded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Dark Mode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Pressing the “Dark Mode” on the navbar will turn the background to black and the text to white and change the button to “Light Mode”. This persists until you press the button again.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Custom Templates for Pages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To create a custom template, go to the edit button on an existing document and put in a hex color value for the text and or the background.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To change the page to the custom theme, continue pressing the Dark/Light Mode button until it says “Custom Mode”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Accessibility Features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Pressing the button labeled "Accessibility" on the navbar, creates a pop up window with two checkboxes: High Contrast and Large Text. When checked, the High Contrast mode turns backgrounds to black and text yellow. The Large Text checkbox, when checked, increases text size by 50%.</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Citation Generator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Pressing the button labeled “View Citations” a pop up window appears with the MLA and APA citation printed out as well as a button under each labeled either "Copy MLA" or "Copy APA" that will copy the citation to their clipboard.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Tutorial Page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To use and understand the instructions page on the website you simply need to be on the home page and select the instruction tab to view the HTML page with the information on it.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User Privilege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Once logged in, click the roles button and fill in your user name with the title of the role you want assigned. To access the admin page you will need to assign the role "admin". Once you access the admin page all your roles will be cleared and you will have to re-add the roles in the role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