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4F3C3" w14:textId="2E0961B5" w:rsidR="00D66DD7" w:rsidRPr="0008041E" w:rsidRDefault="0008041E">
      <w:pPr>
        <w:pStyle w:val="Ttulo1"/>
        <w:rPr>
          <w:sz w:val="32"/>
          <w:szCs w:val="32"/>
        </w:rPr>
      </w:pPr>
      <w:r w:rsidRPr="0008041E">
        <w:rPr>
          <w:rFonts w:asciiTheme="minorHAnsi" w:hAnsiTheme="minorHAnsi" w:cstheme="minorBidi"/>
          <w:sz w:val="32"/>
          <w:szCs w:val="32"/>
        </w:rPr>
        <w:t>Rolex GMT-Master II “Pepsi”</w:t>
      </w:r>
    </w:p>
    <w:p w14:paraId="21516717" w14:textId="77777777" w:rsidR="0008041E" w:rsidRPr="0008041E" w:rsidRDefault="00000000" w:rsidP="0008041E">
      <w:pPr>
        <w:rPr>
          <w:lang w:val="es-DO"/>
        </w:rPr>
      </w:pPr>
      <w:r w:rsidRPr="0008041E">
        <w:br/>
      </w:r>
      <w:r w:rsidR="0008041E" w:rsidRPr="0008041E">
        <w:rPr>
          <w:lang w:val="es-DO"/>
        </w:rPr>
        <w:t xml:space="preserve">El </w:t>
      </w:r>
      <w:r w:rsidR="0008041E" w:rsidRPr="0008041E">
        <w:rPr>
          <w:b/>
          <w:bCs/>
          <w:lang w:val="es-DO"/>
        </w:rPr>
        <w:t>Rolex GMT-</w:t>
      </w:r>
      <w:proofErr w:type="gramStart"/>
      <w:r w:rsidR="0008041E" w:rsidRPr="0008041E">
        <w:rPr>
          <w:b/>
          <w:bCs/>
          <w:lang w:val="es-DO"/>
        </w:rPr>
        <w:t>Master</w:t>
      </w:r>
      <w:proofErr w:type="gramEnd"/>
      <w:r w:rsidR="0008041E" w:rsidRPr="0008041E">
        <w:rPr>
          <w:b/>
          <w:bCs/>
          <w:lang w:val="es-DO"/>
        </w:rPr>
        <w:t xml:space="preserve"> II “Pepsi”</w:t>
      </w:r>
      <w:r w:rsidR="0008041E" w:rsidRPr="0008041E">
        <w:rPr>
          <w:lang w:val="es-DO"/>
        </w:rPr>
        <w:t xml:space="preserve"> es uno de los relojes más icónicos y reconocibles de Rolex. Su apodo “Pepsi” proviene del </w:t>
      </w:r>
      <w:r w:rsidR="0008041E" w:rsidRPr="0008041E">
        <w:rPr>
          <w:b/>
          <w:bCs/>
          <w:lang w:val="es-DO"/>
        </w:rPr>
        <w:t>bisel bicolor rojo y azul</w:t>
      </w:r>
      <w:r w:rsidR="0008041E" w:rsidRPr="0008041E">
        <w:rPr>
          <w:lang w:val="es-DO"/>
        </w:rPr>
        <w:t>, una combinación histórica que representa el día y la noche en la escala de 24 horas.</w:t>
      </w:r>
    </w:p>
    <w:p w14:paraId="4AECB1CD" w14:textId="77777777" w:rsidR="0008041E" w:rsidRPr="0008041E" w:rsidRDefault="0008041E" w:rsidP="0008041E">
      <w:pPr>
        <w:rPr>
          <w:lang w:val="es-DO"/>
        </w:rPr>
      </w:pPr>
      <w:r w:rsidRPr="0008041E">
        <w:rPr>
          <w:lang w:val="es-DO"/>
        </w:rPr>
        <w:t xml:space="preserve">Este modelo tiene su origen en la </w:t>
      </w:r>
      <w:r w:rsidRPr="0008041E">
        <w:rPr>
          <w:b/>
          <w:bCs/>
          <w:lang w:val="es-DO"/>
        </w:rPr>
        <w:t>década de 1950</w:t>
      </w:r>
      <w:r w:rsidRPr="0008041E">
        <w:rPr>
          <w:lang w:val="es-DO"/>
        </w:rPr>
        <w:t xml:space="preserve">, cuando Rolex colaboró con la aerolínea </w:t>
      </w:r>
      <w:r w:rsidRPr="0008041E">
        <w:rPr>
          <w:b/>
          <w:bCs/>
          <w:lang w:val="es-DO"/>
        </w:rPr>
        <w:t>Pan American Airways (Pan Am)</w:t>
      </w:r>
      <w:r w:rsidRPr="0008041E">
        <w:rPr>
          <w:lang w:val="es-DO"/>
        </w:rPr>
        <w:t xml:space="preserve"> para crear un reloj que permitiera a los pilotos controlar </w:t>
      </w:r>
      <w:r w:rsidRPr="0008041E">
        <w:rPr>
          <w:b/>
          <w:bCs/>
          <w:lang w:val="es-DO"/>
        </w:rPr>
        <w:t>dos husos horarios al mismo tiempo</w:t>
      </w:r>
      <w:r w:rsidRPr="0008041E">
        <w:rPr>
          <w:lang w:val="es-DO"/>
        </w:rPr>
        <w:t>. Con el paso de los años, el diseño evolucionó hasta el actual GMT-</w:t>
      </w:r>
      <w:proofErr w:type="gramStart"/>
      <w:r w:rsidRPr="0008041E">
        <w:rPr>
          <w:lang w:val="es-DO"/>
        </w:rPr>
        <w:t>Master</w:t>
      </w:r>
      <w:proofErr w:type="gramEnd"/>
      <w:r w:rsidRPr="0008041E">
        <w:rPr>
          <w:lang w:val="es-DO"/>
        </w:rPr>
        <w:t xml:space="preserve"> II, manteniendo su esencia original.</w:t>
      </w:r>
    </w:p>
    <w:p w14:paraId="756DD425" w14:textId="77777777" w:rsidR="0008041E" w:rsidRPr="0008041E" w:rsidRDefault="0008041E" w:rsidP="0008041E">
      <w:pPr>
        <w:rPr>
          <w:lang w:val="es-DO"/>
        </w:rPr>
      </w:pPr>
      <w:r w:rsidRPr="0008041E">
        <w:rPr>
          <w:lang w:val="es-DO"/>
        </w:rPr>
        <w:t xml:space="preserve">Una de sus principales funciones es la </w:t>
      </w:r>
      <w:r w:rsidRPr="0008041E">
        <w:rPr>
          <w:b/>
          <w:bCs/>
          <w:lang w:val="es-DO"/>
        </w:rPr>
        <w:t>complicación GMT</w:t>
      </w:r>
      <w:r w:rsidRPr="0008041E">
        <w:rPr>
          <w:lang w:val="es-DO"/>
        </w:rPr>
        <w:t>, que incluye una aguja adicional de 24 horas y un bisel giratorio. Gracias a esto, el usuario puede leer la hora local y la de otro país de forma sencilla, lo que lo convierte en un reloj ideal para viajeros frecuentes.</w:t>
      </w:r>
    </w:p>
    <w:p w14:paraId="11708502" w14:textId="77777777" w:rsidR="0008041E" w:rsidRPr="0008041E" w:rsidRDefault="0008041E" w:rsidP="0008041E">
      <w:pPr>
        <w:rPr>
          <w:lang w:val="es-DO"/>
        </w:rPr>
      </w:pPr>
      <w:r w:rsidRPr="0008041E">
        <w:rPr>
          <w:lang w:val="es-DO"/>
        </w:rPr>
        <w:t xml:space="preserve">Las versiones modernas del GMT Pepsi incorporan un </w:t>
      </w:r>
      <w:r w:rsidRPr="0008041E">
        <w:rPr>
          <w:b/>
          <w:bCs/>
          <w:lang w:val="es-DO"/>
        </w:rPr>
        <w:t xml:space="preserve">bisel </w:t>
      </w:r>
      <w:proofErr w:type="spellStart"/>
      <w:r w:rsidRPr="0008041E">
        <w:rPr>
          <w:b/>
          <w:bCs/>
          <w:lang w:val="es-DO"/>
        </w:rPr>
        <w:t>Cerachrom</w:t>
      </w:r>
      <w:proofErr w:type="spellEnd"/>
      <w:r w:rsidRPr="0008041E">
        <w:rPr>
          <w:b/>
          <w:bCs/>
          <w:lang w:val="es-DO"/>
        </w:rPr>
        <w:t xml:space="preserve"> de cerámica</w:t>
      </w:r>
      <w:r w:rsidRPr="0008041E">
        <w:rPr>
          <w:lang w:val="es-DO"/>
        </w:rPr>
        <w:t xml:space="preserve">, altamente resistente a los arañazos, a la corrosión y a la pérdida de color. La caja </w:t>
      </w:r>
      <w:proofErr w:type="spellStart"/>
      <w:r w:rsidRPr="0008041E">
        <w:rPr>
          <w:lang w:val="es-DO"/>
        </w:rPr>
        <w:t>Oyster</w:t>
      </w:r>
      <w:proofErr w:type="spellEnd"/>
      <w:r w:rsidRPr="0008041E">
        <w:rPr>
          <w:lang w:val="es-DO"/>
        </w:rPr>
        <w:t xml:space="preserve"> de </w:t>
      </w:r>
      <w:r w:rsidRPr="0008041E">
        <w:rPr>
          <w:b/>
          <w:bCs/>
          <w:lang w:val="es-DO"/>
        </w:rPr>
        <w:t xml:space="preserve">40 mm en acero </w:t>
      </w:r>
      <w:proofErr w:type="spellStart"/>
      <w:r w:rsidRPr="0008041E">
        <w:rPr>
          <w:b/>
          <w:bCs/>
          <w:lang w:val="es-DO"/>
        </w:rPr>
        <w:t>Oystersteel</w:t>
      </w:r>
      <w:proofErr w:type="spellEnd"/>
      <w:r w:rsidRPr="0008041E">
        <w:rPr>
          <w:lang w:val="es-DO"/>
        </w:rPr>
        <w:t xml:space="preserve">, junto con el brazalete </w:t>
      </w:r>
      <w:proofErr w:type="spellStart"/>
      <w:r w:rsidRPr="0008041E">
        <w:rPr>
          <w:lang w:val="es-DO"/>
        </w:rPr>
        <w:t>Jubilee</w:t>
      </w:r>
      <w:proofErr w:type="spellEnd"/>
      <w:r w:rsidRPr="0008041E">
        <w:rPr>
          <w:lang w:val="es-DO"/>
        </w:rPr>
        <w:t xml:space="preserve"> u </w:t>
      </w:r>
      <w:proofErr w:type="spellStart"/>
      <w:r w:rsidRPr="0008041E">
        <w:rPr>
          <w:lang w:val="es-DO"/>
        </w:rPr>
        <w:t>Oyster</w:t>
      </w:r>
      <w:proofErr w:type="spellEnd"/>
      <w:r w:rsidRPr="0008041E">
        <w:rPr>
          <w:lang w:val="es-DO"/>
        </w:rPr>
        <w:t>, le da un equilibrio perfecto entre deportividad y elegancia.</w:t>
      </w:r>
    </w:p>
    <w:p w14:paraId="24AB510E" w14:textId="77777777" w:rsidR="0008041E" w:rsidRPr="0008041E" w:rsidRDefault="0008041E" w:rsidP="0008041E">
      <w:pPr>
        <w:rPr>
          <w:lang w:val="es-DO"/>
        </w:rPr>
      </w:pPr>
      <w:r w:rsidRPr="0008041E">
        <w:rPr>
          <w:lang w:val="es-DO"/>
        </w:rPr>
        <w:t xml:space="preserve">En su interior late el </w:t>
      </w:r>
      <w:r w:rsidRPr="0008041E">
        <w:rPr>
          <w:b/>
          <w:bCs/>
          <w:lang w:val="es-DO"/>
        </w:rPr>
        <w:t>calibre Rolex 3285</w:t>
      </w:r>
      <w:r w:rsidRPr="0008041E">
        <w:rPr>
          <w:lang w:val="es-DO"/>
        </w:rPr>
        <w:t xml:space="preserve">, un movimiento automático de última generación con una </w:t>
      </w:r>
      <w:r w:rsidRPr="0008041E">
        <w:rPr>
          <w:b/>
          <w:bCs/>
          <w:lang w:val="es-DO"/>
        </w:rPr>
        <w:t>reserva de marcha de aproximadamente 70 horas</w:t>
      </w:r>
      <w:r w:rsidRPr="0008041E">
        <w:rPr>
          <w:lang w:val="es-DO"/>
        </w:rPr>
        <w:t xml:space="preserve">. Este mecanismo cuenta con la certificación de </w:t>
      </w:r>
      <w:r w:rsidRPr="0008041E">
        <w:rPr>
          <w:b/>
          <w:bCs/>
          <w:lang w:val="es-DO"/>
        </w:rPr>
        <w:t>Cronómetro Superlativo</w:t>
      </w:r>
      <w:r w:rsidRPr="0008041E">
        <w:rPr>
          <w:lang w:val="es-DO"/>
        </w:rPr>
        <w:t>, garantizando una precisión y fiabilidad excepcionales.</w:t>
      </w:r>
    </w:p>
    <w:p w14:paraId="5B5149D2" w14:textId="77777777" w:rsidR="0008041E" w:rsidRPr="0008041E" w:rsidRDefault="0008041E" w:rsidP="0008041E">
      <w:pPr>
        <w:rPr>
          <w:lang w:val="es-DO"/>
        </w:rPr>
      </w:pPr>
      <w:r w:rsidRPr="0008041E">
        <w:rPr>
          <w:lang w:val="es-DO"/>
        </w:rPr>
        <w:t xml:space="preserve">En resumen, el </w:t>
      </w:r>
      <w:r w:rsidRPr="0008041E">
        <w:rPr>
          <w:b/>
          <w:bCs/>
          <w:lang w:val="es-DO"/>
        </w:rPr>
        <w:t>Rolex GMT-</w:t>
      </w:r>
      <w:proofErr w:type="gramStart"/>
      <w:r w:rsidRPr="0008041E">
        <w:rPr>
          <w:b/>
          <w:bCs/>
          <w:lang w:val="es-DO"/>
        </w:rPr>
        <w:t>Master</w:t>
      </w:r>
      <w:proofErr w:type="gramEnd"/>
      <w:r w:rsidRPr="0008041E">
        <w:rPr>
          <w:b/>
          <w:bCs/>
          <w:lang w:val="es-DO"/>
        </w:rPr>
        <w:t xml:space="preserve"> II Pepsi</w:t>
      </w:r>
      <w:r w:rsidRPr="0008041E">
        <w:rPr>
          <w:lang w:val="es-DO"/>
        </w:rPr>
        <w:t xml:space="preserve"> no es solo un reloj de lujo, sino una pieza cargada de historia, innovación y prestigio. Su diseño clásico, su funcionalidad para viajeros y su alta demanda lo convierten en uno de los modelos más deseados dentro del mundo de la relojería.</w:t>
      </w:r>
    </w:p>
    <w:p w14:paraId="2BA85902" w14:textId="5889DEEB" w:rsidR="0008041E" w:rsidRPr="0008041E" w:rsidRDefault="0008041E" w:rsidP="0008041E">
      <w:pPr>
        <w:rPr>
          <w:lang w:val="es-DO"/>
        </w:rPr>
      </w:pPr>
    </w:p>
    <w:p w14:paraId="00BE68F0" w14:textId="189C23AD" w:rsidR="00D66DD7" w:rsidRPr="0008041E" w:rsidRDefault="00000000">
      <w:pPr>
        <w:rPr>
          <w:lang w:val="es-DO"/>
        </w:rPr>
      </w:pPr>
      <w:r w:rsidRPr="0008041E">
        <w:rPr>
          <w:lang w:val="es-DO"/>
        </w:rPr>
        <w:br/>
      </w:r>
    </w:p>
    <w:sectPr w:rsidR="00D66DD7" w:rsidRPr="000804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2859624">
    <w:abstractNumId w:val="8"/>
  </w:num>
  <w:num w:numId="2" w16cid:durableId="370422842">
    <w:abstractNumId w:val="6"/>
  </w:num>
  <w:num w:numId="3" w16cid:durableId="1894416349">
    <w:abstractNumId w:val="5"/>
  </w:num>
  <w:num w:numId="4" w16cid:durableId="1121459810">
    <w:abstractNumId w:val="4"/>
  </w:num>
  <w:num w:numId="5" w16cid:durableId="1155416389">
    <w:abstractNumId w:val="7"/>
  </w:num>
  <w:num w:numId="6" w16cid:durableId="1213224868">
    <w:abstractNumId w:val="3"/>
  </w:num>
  <w:num w:numId="7" w16cid:durableId="2107144280">
    <w:abstractNumId w:val="2"/>
  </w:num>
  <w:num w:numId="8" w16cid:durableId="1773667066">
    <w:abstractNumId w:val="1"/>
  </w:num>
  <w:num w:numId="9" w16cid:durableId="814488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41E"/>
    <w:rsid w:val="0015074B"/>
    <w:rsid w:val="0029639D"/>
    <w:rsid w:val="00326F90"/>
    <w:rsid w:val="00970DDC"/>
    <w:rsid w:val="00992485"/>
    <w:rsid w:val="00AA1D8D"/>
    <w:rsid w:val="00B47730"/>
    <w:rsid w:val="00C4331B"/>
    <w:rsid w:val="00CB0664"/>
    <w:rsid w:val="00D66DD7"/>
    <w:rsid w:val="00DE05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8A7A8C"/>
  <w14:defaultImageDpi w14:val="300"/>
  <w15:docId w15:val="{377DBFF8-6E6A-4000-9E9D-DCCF33C37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8041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Starling David Herrera Gonzalez</cp:lastModifiedBy>
  <cp:revision>2</cp:revision>
  <dcterms:created xsi:type="dcterms:W3CDTF">2026-01-09T14:29:00Z</dcterms:created>
  <dcterms:modified xsi:type="dcterms:W3CDTF">2026-01-09T14:29:00Z</dcterms:modified>
  <cp:category/>
</cp:coreProperties>
</file>