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0000" w:val="clear"/>
        <w:spacing w:after="0" w:before="0"/>
        <w:jc w:val="center"/>
      </w:pPr>
      <w:r>
        <w:rPr>
          <w:b/>
          <w:bCs/>
          <w:color w:val="FFFFFF"/>
          <w:sz w:val="28"/>
          <w:szCs w:val="28"/>
        </w:rPr>
        <w:t xml:space="preserve">*** SUPERSEDED ***</w:t>
      </w:r>
    </w:p>
    <w:p>
      <w:pPr>
        <w:shd w:fill="FFCCCC" w:val="clear"/>
        <w:spacing w:after="200" w:before="0"/>
        <w:jc w:val="center"/>
      </w:pPr>
      <w:r>
        <w:rPr>
          <w:b/>
          <w:bCs/>
          <w:color w:val="CC0000"/>
          <w:sz w:val="22"/>
          <w:szCs w:val="22"/>
        </w:rPr>
        <w:t xml:space="preserve">This deliverable is superseded by PHASE-7/8 findings (D8/D9). Key corrections: (1) Phase-1 zero reduction is a structural ceiling, not an optimizer failure; (2) Glass’s Delta used instead of Cohen’s d due to zero variance; (3) Held-out validation failed (MAE=0.2775, Pearson=NaN); (4) See v5 manuscript for authoritative results.</w:t>
      </w:r>
    </w:p>
    <w:p>
      <w:pPr>
        <w:spacing w:after="0"/>
      </w:pPr>
    </w:p>
    <w:p>
      <w:pPr>
        <w:spacing w:after="80"/>
        <w:jc w:val="center"/>
      </w:pPr>
      <w:r>
        <w:rPr>
          <w:rFonts w:ascii="Calibri" w:cs="Calibri" w:eastAsia="Calibri" w:hAnsi="Calibri"/>
          <w:b/>
          <w:bCs/>
          <w:color w:val="2E86C1"/>
          <w:sz w:val="24"/>
          <w:szCs w:val="24"/>
        </w:rPr>
        <w:t xml:space="preserve">DELIVERABLE 3</w:t>
      </w:r>
    </w:p>
    <w:p>
      <w:pPr>
        <w:pBdr>
          <w:bottom w:val="single" w:color="2E86C1" w:sz="3"/>
        </w:pBdr>
        <w:spacing w:after="120"/>
        <w:jc w:val="center"/>
      </w:pPr>
      <w:r>
        <w:rPr>
          <w:rFonts w:ascii="Calibri" w:cs="Calibri" w:eastAsia="Calibri" w:hAnsi="Calibri"/>
          <w:b/>
          <w:bCs/>
          <w:color w:val="1B4F72"/>
          <w:sz w:val="38"/>
          <w:szCs w:val="38"/>
        </w:rPr>
        <w:t xml:space="preserve">Feature Importance Analysis: What Determines Quantum Circuit Optimizability?</w:t>
      </w:r>
    </w:p>
    <w:p>
      <w:pPr>
        <w:spacing w:after="200"/>
        <w:jc w:val="center"/>
      </w:pPr>
      <w:r>
        <w:rPr>
          <w:rFonts w:ascii="Calibri" w:cs="Calibri" w:eastAsia="Calibri" w:hAnsi="Calibri"/>
          <w:b w:val="false"/>
          <w:bCs w:val="false"/>
          <w:i/>
          <w:iCs/>
          <w:color w:val="95A5A6"/>
          <w:sz w:val="22"/>
          <w:szCs w:val="22"/>
        </w:rPr>
        <w:t xml:space="preserve">Quantum Circuit Optimization Research Project</w:t>
      </w:r>
    </w:p>
    <w:p>
      <w:pPr>
        <w:pStyle w:val="Heading1"/>
        <w:spacing w:after="200" w:before="360"/>
      </w:pPr>
      <w:r>
        <w:rPr>
          <w:rFonts w:ascii="Calibri" w:cs="Calibri" w:eastAsia="Calibri" w:hAnsi="Calibri"/>
          <w:b/>
          <w:bCs/>
          <w:color w:val="1B4F72"/>
          <w:sz w:val="30"/>
          <w:szCs w:val="30"/>
        </w:rPr>
        <w:t xml:space="preserve">Section 1 — Overview</w:t>
      </w:r>
    </w:p>
    <w:p>
      <w:pPr>
        <w:spacing w:after="120"/>
        <w:jc w:val="left"/>
      </w:pPr>
      <w:r>
        <w:rPr>
          <w:rFonts w:ascii="Calibri" w:cs="Calibri" w:eastAsia="Calibri" w:hAnsi="Calibri"/>
          <w:b w:val="false"/>
          <w:bCs w:val="false"/>
          <w:i w:val="false"/>
          <w:iCs w:val="false"/>
          <w:color w:val="2C3E50"/>
          <w:sz w:val="22"/>
          <w:szCs w:val="22"/>
        </w:rPr>
        <w:t xml:space="preserve">Analysis of 15 circuit families × 3 optimizers = 45 samples to identify which structural features causally determine optimization outcomes.</w:t>
      </w:r>
    </w:p>
    <w:p>
      <w:pPr>
        <w:spacing w:after="80"/>
        <w:jc w:val="left"/>
      </w:pPr>
      <w:r>
        <w:rPr>
          <w:rFonts w:ascii="Calibri" w:cs="Calibri" w:eastAsia="Calibri" w:hAnsi="Calibri"/>
          <w:b w:val="false"/>
          <w:bCs w:val="false"/>
          <w:i w:val="false"/>
          <w:iCs w:val="false"/>
          <w:color w:val="2C3E50"/>
          <w:sz w:val="22"/>
          <w:szCs w:val="22"/>
        </w:rPr>
        <w:t xml:space="preserve">This report employs multiple complementary techniques to assess feature importance:</w:t>
      </w:r>
    </w:p>
    <w:p>
      <w:pPr>
        <w:spacing w:after="60"/>
        <w:ind w:left="576"/>
        <w:jc w:val="left"/>
      </w:pPr>
      <w:r>
        <w:rPr>
          <w:rFonts w:ascii="Calibri" w:cs="Calibri" w:eastAsia="Calibri" w:hAnsi="Calibri"/>
          <w:b w:val="false"/>
          <w:bCs w:val="false"/>
          <w:i w:val="false"/>
          <w:iCs w:val="false"/>
          <w:color w:val="2C3E50"/>
          <w:sz w:val="22"/>
          <w:szCs w:val="22"/>
        </w:rPr>
        <w:t xml:space="preserve">• Pearson correlation (linear relationships)</w:t>
      </w:r>
    </w:p>
    <w:p>
      <w:pPr>
        <w:spacing w:after="60"/>
        <w:ind w:left="576"/>
        <w:jc w:val="left"/>
      </w:pPr>
      <w:r>
        <w:rPr>
          <w:rFonts w:ascii="Calibri" w:cs="Calibri" w:eastAsia="Calibri" w:hAnsi="Calibri"/>
          <w:b w:val="false"/>
          <w:bCs w:val="false"/>
          <w:i w:val="false"/>
          <w:iCs w:val="false"/>
          <w:color w:val="2C3E50"/>
          <w:sz w:val="22"/>
          <w:szCs w:val="22"/>
        </w:rPr>
        <w:t xml:space="preserve">• Spearman rank correlation (monotonic/nonlinear relationships)</w:t>
      </w:r>
    </w:p>
    <w:p>
      <w:pPr>
        <w:spacing w:after="60"/>
        <w:ind w:left="576"/>
        <w:jc w:val="left"/>
      </w:pPr>
      <w:r>
        <w:rPr>
          <w:rFonts w:ascii="Calibri" w:cs="Calibri" w:eastAsia="Calibri" w:hAnsi="Calibri"/>
          <w:b w:val="false"/>
          <w:bCs w:val="false"/>
          <w:i w:val="false"/>
          <w:iCs w:val="false"/>
          <w:color w:val="2C3E50"/>
          <w:sz w:val="22"/>
          <w:szCs w:val="22"/>
        </w:rPr>
        <w:t xml:space="preserve">• Causal analysis via group mean differences (reduction=0 vs. reduction&gt;0)</w:t>
      </w:r>
    </w:p>
    <w:p>
      <w:pPr>
        <w:spacing w:after="160"/>
        <w:ind w:left="576"/>
        <w:jc w:val="left"/>
      </w:pPr>
      <w:r>
        <w:rPr>
          <w:rFonts w:ascii="Calibri" w:cs="Calibri" w:eastAsia="Calibri" w:hAnsi="Calibri"/>
          <w:b w:val="false"/>
          <w:bCs w:val="false"/>
          <w:i w:val="false"/>
          <w:iCs w:val="false"/>
          <w:color w:val="2C3E50"/>
          <w:sz w:val="22"/>
          <w:szCs w:val="22"/>
        </w:rPr>
        <w:t xml:space="preserve">• Machine learning feature importances (Gradient Boosting, Random Forest)</w:t>
      </w:r>
    </w:p>
    <w:p>
      <w:pPr>
        <w:pStyle w:val="Heading1"/>
        <w:spacing w:after="200" w:before="360"/>
      </w:pPr>
      <w:r>
        <w:rPr>
          <w:rFonts w:ascii="Calibri" w:cs="Calibri" w:eastAsia="Calibri" w:hAnsi="Calibri"/>
          <w:b/>
          <w:bCs/>
          <w:color w:val="1B4F72"/>
          <w:sz w:val="30"/>
          <w:szCs w:val="30"/>
        </w:rPr>
        <w:t xml:space="preserve">Section 2 — Correlation Matrix (Pearson)</w:t>
      </w:r>
    </w:p>
    <w:p>
      <w:pPr>
        <w:spacing w:after="160"/>
        <w:jc w:val="left"/>
      </w:pPr>
      <w:r>
        <w:rPr>
          <w:rFonts w:ascii="Calibri" w:cs="Calibri" w:eastAsia="Calibri" w:hAnsi="Calibri"/>
          <w:b w:val="false"/>
          <w:bCs w:val="false"/>
          <w:i w:val="false"/>
          <w:iCs w:val="false"/>
          <w:color w:val="2C3E50"/>
          <w:sz w:val="22"/>
          <w:szCs w:val="22"/>
        </w:rPr>
        <w:t xml:space="preserve">Pearson correlation measures linear association between each feature and gate reduction ratio. Features are sorted by absolute correlation strength.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34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Feature</w:t>
            </w:r>
          </w:p>
        </w:tc>
        <w:tc>
          <w:tcPr>
            <w:tcW w:type="dxa" w:w="15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Pearson r</w:t>
            </w:r>
          </w:p>
        </w:tc>
        <w:tc>
          <w:tcPr>
            <w:tcW w:type="dxa" w:w="15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p-value</w:t>
            </w:r>
          </w:p>
        </w:tc>
        <w:tc>
          <w:tcPr>
            <w:tcW w:type="dxa" w:w="21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Classification</w:t>
            </w:r>
          </w:p>
        </w:tc>
      </w:tr>
      <w:tr>
        <w:tc>
          <w:tcPr>
            <w:tcW w:type="dxa" w:w="34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structural_upper_bound_reduction</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0.789</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&lt;1e-10</w:t>
            </w:r>
          </w:p>
        </w:tc>
        <w:tc>
          <w:tcPr>
            <w:tcW w:type="dxa" w:w="2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7AE60"/>
                <w:sz w:val="20"/>
                <w:szCs w:val="20"/>
              </w:rPr>
              <w:t xml:space="preserve">Strong</w:t>
            </w:r>
          </w:p>
        </w:tc>
      </w:tr>
      <w:tr>
        <w:tc>
          <w:tcPr>
            <w:tcW w:type="dxa" w:w="34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cancellable_pair_count</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0.745</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&lt;1e-10</w:t>
            </w:r>
          </w:p>
        </w:tc>
        <w:tc>
          <w:tcPr>
            <w:tcW w:type="dxa" w:w="2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7AE60"/>
                <w:sz w:val="20"/>
                <w:szCs w:val="20"/>
              </w:rPr>
              <w:t xml:space="preserve">Strong</w:t>
            </w:r>
          </w:p>
        </w:tc>
      </w:tr>
      <w:tr>
        <w:tc>
          <w:tcPr>
            <w:tcW w:type="dxa" w:w="34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inverse_pair_density</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0.745</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&lt;1e-10</w:t>
            </w:r>
          </w:p>
        </w:tc>
        <w:tc>
          <w:tcPr>
            <w:tcW w:type="dxa" w:w="2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7AE60"/>
                <w:sz w:val="20"/>
                <w:szCs w:val="20"/>
              </w:rPr>
              <w:t xml:space="preserve">Strong (CAUSAL)</w:t>
            </w:r>
          </w:p>
        </w:tc>
      </w:tr>
      <w:tr>
        <w:tc>
          <w:tcPr>
            <w:tcW w:type="dxa" w:w="34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two_qubit_ratio</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0.368</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0.013</w:t>
            </w:r>
          </w:p>
        </w:tc>
        <w:tc>
          <w:tcPr>
            <w:tcW w:type="dxa" w:w="2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E67E22"/>
                <w:sz w:val="20"/>
                <w:szCs w:val="20"/>
              </w:rPr>
              <w:t xml:space="preserve">Moderate</w:t>
            </w:r>
          </w:p>
        </w:tc>
      </w:tr>
      <w:tr>
        <w:tc>
          <w:tcPr>
            <w:tcW w:type="dxa" w:w="34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commutation_density</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0.175</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0.251</w:t>
            </w:r>
          </w:p>
        </w:tc>
        <w:tc>
          <w:tcPr>
            <w:tcW w:type="dxa" w:w="2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E74C3C"/>
                <w:sz w:val="20"/>
                <w:szCs w:val="20"/>
              </w:rPr>
              <w:t xml:space="preserve">Weak (Pearson)</w:t>
            </w:r>
          </w:p>
        </w:tc>
      </w:tr>
      <w:tr>
        <w:tc>
          <w:tcPr>
            <w:tcW w:type="dxa" w:w="34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gate_count_total</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-0.052</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0.733</w:t>
            </w:r>
          </w:p>
        </w:tc>
        <w:tc>
          <w:tcPr>
            <w:tcW w:type="dxa" w:w="2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E74C3C"/>
                <w:sz w:val="20"/>
                <w:szCs w:val="20"/>
              </w:rPr>
              <w:t xml:space="preserve">None</w:t>
            </w:r>
          </w:p>
        </w:tc>
      </w:tr>
    </w:tbl>
    <w:p>
      <w:pPr>
        <w:spacing w:after="120"/>
        <w:jc w:val="left"/>
      </w:pPr>
      <w:r>
        <w:rPr>
          <w:rFonts w:ascii="Calibri" w:cs="Calibri" w:eastAsia="Calibri" w:hAnsi="Calibri"/>
          <w:b w:val="false"/>
          <w:bCs w:val="false"/>
          <w:i w:val="false"/>
          <w:iCs w:val="false"/>
          <w:color w:val="2C3E50"/>
          <w:sz w:val="22"/>
          <w:szCs w:val="22"/>
        </w:rPr>
        <w:t xml:space="preserve"/>
      </w:r>
    </w:p>
    <w:p>
      <w:pPr>
        <w:spacing w:after="160"/>
        <w:jc w:val="left"/>
      </w:pPr>
      <w:r>
        <w:rPr>
          <w:rFonts w:ascii="Calibri" w:cs="Calibri" w:eastAsia="Calibri" w:hAnsi="Calibri"/>
          <w:b w:val="false"/>
          <w:bCs w:val="false"/>
          <w:i/>
          <w:iCs/>
          <w:color w:val="2C3E50"/>
          <w:sz w:val="22"/>
          <w:szCs w:val="22"/>
        </w:rPr>
        <w:t xml:space="preserve">Note: commutation_density shows weak Pearson correlation (r=0.175) but this is misleading — its true importance emerges in the Spearman analysis (Section 3) and multilinear modeling where it captures nonlinear effects.</w:t>
      </w:r>
    </w:p>
    <w:p>
      <w:pPr>
        <w:pStyle w:val="Heading1"/>
        <w:spacing w:after="200" w:before="360"/>
      </w:pPr>
      <w:r>
        <w:rPr>
          <w:rFonts w:ascii="Calibri" w:cs="Calibri" w:eastAsia="Calibri" w:hAnsi="Calibri"/>
          <w:b/>
          <w:bCs/>
          <w:color w:val="1B4F72"/>
          <w:sz w:val="30"/>
          <w:szCs w:val="30"/>
        </w:rPr>
        <w:t xml:space="preserve">Section 3 — Correlation Matrix (Spearman — Captures Nonlinear)</w:t>
      </w:r>
    </w:p>
    <w:p>
      <w:pPr>
        <w:spacing w:after="160"/>
        <w:jc w:val="left"/>
      </w:pPr>
      <w:r>
        <w:rPr>
          <w:rFonts w:ascii="Calibri" w:cs="Calibri" w:eastAsia="Calibri" w:hAnsi="Calibri"/>
          <w:b w:val="false"/>
          <w:bCs w:val="false"/>
          <w:i w:val="false"/>
          <w:iCs w:val="false"/>
          <w:color w:val="2C3E50"/>
          <w:sz w:val="22"/>
          <w:szCs w:val="22"/>
        </w:rPr>
        <w:t xml:space="preserve">Spearman rank correlation captures monotonic (including nonlinear) relationships. This reveals the true importance of commutation_density, which has a nonlinear association with reduction.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34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Feature</w:t>
            </w:r>
          </w:p>
        </w:tc>
        <w:tc>
          <w:tcPr>
            <w:tcW w:type="dxa" w:w="15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Spearman r</w:t>
            </w:r>
          </w:p>
        </w:tc>
        <w:tc>
          <w:tcPr>
            <w:tcW w:type="dxa" w:w="15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p-value</w:t>
            </w:r>
          </w:p>
        </w:tc>
        <w:tc>
          <w:tcPr>
            <w:tcW w:type="dxa" w:w="21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Classification</w:t>
            </w:r>
          </w:p>
        </w:tc>
      </w:tr>
      <w:tr>
        <w:tc>
          <w:tcPr>
            <w:tcW w:type="dxa" w:w="34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structural_upper_bound_reduction</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0.787</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&lt;1e-10</w:t>
            </w:r>
          </w:p>
        </w:tc>
        <w:tc>
          <w:tcPr>
            <w:tcW w:type="dxa" w:w="2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7AE60"/>
                <w:sz w:val="20"/>
                <w:szCs w:val="20"/>
              </w:rPr>
              <w:t xml:space="preserve">Strong</w:t>
            </w:r>
          </w:p>
        </w:tc>
      </w:tr>
      <w:tr>
        <w:tc>
          <w:tcPr>
            <w:tcW w:type="dxa" w:w="34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commutation_density</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0.651</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&lt;1e-6</w:t>
            </w:r>
          </w:p>
        </w:tc>
        <w:tc>
          <w:tcPr>
            <w:tcW w:type="dxa" w:w="2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7AE60"/>
                <w:sz w:val="20"/>
                <w:szCs w:val="20"/>
              </w:rPr>
              <w:t xml:space="preserve">Strong (CAUSAL)</w:t>
            </w:r>
          </w:p>
        </w:tc>
      </w:tr>
      <w:tr>
        <w:tc>
          <w:tcPr>
            <w:tcW w:type="dxa" w:w="34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commutation_enabled_inverse_pairs</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0.651</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&lt;1e-6</w:t>
            </w:r>
          </w:p>
        </w:tc>
        <w:tc>
          <w:tcPr>
            <w:tcW w:type="dxa" w:w="2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7AE60"/>
                <w:sz w:val="20"/>
                <w:szCs w:val="20"/>
              </w:rPr>
              <w:t xml:space="preserve">Strong</w:t>
            </w:r>
          </w:p>
        </w:tc>
      </w:tr>
      <w:tr>
        <w:tc>
          <w:tcPr>
            <w:tcW w:type="dxa" w:w="34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inverse_pair_density</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0.546</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0.0001</w:t>
            </w:r>
          </w:p>
        </w:tc>
        <w:tc>
          <w:tcPr>
            <w:tcW w:type="dxa" w:w="2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E67E22"/>
                <w:sz w:val="20"/>
                <w:szCs w:val="20"/>
              </w:rPr>
              <w:t xml:space="preserve">Moderate</w:t>
            </w:r>
          </w:p>
        </w:tc>
      </w:tr>
      <w:tr>
        <w:tc>
          <w:tcPr>
            <w:tcW w:type="dxa" w:w="34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gate_count_total</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0.311</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0.038</w:t>
            </w:r>
          </w:p>
        </w:tc>
        <w:tc>
          <w:tcPr>
            <w:tcW w:type="dxa" w:w="2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E74C3C"/>
                <w:sz w:val="20"/>
                <w:szCs w:val="20"/>
              </w:rPr>
              <w:t xml:space="preserve">Weak</w:t>
            </w:r>
          </w:p>
        </w:tc>
      </w:tr>
    </w:tbl>
    <w:p>
      <w:pPr>
        <w:spacing w:after="120"/>
        <w:jc w:val="left"/>
      </w:pPr>
      <w:r>
        <w:rPr>
          <w:rFonts w:ascii="Calibri" w:cs="Calibri" w:eastAsia="Calibri" w:hAnsi="Calibri"/>
          <w:b w:val="false"/>
          <w:bCs w:val="false"/>
          <w:i w:val="false"/>
          <w:iCs w:val="false"/>
          <w:color w:val="2C3E50"/>
          <w:sz w:val="22"/>
          <w:szCs w:val="22"/>
        </w:rPr>
        <w:t xml:space="preserve"/>
      </w:r>
    </w:p>
    <w:p>
      <w:pPr>
        <w:pBdr>
          <w:left w:val="single" w:color="E67E22" w:sz="8"/>
        </w:pBdr>
        <w:shd w:fill="FDEBD0" w:val="clear"/>
        <w:spacing w:after="160" w:before="160"/>
        <w:ind w:left="431" w:right="431"/>
      </w:pPr>
      <w:r>
        <w:rPr>
          <w:rFonts w:ascii="Calibri" w:cs="Calibri" w:eastAsia="Calibri" w:hAnsi="Calibri"/>
          <w:b/>
          <w:bCs/>
          <w:color w:val="E67E22"/>
          <w:sz w:val="22"/>
          <w:szCs w:val="22"/>
        </w:rPr>
        <w:t xml:space="preserve">KEY FINDING: </w:t>
      </w:r>
      <w:r>
        <w:rPr>
          <w:rFonts w:ascii="Calibri" w:cs="Calibri" w:eastAsia="Calibri" w:hAnsi="Calibri"/>
          <w:color w:val="2C3E50"/>
          <w:sz w:val="22"/>
          <w:szCs w:val="22"/>
        </w:rPr>
        <w:t xml:space="preserve">Commutation density jumps from Pearson r=0.175 (weak) to Spearman r=0.651 (strong), revealing a nonlinear monotonic relationship. This feature drives Phase-2 optimization and is essential for the multilinear model.</w:t>
      </w:r>
    </w:p>
    <w:p>
      <w:pPr>
        <w:pStyle w:val="Heading1"/>
        <w:spacing w:after="200" w:before="360"/>
      </w:pPr>
      <w:r>
        <w:rPr>
          <w:rFonts w:ascii="Calibri" w:cs="Calibri" w:eastAsia="Calibri" w:hAnsi="Calibri"/>
          <w:b/>
          <w:bCs/>
          <w:color w:val="1B4F72"/>
          <w:sz w:val="30"/>
          <w:szCs w:val="30"/>
        </w:rPr>
        <w:t xml:space="preserve">Section 4 — Causal Analysis</w:t>
      </w:r>
    </w:p>
    <w:p>
      <w:pPr>
        <w:spacing w:after="160"/>
        <w:jc w:val="left"/>
      </w:pPr>
      <w:r>
        <w:rPr>
          <w:rFonts w:ascii="Calibri" w:cs="Calibri" w:eastAsia="Calibri" w:hAnsi="Calibri"/>
          <w:b w:val="false"/>
          <w:bCs w:val="false"/>
          <w:i w:val="false"/>
          <w:iCs w:val="false"/>
          <w:color w:val="2C3E50"/>
          <w:sz w:val="22"/>
          <w:szCs w:val="22"/>
        </w:rPr>
        <w:t xml:space="preserve">To distinguish correlation from potential causation, we compared feature means between two groups: circuits with zero reduction (optimization ineffective) and circuits with nonzero reduction (optimization beneficial). Large mean differences suggest causal influence.</w:t>
      </w:r>
    </w:p>
    <w:p>
      <w:pPr>
        <w:pStyle w:val="Heading2"/>
        <w:spacing w:after="120" w:before="240"/>
      </w:pPr>
      <w:r>
        <w:rPr>
          <w:rFonts w:ascii="Calibri" w:cs="Calibri" w:eastAsia="Calibri" w:hAnsi="Calibri"/>
          <w:b/>
          <w:bCs/>
          <w:color w:val="2E86C1"/>
          <w:sz w:val="26"/>
          <w:szCs w:val="26"/>
        </w:rPr>
        <w:t xml:space="preserve">Group Mean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6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Feature</w:t>
            </w:r>
          </w:p>
        </w:tc>
        <w:tc>
          <w:tcPr>
            <w:tcW w:type="dxa" w:w="16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Mean (reduction=0)</w:t>
            </w:r>
          </w:p>
        </w:tc>
        <w:tc>
          <w:tcPr>
            <w:tcW w:type="dxa" w:w="17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Mean (reduction&gt;0)</w:t>
            </w:r>
          </w:p>
        </w:tc>
        <w:tc>
          <w:tcPr>
            <w:tcW w:type="dxa" w:w="11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Ratio</w:t>
            </w:r>
          </w:p>
        </w:tc>
        <w:tc>
          <w:tcPr>
            <w:tcW w:type="dxa" w:w="1500"/>
            <w:tcBorders>
              <w:top w:val="single" w:color="BDC3C7" w:sz="1"/>
              <w:left w:val="single" w:color="BDC3C7" w:sz="1"/>
              <w:bottom w:val="single" w:color="BDC3C7" w:sz="1"/>
              <w:right w:val="single" w:color="BDC3C7" w:sz="1"/>
            </w:tcBorders>
            <w:shd w:fill="1B4F72" w:val="clear"/>
          </w:tcPr>
          <w:p>
            <w:pPr>
              <w:spacing w:after="60" w:before="60"/>
              <w:jc w:val="center"/>
            </w:pPr>
            <w:r>
              <w:rPr>
                <w:rFonts w:ascii="Calibri" w:cs="Calibri" w:eastAsia="Calibri" w:hAnsi="Calibri"/>
                <w:b/>
                <w:bCs/>
                <w:color w:val="FFFFFF"/>
                <w:sz w:val="20"/>
                <w:szCs w:val="20"/>
              </w:rPr>
              <w:t xml:space="preserve">Assessment</w:t>
            </w:r>
          </w:p>
        </w:tc>
      </w:tr>
      <w:tr>
        <w:tc>
          <w:tcPr>
            <w:tcW w:type="dxa" w:w="26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inverse_pair_density</w:t>
            </w:r>
          </w:p>
        </w:tc>
        <w:tc>
          <w:tcPr>
            <w:tcW w:type="dxa" w:w="16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0.015</w:t>
            </w:r>
          </w:p>
        </w:tc>
        <w:tc>
          <w:tcPr>
            <w:tcW w:type="dxa" w:w="17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0.094</w:t>
            </w:r>
          </w:p>
        </w:tc>
        <w:tc>
          <w:tcPr>
            <w:tcW w:type="dxa" w:w="1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6.4×</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Potential causal</w:t>
            </w:r>
          </w:p>
        </w:tc>
      </w:tr>
      <w:tr>
        <w:tc>
          <w:tcPr>
            <w:tcW w:type="dxa" w:w="26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commutation_density</w:t>
            </w:r>
          </w:p>
        </w:tc>
        <w:tc>
          <w:tcPr>
            <w:tcW w:type="dxa" w:w="16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0.009</w:t>
            </w:r>
          </w:p>
        </w:tc>
        <w:tc>
          <w:tcPr>
            <w:tcW w:type="dxa" w:w="17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0.071</w:t>
            </w:r>
          </w:p>
        </w:tc>
        <w:tc>
          <w:tcPr>
            <w:tcW w:type="dxa" w:w="1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7.5×</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Potential causal</w:t>
            </w:r>
          </w:p>
        </w:tc>
      </w:tr>
      <w:tr>
        <w:tc>
          <w:tcPr>
            <w:tcW w:type="dxa" w:w="2600"/>
            <w:tcBorders>
              <w:top w:val="single" w:color="BDC3C7" w:sz="1"/>
              <w:left w:val="single" w:color="BDC3C7" w:sz="1"/>
              <w:bottom w:val="single" w:color="BDC3C7" w:sz="1"/>
              <w:right w:val="single" w:color="BDC3C7" w:sz="1"/>
            </w:tcBorders>
            <w:shd w:fill="EBF5FB" w:val="clear"/>
          </w:tcPr>
          <w:p>
            <w:pPr>
              <w:spacing w:after="40" w:before="40"/>
              <w:jc w:val="left"/>
            </w:pPr>
            <w:r>
              <w:rPr>
                <w:rFonts w:ascii="Calibri" w:cs="Calibri" w:eastAsia="Calibri" w:hAnsi="Calibri"/>
                <w:color w:val="2C3E50"/>
                <w:sz w:val="20"/>
                <w:szCs w:val="20"/>
              </w:rPr>
              <w:t xml:space="preserve">cancellable_pair_count</w:t>
            </w:r>
          </w:p>
        </w:tc>
        <w:tc>
          <w:tcPr>
            <w:tcW w:type="dxa" w:w="16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0.353</w:t>
            </w:r>
          </w:p>
        </w:tc>
        <w:tc>
          <w:tcPr>
            <w:tcW w:type="dxa" w:w="17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2.273</w:t>
            </w:r>
          </w:p>
        </w:tc>
        <w:tc>
          <w:tcPr>
            <w:tcW w:type="dxa" w:w="11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6.4×</w:t>
            </w:r>
          </w:p>
        </w:tc>
        <w:tc>
          <w:tcPr>
            <w:tcW w:type="dxa" w:w="1500"/>
            <w:tcBorders>
              <w:top w:val="single" w:color="BDC3C7" w:sz="1"/>
              <w:left w:val="single" w:color="BDC3C7" w:sz="1"/>
              <w:bottom w:val="single" w:color="BDC3C7" w:sz="1"/>
              <w:right w:val="single" w:color="BDC3C7" w:sz="1"/>
            </w:tcBorders>
            <w:shd w:fill="EBF5FB" w:val="clear"/>
          </w:tcPr>
          <w:p>
            <w:pPr>
              <w:spacing w:after="40" w:before="40"/>
              <w:jc w:val="center"/>
            </w:pPr>
            <w:r>
              <w:rPr>
                <w:rFonts w:ascii="Calibri" w:cs="Calibri" w:eastAsia="Calibri" w:hAnsi="Calibri"/>
                <w:color w:val="2C3E50"/>
                <w:sz w:val="20"/>
                <w:szCs w:val="20"/>
              </w:rPr>
              <w:t xml:space="preserve">Potential causal</w:t>
            </w:r>
          </w:p>
        </w:tc>
      </w:tr>
      <w:tr>
        <w:tc>
          <w:tcPr>
            <w:tcW w:type="dxa" w:w="2600"/>
            <w:tcBorders>
              <w:top w:val="single" w:color="BDC3C7" w:sz="1"/>
              <w:left w:val="single" w:color="BDC3C7" w:sz="1"/>
              <w:bottom w:val="single" w:color="BDC3C7" w:sz="1"/>
              <w:right w:val="single" w:color="BDC3C7" w:sz="1"/>
            </w:tcBorders>
            <w:shd w:fill="FFFFFF" w:val="clear"/>
          </w:tcPr>
          <w:p>
            <w:pPr>
              <w:spacing w:after="40" w:before="40"/>
              <w:jc w:val="left"/>
            </w:pPr>
            <w:r>
              <w:rPr>
                <w:rFonts w:ascii="Calibri" w:cs="Calibri" w:eastAsia="Calibri" w:hAnsi="Calibri"/>
                <w:color w:val="2C3E50"/>
                <w:sz w:val="20"/>
                <w:szCs w:val="20"/>
              </w:rPr>
              <w:t xml:space="preserve">structural_upper_bound</w:t>
            </w:r>
          </w:p>
        </w:tc>
        <w:tc>
          <w:tcPr>
            <w:tcW w:type="dxa" w:w="16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0.048</w:t>
            </w:r>
          </w:p>
        </w:tc>
        <w:tc>
          <w:tcPr>
            <w:tcW w:type="dxa" w:w="17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0.331</w:t>
            </w:r>
          </w:p>
        </w:tc>
        <w:tc>
          <w:tcPr>
            <w:tcW w:type="dxa" w:w="11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6.9×</w:t>
            </w:r>
          </w:p>
        </w:tc>
        <w:tc>
          <w:tcPr>
            <w:tcW w:type="dxa" w:w="1500"/>
            <w:tcBorders>
              <w:top w:val="single" w:color="BDC3C7" w:sz="1"/>
              <w:left w:val="single" w:color="BDC3C7" w:sz="1"/>
              <w:bottom w:val="single" w:color="BDC3C7" w:sz="1"/>
              <w:right w:val="single" w:color="BDC3C7" w:sz="1"/>
            </w:tcBorders>
            <w:shd w:fill="FFFFFF" w:val="clear"/>
          </w:tcPr>
          <w:p>
            <w:pPr>
              <w:spacing w:after="40" w:before="40"/>
              <w:jc w:val="center"/>
            </w:pPr>
            <w:r>
              <w:rPr>
                <w:rFonts w:ascii="Calibri" w:cs="Calibri" w:eastAsia="Calibri" w:hAnsi="Calibri"/>
                <w:color w:val="2C3E50"/>
                <w:sz w:val="20"/>
                <w:szCs w:val="20"/>
              </w:rPr>
              <w:t xml:space="preserve">Potential causal</w:t>
            </w:r>
          </w:p>
        </w:tc>
      </w:tr>
    </w:tbl>
    <w:p>
      <w:pPr>
        <w:spacing w:after="120"/>
        <w:jc w:val="left"/>
      </w:pPr>
      <w:r>
        <w:rPr>
          <w:rFonts w:ascii="Calibri" w:cs="Calibri" w:eastAsia="Calibri" w:hAnsi="Calibri"/>
          <w:b w:val="false"/>
          <w:bCs w:val="false"/>
          <w:i w:val="false"/>
          <w:iCs w:val="false"/>
          <w:color w:val="2C3E50"/>
          <w:sz w:val="22"/>
          <w:szCs w:val="22"/>
        </w:rPr>
        <w:t xml:space="preserve"/>
      </w:r>
    </w:p>
    <w:p>
      <w:pPr>
        <w:spacing w:after="160"/>
        <w:jc w:val="left"/>
      </w:pPr>
      <w:r>
        <w:rPr>
          <w:rFonts w:ascii="Calibri" w:cs="Calibri" w:eastAsia="Calibri" w:hAnsi="Calibri"/>
          <w:b w:val="false"/>
          <w:bCs w:val="false"/>
          <w:i w:val="false"/>
          <w:iCs w:val="false"/>
          <w:color w:val="2C3E50"/>
          <w:sz w:val="22"/>
          <w:szCs w:val="22"/>
        </w:rPr>
        <w:t xml:space="preserve">All four features show 6–7.5× differences in group means, strongly suggesting causal influence on optimization effectiveness. The two features in our multilinear model (inverse_pair_density and commutation_density) show the clearest causal signatures.</w:t>
      </w:r>
    </w:p>
    <w:p>
      <w:pPr>
        <w:pStyle w:val="Heading1"/>
        <w:spacing w:after="200" w:before="360"/>
      </w:pPr>
      <w:r>
        <w:rPr>
          <w:rFonts w:ascii="Calibri" w:cs="Calibri" w:eastAsia="Calibri" w:hAnsi="Calibri"/>
          <w:b/>
          <w:bCs/>
          <w:color w:val="1B4F72"/>
          <w:sz w:val="30"/>
          <w:szCs w:val="30"/>
        </w:rPr>
        <w:t xml:space="preserve">Section 5 — Feature Importance from ML Models</w:t>
      </w:r>
    </w:p>
    <w:p>
      <w:pPr>
        <w:spacing w:after="160"/>
        <w:jc w:val="left"/>
      </w:pPr>
      <w:r>
        <w:rPr>
          <w:rFonts w:ascii="Calibri" w:cs="Calibri" w:eastAsia="Calibri" w:hAnsi="Calibri"/>
          <w:b w:val="false"/>
          <w:bCs w:val="false"/>
          <w:i w:val="false"/>
          <w:iCs w:val="false"/>
          <w:color w:val="2C3E50"/>
          <w:sz w:val="22"/>
          <w:szCs w:val="22"/>
        </w:rPr>
        <w:t xml:space="preserve">Despite overfitting concerns (see D2), ML feature importances provide complementary evidence about which features drive predictions.</w:t>
      </w:r>
    </w:p>
    <w:p>
      <w:pPr>
        <w:pStyle w:val="Heading2"/>
        <w:spacing w:after="120" w:before="240"/>
      </w:pPr>
      <w:r>
        <w:rPr>
          <w:rFonts w:ascii="Calibri" w:cs="Calibri" w:eastAsia="Calibri" w:hAnsi="Calibri"/>
          <w:b/>
          <w:bCs/>
          <w:color w:val="2E86C1"/>
          <w:sz w:val="26"/>
          <w:szCs w:val="26"/>
        </w:rPr>
        <w:t xml:space="preserve">Gradient Boosting Feature Importances</w:t>
      </w:r>
    </w:p>
    <w:p>
      <w:pPr>
        <w:spacing w:after="80"/>
        <w:jc w:val="left"/>
      </w:pPr>
      <w:r>
        <w:rPr>
          <w:rFonts w:ascii="Calibri" w:cs="Calibri" w:eastAsia="Calibri" w:hAnsi="Calibri"/>
          <w:b w:val="false"/>
          <w:bCs w:val="false"/>
          <w:i/>
          <w:iCs/>
          <w:color w:val="2C3E50"/>
          <w:sz w:val="22"/>
          <w:szCs w:val="22"/>
        </w:rPr>
        <w:t xml:space="preserve">Model: GradientBoostingRegressor(n_estimators=100), trained on all 45 samples</w:t>
      </w:r>
    </w:p>
    <w:p>
      <w:pPr>
        <w:spacing w:after="60"/>
        <w:ind w:left="288"/>
      </w:pPr>
      <w:r>
        <w:rPr>
          <w:rFonts w:ascii="Consolas" w:cs="Consolas" w:eastAsia="Consolas" w:hAnsi="Consolas"/>
          <w:color w:val="2C3E50"/>
          <w:sz w:val="20"/>
          <w:szCs w:val="20"/>
        </w:rPr>
        <w:t xml:space="preserve">two_qubit_ratio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27.9%</w:t>
      </w:r>
    </w:p>
    <w:p>
      <w:pPr>
        <w:spacing w:after="60"/>
        <w:ind w:left="288"/>
      </w:pPr>
      <w:r>
        <w:rPr>
          <w:rFonts w:ascii="Consolas" w:cs="Consolas" w:eastAsia="Consolas" w:hAnsi="Consolas"/>
          <w:color w:val="2C3E50"/>
          <w:sz w:val="20"/>
          <w:szCs w:val="20"/>
        </w:rPr>
        <w:t xml:space="preserve">opt_greedy_phase1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21.2%</w:t>
      </w:r>
    </w:p>
    <w:p>
      <w:pPr>
        <w:spacing w:after="60"/>
        <w:ind w:left="288"/>
      </w:pPr>
      <w:r>
        <w:rPr>
          <w:rFonts w:ascii="Consolas" w:cs="Consolas" w:eastAsia="Consolas" w:hAnsi="Consolas"/>
          <w:color w:val="2C3E50"/>
          <w:sz w:val="20"/>
          <w:szCs w:val="20"/>
        </w:rPr>
        <w:t xml:space="preserve">opt_hybrid_phase1_2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15.4%</w:t>
      </w:r>
    </w:p>
    <w:p>
      <w:pPr>
        <w:spacing w:after="60"/>
        <w:ind w:left="288"/>
      </w:pPr>
      <w:r>
        <w:rPr>
          <w:rFonts w:ascii="Consolas" w:cs="Consolas" w:eastAsia="Consolas" w:hAnsi="Consolas"/>
          <w:color w:val="2C3E50"/>
          <w:sz w:val="20"/>
          <w:szCs w:val="20"/>
        </w:rPr>
        <w:t xml:space="preserve">structural_upper_bound_reduction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14.8%</w:t>
      </w:r>
    </w:p>
    <w:p>
      <w:pPr>
        <w:spacing w:after="60"/>
        <w:ind w:left="288"/>
      </w:pPr>
      <w:r>
        <w:rPr>
          <w:rFonts w:ascii="Consolas" w:cs="Consolas" w:eastAsia="Consolas" w:hAnsi="Consolas"/>
          <w:color w:val="2C3E50"/>
          <w:sz w:val="20"/>
          <w:szCs w:val="20"/>
        </w:rPr>
        <w:t xml:space="preserve">cancellable_pair_count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7.0%</w:t>
      </w:r>
    </w:p>
    <w:p>
      <w:pPr>
        <w:spacing w:after="60"/>
        <w:ind w:left="288"/>
      </w:pPr>
      <w:r>
        <w:rPr>
          <w:rFonts w:ascii="Consolas" w:cs="Consolas" w:eastAsia="Consolas" w:hAnsi="Consolas"/>
          <w:color w:val="2C3E50"/>
          <w:sz w:val="20"/>
          <w:szCs w:val="20"/>
        </w:rPr>
        <w:t xml:space="preserve">(remaining features)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13.7%</w:t>
      </w:r>
    </w:p>
    <w:p>
      <w:pPr>
        <w:spacing w:after="120"/>
        <w:jc w:val="left"/>
      </w:pPr>
      <w:r>
        <w:rPr>
          <w:rFonts w:ascii="Calibri" w:cs="Calibri" w:eastAsia="Calibri" w:hAnsi="Calibri"/>
          <w:b w:val="false"/>
          <w:bCs w:val="false"/>
          <w:i w:val="false"/>
          <w:iCs w:val="false"/>
          <w:color w:val="2C3E50"/>
          <w:sz w:val="22"/>
          <w:szCs w:val="22"/>
        </w:rPr>
        <w:t xml:space="preserve"/>
      </w:r>
    </w:p>
    <w:p>
      <w:pPr>
        <w:spacing w:after="80"/>
        <w:jc w:val="left"/>
      </w:pPr>
      <w:r>
        <w:rPr>
          <w:rFonts w:ascii="Calibri" w:cs="Calibri" w:eastAsia="Calibri" w:hAnsi="Calibri"/>
          <w:b w:val="false"/>
          <w:bCs w:val="false"/>
          <w:i/>
          <w:iCs/>
          <w:color w:val="2C3E50"/>
          <w:sz w:val="22"/>
          <w:szCs w:val="22"/>
        </w:rPr>
        <w:t xml:space="preserve">Note: Optimizer type indicators (opt_greedy_phase1, opt_hybrid_phase1_2) rank highly because the GB model learns systematic differences between optimizers, not just circuit structure.</w:t>
      </w:r>
    </w:p>
    <w:p>
      <w:pPr>
        <w:pStyle w:val="Heading2"/>
        <w:spacing w:after="120" w:before="240"/>
      </w:pPr>
      <w:r>
        <w:rPr>
          <w:rFonts w:ascii="Calibri" w:cs="Calibri" w:eastAsia="Calibri" w:hAnsi="Calibri"/>
          <w:b/>
          <w:bCs/>
          <w:color w:val="2E86C1"/>
          <w:sz w:val="26"/>
          <w:szCs w:val="26"/>
        </w:rPr>
        <w:t xml:space="preserve">Random Forest Feature Importances (Optimize-or-Skip Classification)</w:t>
      </w:r>
    </w:p>
    <w:p>
      <w:pPr>
        <w:spacing w:after="80"/>
        <w:jc w:val="left"/>
      </w:pPr>
      <w:r>
        <w:rPr>
          <w:rFonts w:ascii="Calibri" w:cs="Calibri" w:eastAsia="Calibri" w:hAnsi="Calibri"/>
          <w:b w:val="false"/>
          <w:bCs w:val="false"/>
          <w:i/>
          <w:iCs/>
          <w:color w:val="2C3E50"/>
          <w:sz w:val="22"/>
          <w:szCs w:val="22"/>
        </w:rPr>
        <w:t xml:space="preserve">Model: RandomForestClassifier for binary decision (optimize vs. skip)</w:t>
      </w:r>
    </w:p>
    <w:p>
      <w:pPr>
        <w:spacing w:after="60"/>
        <w:ind w:left="288"/>
      </w:pPr>
      <w:r>
        <w:rPr>
          <w:rFonts w:ascii="Consolas" w:cs="Consolas" w:eastAsia="Consolas" w:hAnsi="Consolas"/>
          <w:color w:val="2C3E50"/>
          <w:sz w:val="20"/>
          <w:szCs w:val="20"/>
        </w:rPr>
        <w:t xml:space="preserve">structural_upper_bound_reduction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39.6%</w:t>
      </w:r>
    </w:p>
    <w:p>
      <w:pPr>
        <w:spacing w:after="60"/>
        <w:ind w:left="288"/>
      </w:pPr>
      <w:r>
        <w:rPr>
          <w:rFonts w:ascii="Consolas" w:cs="Consolas" w:eastAsia="Consolas" w:hAnsi="Consolas"/>
          <w:color w:val="2C3E50"/>
          <w:sz w:val="20"/>
          <w:szCs w:val="20"/>
        </w:rPr>
        <w:t xml:space="preserve">two_qubit_ratio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11.1%</w:t>
      </w:r>
    </w:p>
    <w:p>
      <w:pPr>
        <w:spacing w:after="60"/>
        <w:ind w:left="288"/>
      </w:pPr>
      <w:r>
        <w:rPr>
          <w:rFonts w:ascii="Consolas" w:cs="Consolas" w:eastAsia="Consolas" w:hAnsi="Consolas"/>
          <w:color w:val="2C3E50"/>
          <w:sz w:val="20"/>
          <w:szCs w:val="20"/>
        </w:rPr>
        <w:t xml:space="preserve">cancellable_ratio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9.6%</w:t>
      </w:r>
    </w:p>
    <w:p>
      <w:pPr>
        <w:spacing w:after="60"/>
        <w:ind w:left="288"/>
      </w:pPr>
      <w:r>
        <w:rPr>
          <w:rFonts w:ascii="Consolas" w:cs="Consolas" w:eastAsia="Consolas" w:hAnsi="Consolas"/>
          <w:color w:val="2C3E50"/>
          <w:sz w:val="20"/>
          <w:szCs w:val="20"/>
        </w:rPr>
        <w:t xml:space="preserve">gate_count_1q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8.8%</w:t>
      </w:r>
    </w:p>
    <w:p>
      <w:pPr>
        <w:spacing w:after="60"/>
        <w:ind w:left="288"/>
      </w:pPr>
      <w:r>
        <w:rPr>
          <w:rFonts w:ascii="Consolas" w:cs="Consolas" w:eastAsia="Consolas" w:hAnsi="Consolas"/>
          <w:color w:val="2C3E50"/>
          <w:sz w:val="20"/>
          <w:szCs w:val="20"/>
        </w:rPr>
        <w:t xml:space="preserve">cancellable_pair_count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7.9%</w:t>
      </w:r>
    </w:p>
    <w:p>
      <w:pPr>
        <w:spacing w:after="60"/>
        <w:ind w:left="288"/>
      </w:pPr>
      <w:r>
        <w:rPr>
          <w:rFonts w:ascii="Consolas" w:cs="Consolas" w:eastAsia="Consolas" w:hAnsi="Consolas"/>
          <w:color w:val="2C3E50"/>
          <w:sz w:val="20"/>
          <w:szCs w:val="20"/>
        </w:rPr>
        <w:t xml:space="preserve">(remaining features)                    </w:t>
      </w:r>
      <w:r>
        <w:rPr>
          <w:rFonts w:ascii="Consolas" w:cs="Consolas" w:eastAsia="Consolas" w:hAnsi="Consolas"/>
          <w:color w:val="2E86C1"/>
          <w:sz w:val="20"/>
          <w:szCs w:val="20"/>
        </w:rPr>
        <w:t xml:space="preserve">████████████</w:t>
      </w:r>
      <w:r>
        <w:rPr>
          <w:rFonts w:ascii="Consolas" w:cs="Consolas" w:eastAsia="Consolas" w:hAnsi="Consolas"/>
          <w:b/>
          <w:bCs/>
          <w:color w:val="1B4F72"/>
          <w:sz w:val="20"/>
          <w:szCs w:val="20"/>
        </w:rPr>
        <w:t xml:space="preserve">  23.0%</w:t>
      </w:r>
    </w:p>
    <w:p>
      <w:pPr>
        <w:spacing w:after="120"/>
        <w:jc w:val="left"/>
      </w:pPr>
      <w:r>
        <w:rPr>
          <w:rFonts w:ascii="Calibri" w:cs="Calibri" w:eastAsia="Calibri" w:hAnsi="Calibri"/>
          <w:b w:val="false"/>
          <w:bCs w:val="false"/>
          <w:i w:val="false"/>
          <w:iCs w:val="false"/>
          <w:color w:val="2C3E50"/>
          <w:sz w:val="22"/>
          <w:szCs w:val="22"/>
        </w:rPr>
        <w:t xml:space="preserve"/>
      </w:r>
    </w:p>
    <w:p>
      <w:pPr>
        <w:spacing w:after="160"/>
        <w:jc w:val="left"/>
      </w:pPr>
      <w:r>
        <w:rPr>
          <w:rFonts w:ascii="Calibri" w:cs="Calibri" w:eastAsia="Calibri" w:hAnsi="Calibri"/>
          <w:b w:val="false"/>
          <w:bCs w:val="false"/>
          <w:i w:val="false"/>
          <w:iCs w:val="false"/>
          <w:color w:val="2C3E50"/>
          <w:sz w:val="22"/>
          <w:szCs w:val="22"/>
        </w:rPr>
        <w:t xml:space="preserve">For the binary optimize-or-skip decision, structural_upper_bound_reduction dominates at 39.6%, confirming it as the single most discriminative feature for practical decision-making.</w:t>
      </w:r>
    </w:p>
    <w:p>
      <w:pPr>
        <w:pStyle w:val="Heading1"/>
        <w:spacing w:after="200" w:before="360"/>
      </w:pPr>
      <w:r>
        <w:rPr>
          <w:rFonts w:ascii="Calibri" w:cs="Calibri" w:eastAsia="Calibri" w:hAnsi="Calibri"/>
          <w:b/>
          <w:bCs/>
          <w:color w:val="1B4F72"/>
          <w:sz w:val="30"/>
          <w:szCs w:val="30"/>
        </w:rPr>
        <w:t xml:space="preserve">Section 6 — Key Finding: Two Features Dominate</w:t>
      </w:r>
    </w:p>
    <w:p>
      <w:pPr>
        <w:spacing w:after="160"/>
        <w:jc w:val="left"/>
      </w:pPr>
      <w:r>
        <w:rPr>
          <w:rFonts w:ascii="Calibri" w:cs="Calibri" w:eastAsia="Calibri" w:hAnsi="Calibri"/>
          <w:b w:val="false"/>
          <w:bCs w:val="false"/>
          <w:i w:val="false"/>
          <w:iCs w:val="false"/>
          <w:color w:val="2C3E50"/>
          <w:sz w:val="22"/>
          <w:szCs w:val="22"/>
        </w:rPr>
        <w:t xml:space="preserve">Across all analysis methods — Pearson correlation, Spearman correlation, causal group analysis, and ML feature importances — two features consistently emerge as the primary determinants of quantum circuit optimizability:</w:t>
      </w:r>
    </w:p>
    <w:p>
      <w:pPr>
        <w:pBdr>
          <w:left w:val="single" w:color="27AE60" w:sz="8"/>
        </w:pBdr>
        <w:shd w:fill="D5F5E3" w:val="clear"/>
        <w:spacing w:after="120" w:before="120"/>
        <w:ind w:left="431" w:right="431"/>
      </w:pPr>
      <w:r>
        <w:rPr>
          <w:rFonts w:ascii="Calibri" w:cs="Calibri" w:eastAsia="Calibri" w:hAnsi="Calibri"/>
          <w:b/>
          <w:bCs/>
          <w:color w:val="27AE60"/>
          <w:sz w:val="24"/>
          <w:szCs w:val="24"/>
        </w:rPr>
        <w:t xml:space="preserve">FEATURE 1: inverse_pair_density</w:t>
      </w:r>
    </w:p>
    <w:p>
      <w:pPr>
        <w:spacing w:after="80"/>
        <w:ind w:left="576"/>
      </w:pPr>
      <w:r>
        <w:rPr>
          <w:rFonts w:ascii="Calibri" w:cs="Calibri" w:eastAsia="Calibri" w:hAnsi="Calibri"/>
          <w:color w:val="2E86C1"/>
          <w:sz w:val="22"/>
          <w:szCs w:val="22"/>
        </w:rPr>
        <w:t xml:space="preserve">▸ </w:t>
      </w:r>
      <w:r>
        <w:rPr>
          <w:rFonts w:ascii="Calibri" w:cs="Calibri" w:eastAsia="Calibri" w:hAnsi="Calibri"/>
          <w:b/>
          <w:bCs/>
          <w:color w:val="2C3E50"/>
          <w:sz w:val="22"/>
          <w:szCs w:val="22"/>
        </w:rPr>
        <w:t xml:space="preserve">Pearson r: </w:t>
      </w:r>
      <w:r>
        <w:rPr>
          <w:rFonts w:ascii="Calibri" w:cs="Calibri" w:eastAsia="Calibri" w:hAnsi="Calibri"/>
          <w:color w:val="2C3E50"/>
          <w:sz w:val="22"/>
          <w:szCs w:val="22"/>
        </w:rPr>
        <w:t xml:space="preserve">0.745 (p &lt; 1e-10)</w:t>
      </w:r>
    </w:p>
    <w:p>
      <w:pPr>
        <w:spacing w:after="80"/>
        <w:ind w:left="576"/>
      </w:pPr>
      <w:r>
        <w:rPr>
          <w:rFonts w:ascii="Calibri" w:cs="Calibri" w:eastAsia="Calibri" w:hAnsi="Calibri"/>
          <w:color w:val="2E86C1"/>
          <w:sz w:val="22"/>
          <w:szCs w:val="22"/>
        </w:rPr>
        <w:t xml:space="preserve">▸ </w:t>
      </w:r>
      <w:r>
        <w:rPr>
          <w:rFonts w:ascii="Calibri" w:cs="Calibri" w:eastAsia="Calibri" w:hAnsi="Calibri"/>
          <w:b/>
          <w:bCs/>
          <w:color w:val="2C3E50"/>
          <w:sz w:val="22"/>
          <w:szCs w:val="22"/>
        </w:rPr>
        <w:t xml:space="preserve">Role: </w:t>
      </w:r>
      <w:r>
        <w:rPr>
          <w:rFonts w:ascii="Calibri" w:cs="Calibri" w:eastAsia="Calibri" w:hAnsi="Calibri"/>
          <w:color w:val="2C3E50"/>
          <w:sz w:val="22"/>
          <w:szCs w:val="22"/>
        </w:rPr>
        <w:t xml:space="preserve">Drives Phase-1 optimization (direct gate cancellation)</w:t>
      </w:r>
    </w:p>
    <w:p>
      <w:pPr>
        <w:spacing w:after="80"/>
        <w:ind w:left="576"/>
      </w:pPr>
      <w:r>
        <w:rPr>
          <w:rFonts w:ascii="Calibri" w:cs="Calibri" w:eastAsia="Calibri" w:hAnsi="Calibri"/>
          <w:color w:val="2E86C1"/>
          <w:sz w:val="22"/>
          <w:szCs w:val="22"/>
        </w:rPr>
        <w:t xml:space="preserve">▸ </w:t>
      </w:r>
      <w:r>
        <w:rPr>
          <w:rFonts w:ascii="Calibri" w:cs="Calibri" w:eastAsia="Calibri" w:hAnsi="Calibri"/>
          <w:b/>
          <w:bCs/>
          <w:color w:val="2C3E50"/>
          <w:sz w:val="22"/>
          <w:szCs w:val="22"/>
        </w:rPr>
        <w:t xml:space="preserve">Causal evidence: </w:t>
      </w:r>
      <w:r>
        <w:rPr>
          <w:rFonts w:ascii="Calibri" w:cs="Calibri" w:eastAsia="Calibri" w:hAnsi="Calibri"/>
          <w:color w:val="2C3E50"/>
          <w:sz w:val="22"/>
          <w:szCs w:val="22"/>
        </w:rPr>
        <w:t xml:space="preserve">6.4× mean difference between zero/nonzero reduction groups</w:t>
      </w:r>
    </w:p>
    <w:p>
      <w:pPr>
        <w:spacing w:after="80"/>
        <w:jc w:val="left"/>
      </w:pPr>
      <w:r>
        <w:rPr>
          <w:rFonts w:ascii="Calibri" w:cs="Calibri" w:eastAsia="Calibri" w:hAnsi="Calibri"/>
          <w:b w:val="false"/>
          <w:bCs w:val="false"/>
          <w:i w:val="false"/>
          <w:iCs w:val="false"/>
          <w:color w:val="2C3E50"/>
          <w:sz w:val="22"/>
          <w:szCs w:val="22"/>
        </w:rPr>
        <w:t xml:space="preserve"/>
      </w:r>
    </w:p>
    <w:p>
      <w:pPr>
        <w:pBdr>
          <w:left w:val="single" w:color="27AE60" w:sz="8"/>
        </w:pBdr>
        <w:shd w:fill="D5F5E3" w:val="clear"/>
        <w:spacing w:after="120" w:before="120"/>
        <w:ind w:left="431" w:right="431"/>
      </w:pPr>
      <w:r>
        <w:rPr>
          <w:rFonts w:ascii="Calibri" w:cs="Calibri" w:eastAsia="Calibri" w:hAnsi="Calibri"/>
          <w:b/>
          <w:bCs/>
          <w:color w:val="27AE60"/>
          <w:sz w:val="24"/>
          <w:szCs w:val="24"/>
        </w:rPr>
        <w:t xml:space="preserve">FEATURE 2: commutation_density</w:t>
      </w:r>
    </w:p>
    <w:p>
      <w:pPr>
        <w:spacing w:after="80"/>
        <w:ind w:left="576"/>
      </w:pPr>
      <w:r>
        <w:rPr>
          <w:rFonts w:ascii="Calibri" w:cs="Calibri" w:eastAsia="Calibri" w:hAnsi="Calibri"/>
          <w:color w:val="2E86C1"/>
          <w:sz w:val="22"/>
          <w:szCs w:val="22"/>
        </w:rPr>
        <w:t xml:space="preserve">▸ </w:t>
      </w:r>
      <w:r>
        <w:rPr>
          <w:rFonts w:ascii="Calibri" w:cs="Calibri" w:eastAsia="Calibri" w:hAnsi="Calibri"/>
          <w:b/>
          <w:bCs/>
          <w:color w:val="2C3E50"/>
          <w:sz w:val="22"/>
          <w:szCs w:val="22"/>
        </w:rPr>
        <w:t xml:space="preserve">Spearman r: </w:t>
      </w:r>
      <w:r>
        <w:rPr>
          <w:rFonts w:ascii="Calibri" w:cs="Calibri" w:eastAsia="Calibri" w:hAnsi="Calibri"/>
          <w:color w:val="2C3E50"/>
          <w:sz w:val="22"/>
          <w:szCs w:val="22"/>
        </w:rPr>
        <w:t xml:space="preserve">0.651 (p &lt; 1e-6)</w:t>
      </w:r>
    </w:p>
    <w:p>
      <w:pPr>
        <w:spacing w:after="80"/>
        <w:ind w:left="576"/>
      </w:pPr>
      <w:r>
        <w:rPr>
          <w:rFonts w:ascii="Calibri" w:cs="Calibri" w:eastAsia="Calibri" w:hAnsi="Calibri"/>
          <w:color w:val="2E86C1"/>
          <w:sz w:val="22"/>
          <w:szCs w:val="22"/>
        </w:rPr>
        <w:t xml:space="preserve">▸ </w:t>
      </w:r>
      <w:r>
        <w:rPr>
          <w:rFonts w:ascii="Calibri" w:cs="Calibri" w:eastAsia="Calibri" w:hAnsi="Calibri"/>
          <w:b/>
          <w:bCs/>
          <w:color w:val="2C3E50"/>
          <w:sz w:val="22"/>
          <w:szCs w:val="22"/>
        </w:rPr>
        <w:t xml:space="preserve">Role: </w:t>
      </w:r>
      <w:r>
        <w:rPr>
          <w:rFonts w:ascii="Calibri" w:cs="Calibri" w:eastAsia="Calibri" w:hAnsi="Calibri"/>
          <w:color w:val="2C3E50"/>
          <w:sz w:val="22"/>
          <w:szCs w:val="22"/>
        </w:rPr>
        <w:t xml:space="preserve">Drives Phase-2 optimization (gate rearrangement via commutation)</w:t>
      </w:r>
    </w:p>
    <w:p>
      <w:pPr>
        <w:spacing w:after="80"/>
        <w:ind w:left="576"/>
      </w:pPr>
      <w:r>
        <w:rPr>
          <w:rFonts w:ascii="Calibri" w:cs="Calibri" w:eastAsia="Calibri" w:hAnsi="Calibri"/>
          <w:color w:val="2E86C1"/>
          <w:sz w:val="22"/>
          <w:szCs w:val="22"/>
        </w:rPr>
        <w:t xml:space="preserve">▸ </w:t>
      </w:r>
      <w:r>
        <w:rPr>
          <w:rFonts w:ascii="Calibri" w:cs="Calibri" w:eastAsia="Calibri" w:hAnsi="Calibri"/>
          <w:b/>
          <w:bCs/>
          <w:color w:val="2C3E50"/>
          <w:sz w:val="22"/>
          <w:szCs w:val="22"/>
        </w:rPr>
        <w:t xml:space="preserve">Causal evidence: </w:t>
      </w:r>
      <w:r>
        <w:rPr>
          <w:rFonts w:ascii="Calibri" w:cs="Calibri" w:eastAsia="Calibri" w:hAnsi="Calibri"/>
          <w:color w:val="2C3E50"/>
          <w:sz w:val="22"/>
          <w:szCs w:val="22"/>
        </w:rPr>
        <w:t xml:space="preserve">7.5× mean difference between zero/nonzero reduction groups</w:t>
      </w:r>
    </w:p>
    <w:p>
      <w:pPr>
        <w:spacing w:after="120"/>
        <w:jc w:val="left"/>
      </w:pPr>
      <w:r>
        <w:rPr>
          <w:rFonts w:ascii="Calibri" w:cs="Calibri" w:eastAsia="Calibri" w:hAnsi="Calibri"/>
          <w:b w:val="false"/>
          <w:bCs w:val="false"/>
          <w:i w:val="false"/>
          <w:iCs w:val="false"/>
          <w:color w:val="2C3E50"/>
          <w:sz w:val="22"/>
          <w:szCs w:val="22"/>
        </w:rPr>
        <w:t xml:space="preserve"/>
      </w:r>
    </w:p>
    <w:p>
      <w:pPr>
        <w:pBdr>
          <w:left w:val="single" w:color="E67E22" w:sz="8"/>
        </w:pBdr>
        <w:shd w:fill="FDEBD0" w:val="clear"/>
        <w:spacing w:after="160" w:before="160"/>
        <w:ind w:left="431" w:right="431"/>
      </w:pPr>
      <w:r>
        <w:rPr>
          <w:rFonts w:ascii="Calibri" w:cs="Calibri" w:eastAsia="Calibri" w:hAnsi="Calibri"/>
          <w:b/>
          <w:bCs/>
          <w:color w:val="E67E22"/>
          <w:sz w:val="22"/>
          <w:szCs w:val="22"/>
        </w:rPr>
        <w:t xml:space="preserve">KEY FINDING: </w:t>
      </w:r>
      <w:r>
        <w:rPr>
          <w:rFonts w:ascii="Calibri" w:cs="Calibri" w:eastAsia="Calibri" w:hAnsi="Calibri"/>
          <w:color w:val="2C3E50"/>
          <w:sz w:val="22"/>
          <w:szCs w:val="22"/>
        </w:rPr>
        <w:t xml:space="preserve">Together, inverse_pair_density and commutation_density explain 62.6% of variance in gate reduction ratio (multilinear model, D2). The structural_upper_bound — a composite of both — is the single best predictor at Pearson r = 0.789.</w:t>
      </w:r>
    </w:p>
    <w:p>
      <w:pPr>
        <w:pStyle w:val="Heading1"/>
        <w:spacing w:after="200" w:before="360"/>
      </w:pPr>
      <w:r>
        <w:rPr>
          <w:rFonts w:ascii="Calibri" w:cs="Calibri" w:eastAsia="Calibri" w:hAnsi="Calibri"/>
          <w:b/>
          <w:bCs/>
          <w:color w:val="1B4F72"/>
          <w:sz w:val="30"/>
          <w:szCs w:val="30"/>
        </w:rPr>
        <w:t xml:space="preserve">Section 7 — Inactive Features</w:t>
      </w:r>
    </w:p>
    <w:p>
      <w:pPr>
        <w:spacing w:after="120"/>
        <w:jc w:val="left"/>
      </w:pPr>
      <w:r>
        <w:rPr>
          <w:rFonts w:ascii="Calibri" w:cs="Calibri" w:eastAsia="Calibri" w:hAnsi="Calibri"/>
          <w:b w:val="false"/>
          <w:bCs w:val="false"/>
          <w:i w:val="false"/>
          <w:iCs w:val="false"/>
          <w:color w:val="2C3E50"/>
          <w:sz w:val="22"/>
          <w:szCs w:val="22"/>
        </w:rPr>
        <w:t xml:space="preserve">One feature was found to be completely inactive across all experimental data:</w:t>
      </w:r>
    </w:p>
    <w:p>
      <w:pPr>
        <w:pBdr>
          <w:left w:val="single" w:color="E74C3C" w:sz="8"/>
        </w:pBdr>
        <w:shd w:fill="FADBD8" w:val="clear"/>
        <w:spacing w:after="120" w:before="120"/>
        <w:ind w:left="431" w:right="431"/>
      </w:pPr>
      <w:r>
        <w:rPr>
          <w:rFonts w:ascii="Calibri" w:cs="Calibri" w:eastAsia="Calibri" w:hAnsi="Calibri"/>
          <w:b/>
          <w:bCs/>
          <w:color w:val="E74C3C"/>
          <w:sz w:val="22"/>
          <w:szCs w:val="22"/>
        </w:rPr>
        <w:t xml:space="preserve">INACTIVE: mergeable_rotation_count</w:t>
      </w:r>
    </w:p>
    <w:p>
      <w:pPr>
        <w:spacing w:after="160"/>
        <w:jc w:val="left"/>
      </w:pPr>
      <w:r>
        <w:rPr>
          <w:rFonts w:ascii="Calibri" w:cs="Calibri" w:eastAsia="Calibri" w:hAnsi="Calibri"/>
          <w:b w:val="false"/>
          <w:bCs w:val="false"/>
          <w:i w:val="false"/>
          <w:iCs w:val="false"/>
          <w:color w:val="2C3E50"/>
          <w:sz w:val="22"/>
          <w:szCs w:val="22"/>
        </w:rPr>
        <w:t xml:space="preserve">The mergeable_rotation_count feature is identically zero across all 47,401 experimental rows. This indicates that the rotation merging optimization pass is completely inactive for the gate sets studied (CX, RZ, SX, X, H, etc.).</w:t>
      </w:r>
    </w:p>
    <w:p>
      <w:pPr>
        <w:spacing w:after="80"/>
        <w:jc w:val="left"/>
      </w:pPr>
      <w:r>
        <w:rPr>
          <w:rFonts w:ascii="Calibri" w:cs="Calibri" w:eastAsia="Calibri" w:hAnsi="Calibri"/>
          <w:b w:val="false"/>
          <w:bCs w:val="false"/>
          <w:i w:val="false"/>
          <w:iCs w:val="false"/>
          <w:color w:val="2C3E50"/>
          <w:sz w:val="22"/>
          <w:szCs w:val="22"/>
        </w:rPr>
        <w:t xml:space="preserve">Possible explanations:</w:t>
      </w:r>
    </w:p>
    <w:p>
      <w:pPr>
        <w:spacing w:after="60"/>
        <w:ind w:left="576"/>
        <w:jc w:val="left"/>
      </w:pPr>
      <w:r>
        <w:rPr>
          <w:rFonts w:ascii="Calibri" w:cs="Calibri" w:eastAsia="Calibri" w:hAnsi="Calibri"/>
          <w:b w:val="false"/>
          <w:bCs w:val="false"/>
          <w:i w:val="false"/>
          <w:iCs w:val="false"/>
          <w:color w:val="2C3E50"/>
          <w:sz w:val="22"/>
          <w:szCs w:val="22"/>
        </w:rPr>
        <w:t xml:space="preserve">• The gate decomposition used does not produce adjacent same-axis rotation gates</w:t>
      </w:r>
    </w:p>
    <w:p>
      <w:pPr>
        <w:spacing w:after="60"/>
        <w:ind w:left="576"/>
        <w:jc w:val="left"/>
      </w:pPr>
      <w:r>
        <w:rPr>
          <w:rFonts w:ascii="Calibri" w:cs="Calibri" w:eastAsia="Calibri" w:hAnsi="Calibri"/>
          <w:b w:val="false"/>
          <w:bCs w:val="false"/>
          <w:i w:val="false"/>
          <w:iCs w:val="false"/>
          <w:color w:val="2C3E50"/>
          <w:sz w:val="22"/>
          <w:szCs w:val="22"/>
        </w:rPr>
        <w:t xml:space="preserve">• Rotation merging is applied before other passes that would create mergeable pairs</w:t>
      </w:r>
    </w:p>
    <w:p>
      <w:pPr>
        <w:spacing w:after="160"/>
        <w:ind w:left="576"/>
        <w:jc w:val="left"/>
      </w:pPr>
      <w:r>
        <w:rPr>
          <w:rFonts w:ascii="Calibri" w:cs="Calibri" w:eastAsia="Calibri" w:hAnsi="Calibri"/>
          <w:b w:val="false"/>
          <w:bCs w:val="false"/>
          <w:i w:val="false"/>
          <w:iCs w:val="false"/>
          <w:color w:val="2C3E50"/>
          <w:sz w:val="22"/>
          <w:szCs w:val="22"/>
        </w:rPr>
        <w:t xml:space="preserve">• The studied circuit families do not contain parameterized rotation sequences</w:t>
      </w:r>
    </w:p>
    <w:p>
      <w:pPr>
        <w:spacing w:after="200"/>
        <w:jc w:val="left"/>
      </w:pPr>
      <w:r>
        <w:rPr>
          <w:rFonts w:ascii="Calibri" w:cs="Calibri" w:eastAsia="Calibri" w:hAnsi="Calibri"/>
          <w:b/>
          <w:bCs/>
          <w:i w:val="false"/>
          <w:iCs w:val="false"/>
          <w:color w:val="2C3E50"/>
          <w:sz w:val="22"/>
          <w:szCs w:val="22"/>
        </w:rPr>
        <w:t xml:space="preserve">Recommendation: Remove mergeable_rotation_count from all predictive models. It carries no information for the studied gate sets.</w:t>
      </w:r>
    </w:p>
    <w:p>
      <w:pPr>
        <w:pBdr>
          <w:top w:val="single" w:color="95A5A6" w:sz="2"/>
        </w:pBdr>
        <w:spacing w:before="300"/>
        <w:jc w:val="center"/>
      </w:pPr>
      <w:r>
        <w:rPr>
          <w:rFonts w:ascii="Calibri" w:cs="Calibri" w:eastAsia="Calibri" w:hAnsi="Calibri"/>
          <w:i/>
          <w:iCs/>
          <w:color w:val="95A5A6"/>
          <w:sz w:val="20"/>
          <w:szCs w:val="20"/>
        </w:rPr>
        <w:t xml:space="preserve">End of Deliverable 3</w:t>
      </w:r>
    </w:p>
    <w:sectPr>
      <w:headerReference w:type="default" r:id="rId7"/>
      <w:footerReference w:type="default" r:id="rId8"/>
      <w:pgSz w:w="12240" w:h="15840"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6"/>
        <w:szCs w:val="16"/>
      </w:rPr>
      <w:t xml:space="preserve">Page </w:t>
    </w:r>
    <w:r>
      <w:rPr>
        <w:rFonts w:ascii="Calibri" w:cs="Calibri" w:eastAsia="Calibri" w:hAnsi="Calibri"/>
        <w:color w:val="95A5A6"/>
        <w:sz w:val="16"/>
        <w:szCs w:val="16"/>
      </w:rPr>
      <w:fldChar w:fldCharType="begin"/>
      <w:instrText xml:space="preserve">PAGE</w:instrText>
      <w:fldChar w:fldCharType="separate"/>
      <w:fldChar w:fldCharType="end"/>
    </w:r>
    <w:r>
      <w:rPr>
        <w:rFonts w:ascii="Calibri" w:cs="Calibri" w:eastAsia="Calibri" w:hAnsi="Calibri"/>
        <w:color w:val="95A5A6"/>
        <w:sz w:val="16"/>
        <w:szCs w:val="16"/>
      </w:rPr>
      <w:t xml:space="preserve"> of </w:t>
    </w:r>
    <w:r>
      <w:rPr>
        <w:rFonts w:ascii="Calibri" w:cs="Calibri" w:eastAsia="Calibri" w:hAnsi="Calibri"/>
        <w:color w:val="95A5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5A5A6"/>
        <w:sz w:val="16"/>
        <w:szCs w:val="16"/>
      </w:rPr>
      <w:t xml:space="preserve">Quantum Circuit Optimization — Feature Importance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2026-06-11T14:26:01.374Z</dcterms:created>
  <dcterms:modified xsi:type="dcterms:W3CDTF">2026-06-11T14:26:01.375Z</dcterms:modified>
</cp:coreProperties>
</file>

<file path=docProps/custom.xml><?xml version="1.0" encoding="utf-8"?>
<Properties xmlns="http://schemas.openxmlformats.org/officeDocument/2006/custom-properties" xmlns:vt="http://schemas.openxmlformats.org/officeDocument/2006/docPropsVTypes"/>
</file>