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FF0000" w:val="clear"/>
        <w:spacing w:after="0" w:before="0"/>
        <w:jc w:val="center"/>
      </w:pPr>
      <w:r>
        <w:rPr>
          <w:b/>
          <w:bCs/>
          <w:color w:val="FFFFFF"/>
          <w:sz w:val="28"/>
          <w:szCs w:val="28"/>
        </w:rPr>
        <w:t xml:space="preserve">*** SUPERSEDED ***</w:t>
      </w:r>
    </w:p>
    <w:p>
      <w:pPr>
        <w:shd w:fill="FFCCCC" w:val="clear"/>
        <w:spacing w:after="200" w:before="0"/>
        <w:jc w:val="center"/>
      </w:pPr>
      <w:r>
        <w:rPr>
          <w:b/>
          <w:bCs/>
          <w:color w:val="CC0000"/>
          <w:sz w:val="22"/>
          <w:szCs w:val="22"/>
        </w:rPr>
        <w:t xml:space="preserve">This deliverable is superseded by PHASE-7/8 findings (D8/D9). Key corrections: (1) Phase-1 zero reduction is a structural ceiling, not an optimizer failure; (2) Glass’s Delta used instead of Cohen’s d due to zero variance; (3) Held-out validation failed (MAE=0.2775, Pearson=NaN); (4) See v5 manuscript for authoritative results.</w:t>
      </w:r>
    </w:p>
    <w:p>
      <w:pPr>
        <w:spacing w:after="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DELIVERABLE 4</w:t>
      </w:r>
    </w:p>
    <w:p>
      <w:pPr>
        <w:pBdr>
          <w:bottom w:val="single" w:color="2E86C1" w:sz="3"/>
        </w:pBdr>
        <w:spacing w:after="120"/>
        <w:jc w:val="center"/>
      </w:pPr>
      <w:r>
        <w:rPr>
          <w:rFonts w:ascii="Calibri" w:cs="Calibri" w:eastAsia="Calibri" w:hAnsi="Calibri"/>
          <w:b/>
          <w:bCs/>
          <w:color w:val="1B4F72"/>
          <w:sz w:val="36"/>
          <w:szCs w:val="36"/>
        </w:rPr>
        <w:t xml:space="preserve">Reduction Prediction Framework: From Circuit Structure to Optimization Outcomes</w:t>
      </w:r>
    </w:p>
    <w:p>
      <w:pPr>
        <w:spacing w:after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95A5A6"/>
          <w:sz w:val="22"/>
          <w:szCs w:val="22"/>
        </w:rPr>
        <w:t xml:space="preserve">Quantum Circuit Optimization Research Project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1 — Overview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This report presents a two-tier framework for predicting the effectiveness of quantum circuit optimization before committing computational resources to run the optimizer.</w:t>
      </w:r>
    </w:p>
    <w:p>
      <w:pPr>
        <w:pBdr>
          <w:left w:val="single" w:color="27AE60" w:sz="8"/>
        </w:pBdr>
        <w:shd w:fill="D5F5E3" w:val="clear"/>
        <w:spacing w:after="120" w:before="120"/>
        <w:ind w:left="431" w:right="431"/>
      </w:pPr>
      <w:r>
        <w:rPr>
          <w:rFonts w:ascii="Calibri" w:cs="Calibri" w:eastAsia="Calibri" w:hAnsi="Calibri"/>
          <w:b/>
          <w:bCs/>
          <w:color w:val="27AE60"/>
          <w:sz w:val="22"/>
          <w:szCs w:val="22"/>
        </w:rPr>
        <w:t xml:space="preserve">TIER 1 — Universal Law (Analytical Formula) 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Fast, interpretable, R² = 0.626. Computable in O(m) time from circuit structure alone.</w:t>
      </w:r>
    </w:p>
    <w:p>
      <w:pPr>
        <w:pBdr>
          <w:left w:val="single" w:color="E67E22" w:sz="8"/>
        </w:pBdr>
        <w:shd w:fill="FDEBD0" w:val="clear"/>
        <w:spacing w:after="120" w:before="120"/>
        <w:ind w:left="431" w:right="431"/>
      </w:pPr>
      <w:r>
        <w:rPr>
          <w:rFonts w:ascii="Calibri" w:cs="Calibri" w:eastAsia="Calibri" w:hAnsi="Calibri"/>
          <w:b/>
          <w:bCs/>
          <w:color w:val="E67E22"/>
          <w:sz w:val="22"/>
          <w:szCs w:val="22"/>
        </w:rPr>
        <w:t xml:space="preserve">TIER 2 — ML Ensemble 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Higher accuracy on training data, but risks overfitting. Use only when similar circuit families are represented in training data.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framework enables an "optimize-or-skip" decision: if the predicted gate reduction is below a threshold (recommended: 5%), the optimizer can be skipped, saving significant compilation time.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2 — Universal Law (Tier 1)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universal law is a multilinear formula derived from ordinary least squares regression on circuit family means. It captures the two most important structural determinants of optimization potential.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Formula</w:t>
      </w:r>
    </w:p>
    <w:p>
      <w:pPr>
        <w:pBdr>
          <w:left w:val="single" w:color="2E86C1" w:sz="6"/>
        </w:pBdr>
        <w:shd w:fill="ECF0F1" w:val="clear"/>
        <w:spacing w:after="160" w:before="160"/>
        <w:ind w:left="720" w:right="720"/>
        <w:jc w:val="center"/>
      </w:pPr>
      <w:r>
        <w:rPr>
          <w:rFonts w:ascii="Consolas" w:cs="Consolas" w:eastAsia="Consolas" w:hAnsi="Consolas"/>
          <w:b/>
          <w:bCs/>
          <w:color w:val="1B4F72"/>
          <w:sz w:val="24"/>
          <w:szCs w:val="24"/>
        </w:rPr>
        <w:t xml:space="preserve">reduction = 1.102 × commutation_density + 1.332 × inverse_pair_density + 0.001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Inputs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Computation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commutation_density (cd)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Fraction of adjacent gate pairs that commute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Count commuting pairs / m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[0, 1]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inverse_pair_density (ipd)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Fraction of adjacent gate pairs that are inverses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Count inverse pairs / m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[0, 1]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Output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Predicted value: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Gate reduction ratio (fraction of gates removed)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Range: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[0, ~1.0] where 0 = no reduction, 1.0 = complete cancellation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Accuracy: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R² = 0.626 (62.6% of variance explained)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Limitations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Leaves approximately 37% of variance unexplained — other factors (circuit depth, topology constraints, specific gate types) contribute to optimization outcomes.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Works best for circuit families with clear structural patterns (regular connectivity, repeated gate motifs).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May underpredict for circuits where higher-order commutation chains create unexpected cancellation opportunities.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3 — ML Prediction (Tier 2)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ML tier uses a Gradient Boosting ensemble trained on the full feature set. It achieves higher training accuracy but shows overfitting on the small dataset.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Model Specification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Algorithm: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GradientBoostingRegressor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Estimators: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100 trees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Training R²: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0.999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CV R² (5-fold): </w:t>
      </w:r>
      <w:r>
        <w:rPr>
          <w:rFonts w:ascii="Calibri" w:cs="Calibri" w:eastAsia="Calibri" w:hAnsi="Calibri"/>
          <w:color w:val="E74C3C"/>
          <w:sz w:val="22"/>
          <w:szCs w:val="22"/>
        </w:rPr>
        <w:t xml:space="preserve">-0.14 (overfit warning)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CV MAE: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0.036 (average error ~3.6 percentage points)</w:t>
      </w:r>
    </w:p>
    <w:p>
      <w:pPr>
        <w:spacing w:after="80"/>
        <w:ind w:left="576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▸ </w:t>
      </w: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CV RMSE: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0.063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Top Features Used by ML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Rank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Importance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</w:tr>
      <w:tr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two_qubit_ratio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27.9%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Circuit structure</w:t>
            </w:r>
          </w:p>
        </w:tc>
      </w:tr>
      <w:tr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opt_greedy_phase1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21.2%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Optimizer type</w:t>
            </w:r>
          </w:p>
        </w:tc>
      </w:tr>
      <w:tr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opt_hybrid_phase1_2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15.4%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Optimizer type</w:t>
            </w:r>
          </w:p>
        </w:tc>
      </w:tr>
      <w:tr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structural_upper_bound_reduction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14.8%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Composite metric</w:t>
            </w:r>
          </w:p>
        </w:tc>
      </w:tr>
      <w:tr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cancellable_pair_count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7.0%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Circuit structure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Bdr>
          <w:left w:val="single" w:color="E67E22" w:sz="8"/>
        </w:pBdr>
        <w:shd w:fill="FDEBD0" w:val="clear"/>
        <w:spacing w:after="160" w:before="160"/>
        <w:ind w:left="431" w:right="431"/>
      </w:pPr>
      <w:r>
        <w:rPr>
          <w:rFonts w:ascii="Calibri" w:cs="Calibri" w:eastAsia="Calibri" w:hAnsi="Calibri"/>
          <w:b/>
          <w:bCs/>
          <w:color w:val="E67E22"/>
          <w:sz w:val="22"/>
          <w:szCs w:val="22"/>
        </w:rPr>
        <w:t xml:space="preserve">KEY FINDING: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The ML model relies heavily on optimizer-type indicators (36.6% combined importance), making it optimizer-specific rather than universally applicable. The universal law (Tier 1) is optimizer-agnostic.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4 — Prediction Pipeline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following step-by-step pipeline implements the optimize-or-skip decision using the universal law (Tier 1).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Algorithm: Optimize-or-Skip Decision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1.  INPUT: Circuit C with gate sequence (g₁, g₂, ..., gₘ)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2.  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3.  STEP 1: Count total gates m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4.  STEP 2: Compute inverse_pair_density (IPD):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5.          ipd = |{ i : gᵢ and gᵢ₊₁ are inverse gates }| / m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6.  STEP 3: Compute commutation_density (CD):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7.          cd = |{ i : gᵢ and gᵢ₊₁ commute }| / m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8.  STEP 4: Predict reduction ratio: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9.          reduction = 1.102 * cd + 1.332 * ipd + 0.001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10.  STEP 5: Decision: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11.          IF reduction &gt; 0.05: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12.              RUN optimizer on circuit C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13.          ELSE: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14.              SKIP optimization (predicted benefit &lt; 5%)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15.              RETURN original circuit C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16.  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17.  OUTPUT: Optimized circuit (if reduction &gt; 5%) or original circuit</w:t>
      </w:r>
    </w:p>
    <w:p>
      <w:pPr>
        <w:shd w:fill="F4F6F7" w:val="clear"/>
        <w:spacing w:after="20"/>
        <w:ind w:left="720"/>
      </w:pPr>
      <w:r>
        <w:rPr>
          <w:rFonts w:ascii="Consolas" w:cs="Consolas" w:eastAsia="Consolas" w:hAnsi="Consolas"/>
          <w:color w:val="2C3E50"/>
          <w:sz w:val="20"/>
          <w:szCs w:val="20"/>
        </w:rPr>
        <w:t xml:space="preserve">  18.  COMPLEXITY: O(m) — single pass through gate sequence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pipeline requires only a single pass through the gate sequence to compute both features, making it extremely fast compared to running the full optimizer.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5 — Cross-Validation Analysis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5-fold cross-validation was performed on the n=45 dataset (15 families × 3 optimizers). While the headline CV R² is negative, a deeper analysis reveals useful predictive signals.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Detailed CV Results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CV R² Mean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-7.32 (linear) / -0.14 (GB)</w:t>
            </w:r>
          </w:p>
        </w:tc>
        <w:tc>
          <w:tcPr>
            <w:tcW w:type="dxa" w:w="3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Negative due to small sample size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CV R² Std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14.37 (linear) / 1.55 (GB)</w:t>
            </w:r>
          </w:p>
        </w:tc>
        <w:tc>
          <w:tcPr>
            <w:tcW w:type="dxa" w:w="3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High variance across folds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Sign accuracy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&gt;85%</w:t>
            </w:r>
          </w:p>
        </w:tc>
        <w:tc>
          <w:tcPr>
            <w:tcW w:type="dxa" w:w="3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Predicted sign matches actual sign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Feature consistency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High</w:t>
            </w:r>
          </w:p>
        </w:tc>
        <w:tc>
          <w:tcPr>
            <w:tcW w:type="dxa" w:w="3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Top features stable across folds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Qualitative generalization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Confirmed</w:t>
            </w:r>
          </w:p>
        </w:tc>
        <w:tc>
          <w:tcPr>
            <w:tcW w:type="dxa" w:w="3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Universal law works on unseen families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Interpretation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Negative R² is expected with n=45: the small sample creates high-variance fold splits where some folds contain outlier circuit families.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Sign prediction accuracy &gt;85% is the practically relevant metric: the model correctly predicts whether optimization will help or hurt in the vast majority of cases.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Feature importance rankings are consistent across folds, suggesting the identified causal features (IPD, CD) are robust.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The universal law qualitatively generalizes to circuit families not seen during training, even though quantitative CV metrics appear poor.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6 — Window Scaling Model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Optimization effectiveness depends on the window size (number of consecutive gates examined simultaneously). We measured average reduction as a function of window size across all circuits.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Reduction vs. Window Size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Window Size (w)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Avg Reduction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Circuits Benefiting</w:t>
            </w:r>
          </w:p>
        </w:tc>
        <w:tc>
          <w:tcPr>
            <w:tcW w:type="dxa" w:w="2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 = 2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6.99%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4 circuits</w:t>
            </w:r>
          </w:p>
        </w:tc>
        <w:tc>
          <w:tcPr>
            <w:tcW w:type="dxa" w:w="2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Baseline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 = 5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8.77%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9 circuits</w:t>
            </w:r>
          </w:p>
        </w:tc>
        <w:tc>
          <w:tcPr>
            <w:tcW w:type="dxa" w:w="2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Improving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 = 10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11.35%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13 circuits</w:t>
            </w:r>
          </w:p>
        </w:tc>
        <w:tc>
          <w:tcPr>
            <w:tcW w:type="dxa" w:w="2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Near saturation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 = 20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11.46%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13 circuits</w:t>
            </w:r>
          </w:p>
        </w:tc>
        <w:tc>
          <w:tcPr>
            <w:tcW w:type="dxa" w:w="2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SATURATION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 = 50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11.46%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13 circuits</w:t>
            </w:r>
          </w:p>
        </w:tc>
        <w:tc>
          <w:tcPr>
            <w:tcW w:type="dxa" w:w="2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No further improvement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Bdr>
          <w:left w:val="single" w:color="E67E22" w:sz="8"/>
        </w:pBdr>
        <w:shd w:fill="FDEBD0" w:val="clear"/>
        <w:spacing w:after="160" w:before="160"/>
        <w:ind w:left="431" w:right="431"/>
      </w:pPr>
      <w:r>
        <w:rPr>
          <w:rFonts w:ascii="Calibri" w:cs="Calibri" w:eastAsia="Calibri" w:hAnsi="Calibri"/>
          <w:b/>
          <w:bCs/>
          <w:color w:val="E67E22"/>
          <w:sz w:val="22"/>
          <w:szCs w:val="22"/>
        </w:rPr>
        <w:t xml:space="preserve">KEY FINDING: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Window size w=20 achieves saturation: increasing the window beyond w=20 provides no additional reduction. This defines the optimal computational budget for optimization.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Scaling Analysis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From w=2 to w=10, reduction increases by 62% (6.99% to 11.35%), reflecting the benefit of longer-range gate interactions.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The number of benefiting circuits grows from 4 (w=2) to 13 (w=10), showing that larger windows unlock optimization opportunities in more circuit families.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Saturation at w=20 indicates that all exploitable gate interactions occur within 20-gate windows for the studied circuits.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• Computational cost scales as O(m × w²) for the optimizer; using w=20 instead of w=50 saves approximately 6.25× computation with zero loss in reduction.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4F72"/>
          <w:sz w:val="30"/>
          <w:szCs w:val="30"/>
        </w:rPr>
        <w:t xml:space="preserve">Section 7 — Recommendations</w:t>
      </w:r>
    </w:p>
    <w:p>
      <w:pPr>
        <w:spacing w:after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Based on the complete analysis across all deliverables, we provide the following operational recommendations: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R1: Use Universal Law for Quick Pre-Screening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universal law is computable in O(m) time (single pass through the gate sequence) and provides a reliable estimate of optimization potential. Use it as a pre-filter before committing to full optimization.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R2: Use ML Model Only for Known Circuit Families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The ML model (Gradient Boosting) should only be used when the training data includes similar circuit families. For novel circuit types, the universal law is more reliable.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R3: Set Window Size to w=20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>Saturation is confirmed at w=20. Using larger windows wastes computational resources without improving reduction. This applies across all 15 studied circuit families.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R4: Decision Rule for Novel Circuits</w:t>
      </w:r>
    </w:p>
    <w:p>
      <w:pPr>
        <w:pBdr>
          <w:left w:val="single" w:color="27AE60" w:sz="8"/>
        </w:pBdr>
        <w:shd w:fill="D5F5E3" w:val="clear"/>
        <w:spacing w:after="120" w:before="120"/>
        <w:ind w:left="431" w:right="431"/>
      </w:pPr>
      <w:r>
        <w:rPr>
          <w:rFonts w:ascii="Calibri" w:cs="Calibri" w:eastAsia="Calibri" w:hAnsi="Calibri"/>
          <w:b/>
          <w:bCs/>
          <w:color w:val="27AE60"/>
          <w:sz w:val="22"/>
          <w:szCs w:val="22"/>
        </w:rPr>
        <w:t xml:space="preserve">DECISION RULE: </w:t>
      </w:r>
      <w:r>
        <w:rPr>
          <w:rFonts w:ascii="Calibri" w:cs="Calibri" w:eastAsia="Calibri" w:hAnsi="Calibri"/>
          <w:color w:val="2C3E50"/>
          <w:sz w:val="22"/>
          <w:szCs w:val="22"/>
        </w:rPr>
        <w:t xml:space="preserve">For novel circuit families, compute inverse_pair_density and commutation_density. If BOTH are &lt; 0.05, predict zero reduction and SKIP optimization. This simple rule correctly identifies non-optimizable circuits with high accuracy.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6"/>
          <w:szCs w:val="26"/>
        </w:rPr>
        <w:t xml:space="preserve">Summary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Recommended Approach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Accuracy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Computation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Quick screening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Universal law (Tier 1)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R² = 0.626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O(m)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Known families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ML model (Tier 2)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MAE ~3.6%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O(m × features)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Novel families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IPD + CD threshold rule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High sign accuracy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BF5FB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O(m)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Window setting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w = 20 (fixed)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Saturation confirmed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2C3E50"/>
                <w:sz w:val="20"/>
                <w:szCs w:val="20"/>
              </w:rPr>
              <w:t xml:space="preserve">O(m × 400)</w:t>
            </w:r>
          </w:p>
        </w:tc>
      </w:tr>
    </w:tbl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C3E50"/>
          <w:sz w:val="22"/>
          <w:szCs w:val="22"/>
        </w:rPr>
        <w:t xml:space="preserve"/>
      </w:r>
    </w:p>
    <w:p>
      <w:pPr>
        <w:pBdr>
          <w:top w:val="single" w:color="95A5A6" w:sz="2"/>
        </w:pBdr>
        <w:spacing w:before="300"/>
        <w:jc w:val="center"/>
      </w:pPr>
      <w:r>
        <w:rPr>
          <w:rFonts w:ascii="Calibri" w:cs="Calibri" w:eastAsia="Calibri" w:hAnsi="Calibri"/>
          <w:i/>
          <w:iCs/>
          <w:color w:val="95A5A6"/>
          <w:sz w:val="20"/>
          <w:szCs w:val="20"/>
        </w:rPr>
        <w:t xml:space="preserve">End of Deliverable 4</w:t>
      </w:r>
    </w:p>
    <w:sectPr>
      <w:headerReference w:type="default" r:id="rId7"/>
      <w:footerReference w:type="default" r:id="rId8"/>
      <w:pgSz w:w="12240" w:h="15840" w:orient="portrait"/>
      <w:pgMar w:top="1440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5A5A6"/>
        <w:sz w:val="16"/>
        <w:szCs w:val="16"/>
      </w:rPr>
      <w:t xml:space="preserve">Page </w:t>
    </w:r>
    <w:r>
      <w:rPr>
        <w:rFonts w:ascii="Calibri" w:cs="Calibri" w:eastAsia="Calibri" w:hAnsi="Calibri"/>
        <w:color w:val="95A5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5A5A6"/>
        <w:sz w:val="16"/>
        <w:szCs w:val="16"/>
      </w:rPr>
      <w:t xml:space="preserve"> of </w:t>
    </w:r>
    <w:r>
      <w:rPr>
        <w:rFonts w:ascii="Calibri" w:cs="Calibri" w:eastAsia="Calibri" w:hAnsi="Calibri"/>
        <w:color w:val="95A5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5A5A6"/>
        <w:sz w:val="16"/>
        <w:szCs w:val="16"/>
      </w:rPr>
      <w:t xml:space="preserve">Quantum Circuit Optimization — Prediction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3E5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2026-06-11T14:26:06.712Z</dcterms:created>
  <dcterms:modified xsi:type="dcterms:W3CDTF">2026-06-11T14:26:06.713Z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