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DELIVERABLE 2</w:t>
      </w:r>
    </w:p>
    <w:p>
      <w:pPr>
        <w:pBdr>
          <w:bottom w:val="single" w:color="2E86C1" w:sz="3"/>
        </w:pBdr>
        <w:spacing w:after="120"/>
        <w:jc w:val="center"/>
      </w:pPr>
      <w:r>
        <w:rPr>
          <w:rFonts w:ascii="Calibri" w:cs="Calibri" w:eastAsia="Calibri" w:hAnsi="Calibri"/>
          <w:b/>
          <w:bCs/>
          <w:color w:val="1B4F72"/>
          <w:sz w:val="40"/>
          <w:szCs w:val="40"/>
        </w:rPr>
        <w:t xml:space="preserve">Candidate Mathematical Models for Structural Ceiling Prediction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95A5A6"/>
          <w:sz w:val="22"/>
          <w:szCs w:val="22"/>
        </w:rPr>
        <w:t xml:space="preserve">Quantum Circuit Optimization Research Project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Section 1 — Overview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From 47,401 experimental rows across 15 circuit families, we extracted structural features and fitted multiple predictive models for gate reduction ratio. This report catalogs all candidate models with performance metrics.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modeling process encompassed the following stages: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1. Feature extraction from raw circuit data (gate counts, pair densities, commutation metrics)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2. Candidate model specification (linear, nonlinear, polynomial, machine learning)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3. Parameter fitting via ordinary least squares and gradient-based optimization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4. Cross-validation and overfitting assessment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5. Model comparison and final recommendation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Section 2 — Multilinear Model (Best Interpretable)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multilinear model emerged as the best physically interpretable model, capturing the two most important causal mechanisms of circuit optimization.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Model Equation</w:t>
      </w:r>
    </w:p>
    <w:p>
      <w:pPr>
        <w:pBdr>
          <w:left w:val="single" w:color="2E86C1" w:sz="6"/>
        </w:pBdr>
        <w:shd w:fill="ECF0F1" w:val="clear"/>
        <w:spacing w:after="160" w:before="160"/>
        <w:ind w:left="720" w:right="720"/>
        <w:jc w:val="center"/>
      </w:pPr>
      <w:r>
        <w:rPr>
          <w:rFonts w:ascii="Consolas" w:cs="Consolas" w:eastAsia="Consolas" w:hAnsi="Consolas"/>
          <w:b/>
          <w:bCs/>
          <w:color w:val="1B4F72"/>
          <w:sz w:val="24"/>
          <w:szCs w:val="24"/>
        </w:rPr>
        <w:t xml:space="preserve">reduction = 1.102 × commutation_density + 1.332 × inverse_pair_density + 0.001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Performance Metrics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R² (Coefficient of Determination):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0.626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Feature significance (commutation_density):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p &lt; 0.001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Feature significance (inverse_pair_density):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p &lt; 0.001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Intercept significance: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p &lt; 0.05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Bdr>
          <w:left w:val="single" w:color="E67E22" w:sz="8"/>
        </w:pBdr>
        <w:shd w:fill="FDEBD0" w:val="clear"/>
        <w:spacing w:after="160" w:before="160"/>
        <w:ind w:left="431" w:right="431"/>
      </w:pP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KEY FINDING: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Two structural features explain 62.6% of variance in gate reduction ratio. Both coefficients are positive and physically meaningful: higher commutation density and higher inverse pair density both lead to greater optimization potential.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Physical Interpretation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coefficient of inverse_pair_density (1.332) is larger than that of commutation_density (1.102), indicating that adjacent inverse gate pairs are slightly more predictive of optimization potential than general commutation relationships. This aligns with the two-phase optimization strategy: Phase-1 targets inverse pairs directly, while Phase-2 exploits commutation to create new cancellation opportunities.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Section 3 — Single-Variable Models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We evaluated four single-variable models using inverse_pair_density as the sole predictor. These models sacrifice accuracy for simplicity and are useful for quick estimates.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Model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Equation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Log-IPD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1.574 × log(IPD + 1) + 0.030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0.555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Linear-IPD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1.275 × IPD + 0.030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0.555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Power-IPD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0.974 × IPD^0.546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0.543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Exp-saturation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0.668 × (1 - exp(-11.85 × IPD))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0.543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Analysis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 Log-IPD and Linear-IPD tie at R² = 0.555, indicating a near-linear relationship between log-transformed IPD and reduction ratio.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 The Power-IPD model (R² = 0.543) suggests a sublinear scaling (exponent 0.546 &lt; 1), consistent with diminishing returns at high IPD values.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 The Exp-saturation model (R² = 0.543) models a physical ceiling at 66.8% reduction, with rapid saturation (rate = 11.85). This is physically motivated: there is a maximum achievable reduction.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Section 4 — Polynomial Model (Overfit Warning)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 6-feature polynomial model was fitted to explore whether nonlinear feature interactions could improve prediction. While achieving perfect training fit, this model exhibits classic overfitting signatures.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Training R²: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1.000 (perfect fit)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Number of samples: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15 (circuit family means)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Number of features: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6 (polynomial terms)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Parameters-to-samples ratio: </w:t>
      </w:r>
      <w:r>
        <w:rPr>
          <w:rFonts w:ascii="Calibri" w:cs="Calibri" w:eastAsia="Calibri" w:hAnsi="Calibri"/>
          <w:color w:val="E74C3C"/>
          <w:sz w:val="22"/>
          <w:szCs w:val="22"/>
        </w:rPr>
        <w:t xml:space="preserve">WARNING — extremely high risk of overfitting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Top Polynomial Terms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Coefficient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Physical Meaning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structural_upper_bound²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-0.410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Quadratic saturation of theoretical ceiling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n_qubits × structural_upper_bound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0.272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Scaling benefits for larger circuits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two_qubit_ratio × structural_upper_bound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-0.260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Diminishing returns for 2Q-heavy circuits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intercept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0.012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Baseline reduction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n_qubits²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-0.003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Quadratic qubit penalty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two_qubit_ratio²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0.045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Quadratic 2Q-gate effect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Bdr>
          <w:left w:val="single" w:color="E67E22" w:sz="8"/>
        </w:pBdr>
        <w:shd w:fill="FDEBD0" w:val="clear"/>
        <w:spacing w:after="160" w:before="160"/>
        <w:ind w:left="431" w:right="431"/>
      </w:pP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KEY FINDING: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R² = 1.0 on 15 samples with 6 features is almost certainly overfit. The model should NOT be used for prediction on new circuit families. It is included for completeness only.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Section 5 — Machine Learning Models (5-Fold Cross-Validation)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Three machine learning models were evaluated using 5-fold cross-validation on the full n=45 dataset (15 families × 3 optimizers). All models show severe overfitting.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Cross-Validation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CV R² Mean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CV R² Std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CV MAE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CV RMSE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Train R²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-7.32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14.37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0.108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0.204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0.631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-0.18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1.47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0.044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0.084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0.979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-0.14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1.55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0.036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0.063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0.999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Overfitting Diagnosis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 Negative CV R²: All three models perform worse than a trivial mean-predictor on held-out folds. This is the hallmark of overfitting on small datasets.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 Extreme variance: Linear regression shows CV R² standard deviation of 14.37, indicating extreme sensitivity to fold composition.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 Training vs. CV gap: Gradient Boosting achieves 0.999 training R² but -0.14 CV R², a gap of over 1.1 R² units.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 Sample size: With n=45, even simple models struggle. The 5-fold splits leave only 36 training samples per fold.</w:t>
      </w:r>
    </w:p>
    <w:p>
      <w:pPr>
        <w:pBdr>
          <w:left w:val="single" w:color="E67E22" w:sz="8"/>
        </w:pBdr>
        <w:shd w:fill="FDEBD0" w:val="clear"/>
        <w:spacing w:after="160" w:before="160"/>
        <w:ind w:left="431" w:right="431"/>
      </w:pP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KEY FINDING: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Negative CV R² indicates overfitting on the small dataset (n=45). Despite excellent training fit, ML models generalize poorly. They should not be used for prediction on unseen circuit families without substantially more training data.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Section 6 — Model Selection Recommendation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Based on the comprehensive evaluation above, we recommend the following model hierarchy: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Primary Recommendation: Multilinear Model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Use the multilinear model for both interpretation and prediction:</w:t>
      </w:r>
    </w:p>
    <w:p>
      <w:pPr>
        <w:pBdr>
          <w:left w:val="single" w:color="2E86C1" w:sz="6"/>
        </w:pBdr>
        <w:shd w:fill="ECF0F1" w:val="clear"/>
        <w:spacing w:after="160" w:before="160"/>
        <w:ind w:left="720" w:right="720"/>
        <w:jc w:val="center"/>
      </w:pPr>
      <w:r>
        <w:rPr>
          <w:rFonts w:ascii="Consolas" w:cs="Consolas" w:eastAsia="Consolas" w:hAnsi="Consolas"/>
          <w:b/>
          <w:bCs/>
          <w:color w:val="1B4F72"/>
          <w:sz w:val="24"/>
          <w:szCs w:val="24"/>
        </w:rPr>
        <w:t xml:space="preserve">reduction = 1.102 × commutation_density + 1.332 × inverse_pair_density + 0.001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R²: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0.626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Interpretability: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Excellent — each coefficient has clear physical meaning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Robustness: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Both features significant at p &lt; 0.001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Computational cost: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O(m) where m = gate count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Rationale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Despite R² = 0.626 leaving approximately 37% unexplained variance, the multilinear model captures the two most important causal mechanisms driving quantum circuit optimization: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1. Inverse pair density — directly quantifies Phase-1 cancellation opportunities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2. Commutation density — quantifies Phase-2 gate rearrangement potential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Machine learning models, while achieving near-perfect training fit, overfit catastrophically on the available data and provide no interpretability. The multilinear model is the scientifically sound choice.</w:t>
      </w:r>
    </w:p>
    <w:p>
      <w:pPr>
        <w:pBdr>
          <w:top w:val="single" w:color="95A5A6" w:sz="2"/>
        </w:pBdr>
        <w:spacing w:before="300"/>
        <w:jc w:val="center"/>
      </w:pPr>
      <w:r>
        <w:rPr>
          <w:rFonts w:ascii="Calibri" w:cs="Calibri" w:eastAsia="Calibri" w:hAnsi="Calibri"/>
          <w:i/>
          <w:iCs/>
          <w:color w:val="95A5A6"/>
          <w:sz w:val="20"/>
          <w:szCs w:val="20"/>
        </w:rPr>
        <w:t xml:space="preserve">End of Deliverable 2</w:t>
      </w:r>
    </w:p>
    <w:sectPr>
      <w:headerReference w:type="default" r:id="rId7"/>
      <w:footerReference w:type="default" r:id="rId8"/>
      <w:pgSz w:w="12240" w:h="15840" w:orient="portrait"/>
      <w:pgMar w:top="1440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5A5A6"/>
        <w:sz w:val="16"/>
        <w:szCs w:val="16"/>
      </w:rPr>
      <w:t xml:space="preserve">Page </w:t>
    </w:r>
    <w:r>
      <w:rPr>
        <w:rFonts w:ascii="Calibri" w:cs="Calibri" w:eastAsia="Calibri" w:hAnsi="Calibri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5A5A6"/>
        <w:sz w:val="16"/>
        <w:szCs w:val="16"/>
      </w:rPr>
      <w:t xml:space="preserve"> of </w:t>
    </w:r>
    <w:r>
      <w:rPr>
        <w:rFonts w:ascii="Calibri" w:cs="Calibri" w:eastAsia="Calibri" w:hAnsi="Calibri"/>
        <w:color w:val="95A5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5A5A6"/>
        <w:sz w:val="16"/>
        <w:szCs w:val="16"/>
      </w:rPr>
      <w:t xml:space="preserve">Quantum Circuit Optimization — Candidate Models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2026-06-11T14:25:56.079Z</dcterms:created>
  <dcterms:modified xsi:type="dcterms:W3CDTF">2026-06-11T14:25:56.080Z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